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درسنامه مهدویت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3257_222507752">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643259_222507752">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643261_222507752">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643263_222507752">
            <w:r>
              <w:rPr>
                <w:webHidden/>
                <w:rStyle w:val="IndexLink"/>
                <w:rtl w:val="true"/>
              </w:rPr>
              <w:t>پیشگفتار</w:t>
            </w:r>
            <w:r>
              <w:rPr>
                <w:rStyle w:val="IndexLink"/>
                <w:rtl w:val="true"/>
              </w:rPr>
              <w:tab/>
            </w:r>
            <w:r>
              <w:rPr>
                <w:rStyle w:val="IndexLink"/>
              </w:rPr>
              <w:t>25</w:t>
            </w:r>
          </w:hyperlink>
        </w:p>
        <w:p>
          <w:pPr>
            <w:pStyle w:val="Contents2"/>
            <w:tabs>
              <w:tab w:val="clear" w:pos="8743"/>
              <w:tab w:val="right" w:pos="9026" w:leader="dot"/>
            </w:tabs>
            <w:rPr/>
          </w:pPr>
          <w:hyperlink w:anchor="__RefHeading___Toc643265_222507752">
            <w:r>
              <w:rPr>
                <w:webHidden/>
                <w:rStyle w:val="IndexLink"/>
                <w:rtl w:val="true"/>
              </w:rPr>
              <w:t>درس اول</w:t>
            </w:r>
            <w:r>
              <w:rPr>
                <w:rStyle w:val="IndexLink"/>
                <w:rtl w:val="true"/>
              </w:rPr>
              <w:t xml:space="preserve">: </w:t>
            </w:r>
            <w:r>
              <w:rPr>
                <w:rStyle w:val="IndexLink"/>
                <w:rtl w:val="true"/>
              </w:rPr>
              <w:t xml:space="preserve">حکومت حضرت مهدی علیه‌السلام </w:t>
            </w:r>
            <w:r>
              <w:rPr>
                <w:rStyle w:val="IndexLink"/>
                <w:rtl w:val="true"/>
              </w:rPr>
              <w:t>(</w:t>
            </w:r>
            <w:r>
              <w:rPr>
                <w:rStyle w:val="IndexLink"/>
                <w:rtl w:val="true"/>
              </w:rPr>
              <w:t>کلیّات</w:t>
            </w:r>
            <w:r>
              <w:rPr>
                <w:rStyle w:val="IndexLink"/>
                <w:rtl w:val="true"/>
              </w:rPr>
              <w:t>)</w:t>
              <w:tab/>
            </w:r>
            <w:r>
              <w:rPr>
                <w:rStyle w:val="IndexLink"/>
              </w:rPr>
              <w:t>29</w:t>
            </w:r>
          </w:hyperlink>
        </w:p>
        <w:p>
          <w:pPr>
            <w:pStyle w:val="Contents3"/>
            <w:tabs>
              <w:tab w:val="clear" w:pos="8459"/>
              <w:tab w:val="right" w:pos="9026" w:leader="dot"/>
            </w:tabs>
            <w:rPr/>
          </w:pPr>
          <w:hyperlink w:anchor="__RefHeading___Toc643267_222507752">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643269_222507752">
            <w:r>
              <w:rPr>
                <w:webHidden/>
                <w:rStyle w:val="IndexLink"/>
                <w:rtl w:val="true"/>
              </w:rPr>
              <w:t>پیش‌درآمد</w:t>
            </w:r>
            <w:r>
              <w:rPr>
                <w:rStyle w:val="IndexLink"/>
                <w:rtl w:val="true"/>
              </w:rPr>
              <w:tab/>
            </w:r>
            <w:r>
              <w:rPr>
                <w:rStyle w:val="IndexLink"/>
              </w:rPr>
              <w:t>30</w:t>
            </w:r>
          </w:hyperlink>
        </w:p>
        <w:p>
          <w:pPr>
            <w:pStyle w:val="Contents3"/>
            <w:tabs>
              <w:tab w:val="clear" w:pos="8459"/>
              <w:tab w:val="right" w:pos="9026" w:leader="dot"/>
            </w:tabs>
            <w:rPr/>
          </w:pPr>
          <w:hyperlink w:anchor="__RefHeading___Toc643271_222507752">
            <w:r>
              <w:rPr>
                <w:webHidden/>
                <w:rStyle w:val="IndexLink"/>
                <w:rtl w:val="true"/>
              </w:rPr>
              <w:t>یک</w:t>
            </w:r>
            <w:r>
              <w:rPr>
                <w:rStyle w:val="IndexLink"/>
                <w:rtl w:val="true"/>
              </w:rPr>
              <w:t xml:space="preserve">. </w:t>
            </w:r>
            <w:r>
              <w:rPr>
                <w:rStyle w:val="IndexLink"/>
                <w:rtl w:val="true"/>
              </w:rPr>
              <w:t>معناشناسی حکومت</w:t>
            </w:r>
            <w:r>
              <w:rPr>
                <w:rStyle w:val="IndexLink"/>
                <w:rtl w:val="true"/>
              </w:rPr>
              <w:tab/>
            </w:r>
            <w:r>
              <w:rPr>
                <w:rStyle w:val="IndexLink"/>
              </w:rPr>
              <w:t>30</w:t>
            </w:r>
          </w:hyperlink>
        </w:p>
        <w:p>
          <w:pPr>
            <w:pStyle w:val="Contents4"/>
            <w:tabs>
              <w:tab w:val="clear" w:pos="8176"/>
              <w:tab w:val="right" w:pos="9026" w:leader="dot"/>
            </w:tabs>
            <w:rPr/>
          </w:pPr>
          <w:hyperlink w:anchor="__RefHeading___Toc643273_222507752">
            <w:r>
              <w:rPr>
                <w:webHidden/>
                <w:rStyle w:val="IndexLink"/>
                <w:rtl w:val="true"/>
              </w:rPr>
              <w:t>از نگاه لغت</w:t>
            </w:r>
            <w:r>
              <w:rPr>
                <w:rStyle w:val="IndexLink"/>
                <w:rtl w:val="true"/>
              </w:rPr>
              <w:tab/>
            </w:r>
            <w:r>
              <w:rPr>
                <w:rStyle w:val="IndexLink"/>
              </w:rPr>
              <w:t>30</w:t>
            </w:r>
          </w:hyperlink>
        </w:p>
        <w:p>
          <w:pPr>
            <w:pStyle w:val="Contents4"/>
            <w:tabs>
              <w:tab w:val="clear" w:pos="8176"/>
              <w:tab w:val="right" w:pos="9026" w:leader="dot"/>
            </w:tabs>
            <w:rPr/>
          </w:pPr>
          <w:hyperlink w:anchor="__RefHeading___Toc643275_222507752">
            <w:r>
              <w:rPr>
                <w:webHidden/>
                <w:rStyle w:val="IndexLink"/>
                <w:rtl w:val="true"/>
              </w:rPr>
              <w:t>از نگاه اصطلاح</w:t>
            </w:r>
            <w:r>
              <w:rPr>
                <w:rStyle w:val="IndexLink"/>
                <w:rtl w:val="true"/>
              </w:rPr>
              <w:tab/>
            </w:r>
            <w:r>
              <w:rPr>
                <w:rStyle w:val="IndexLink"/>
              </w:rPr>
              <w:t>31</w:t>
            </w:r>
          </w:hyperlink>
        </w:p>
        <w:p>
          <w:pPr>
            <w:pStyle w:val="Contents4"/>
            <w:tabs>
              <w:tab w:val="clear" w:pos="8176"/>
              <w:tab w:val="right" w:pos="9026" w:leader="dot"/>
            </w:tabs>
            <w:rPr/>
          </w:pPr>
          <w:hyperlink w:anchor="__RefHeading___Toc643277_222507752">
            <w:r>
              <w:rPr>
                <w:webHidden/>
                <w:rStyle w:val="IndexLink"/>
                <w:rtl w:val="true"/>
              </w:rPr>
              <w:t>واژگان حکومت مهدوی</w:t>
            </w:r>
            <w:r>
              <w:rPr>
                <w:rStyle w:val="IndexLink"/>
                <w:rtl w:val="true"/>
              </w:rPr>
              <w:tab/>
            </w:r>
            <w:r>
              <w:rPr>
                <w:rStyle w:val="IndexLink"/>
              </w:rPr>
              <w:t>31</w:t>
            </w:r>
          </w:hyperlink>
        </w:p>
        <w:p>
          <w:pPr>
            <w:pStyle w:val="Contents5"/>
            <w:tabs>
              <w:tab w:val="clear" w:pos="7892"/>
              <w:tab w:val="right" w:pos="9026" w:leader="dot"/>
            </w:tabs>
            <w:rPr/>
          </w:pPr>
          <w:hyperlink w:anchor="__RefHeading___Toc643279_222507752">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643281_222507752">
            <w:r>
              <w:rPr>
                <w:webHidden/>
                <w:rStyle w:val="IndexLink"/>
              </w:rPr>
              <w:t>1</w:t>
            </w:r>
            <w:r>
              <w:rPr>
                <w:rStyle w:val="IndexLink"/>
                <w:rtl w:val="true"/>
              </w:rPr>
              <w:t xml:space="preserve">. </w:t>
            </w:r>
            <w:r>
              <w:rPr>
                <w:rStyle w:val="IndexLink"/>
                <w:rtl w:val="true"/>
              </w:rPr>
              <w:t>مُلک</w:t>
            </w:r>
            <w:r>
              <w:rPr>
                <w:rStyle w:val="IndexLink"/>
                <w:rtl w:val="true"/>
              </w:rPr>
              <w:tab/>
            </w:r>
            <w:r>
              <w:rPr>
                <w:rStyle w:val="IndexLink"/>
              </w:rPr>
              <w:t>32</w:t>
            </w:r>
          </w:hyperlink>
        </w:p>
        <w:p>
          <w:pPr>
            <w:pStyle w:val="Contents5"/>
            <w:tabs>
              <w:tab w:val="clear" w:pos="7892"/>
              <w:tab w:val="right" w:pos="9026" w:leader="dot"/>
            </w:tabs>
            <w:rPr/>
          </w:pPr>
          <w:hyperlink w:anchor="__RefHeading___Toc643283_222507752">
            <w:r>
              <w:rPr>
                <w:webHidden/>
                <w:rStyle w:val="IndexLink"/>
              </w:rPr>
              <w:t>2</w:t>
            </w:r>
            <w:r>
              <w:rPr>
                <w:rStyle w:val="IndexLink"/>
                <w:rtl w:val="true"/>
              </w:rPr>
              <w:t xml:space="preserve">. </w:t>
            </w:r>
            <w:r>
              <w:rPr>
                <w:rStyle w:val="IndexLink"/>
                <w:rtl w:val="true"/>
              </w:rPr>
              <w:t>خلافت</w:t>
            </w:r>
            <w:r>
              <w:rPr>
                <w:rStyle w:val="IndexLink"/>
                <w:rtl w:val="true"/>
              </w:rPr>
              <w:tab/>
            </w:r>
            <w:r>
              <w:rPr>
                <w:rStyle w:val="IndexLink"/>
              </w:rPr>
              <w:t>32</w:t>
            </w:r>
          </w:hyperlink>
        </w:p>
        <w:p>
          <w:pPr>
            <w:pStyle w:val="Contents5"/>
            <w:tabs>
              <w:tab w:val="clear" w:pos="7892"/>
              <w:tab w:val="right" w:pos="9026" w:leader="dot"/>
            </w:tabs>
            <w:rPr/>
          </w:pPr>
          <w:hyperlink w:anchor="__RefHeading___Toc643285_222507752">
            <w:r>
              <w:rPr>
                <w:webHidden/>
                <w:rStyle w:val="IndexLink"/>
              </w:rPr>
              <w:t>3</w:t>
            </w:r>
            <w:r>
              <w:rPr>
                <w:rStyle w:val="IndexLink"/>
                <w:rtl w:val="true"/>
              </w:rPr>
              <w:t xml:space="preserve">. </w:t>
            </w:r>
            <w:r>
              <w:rPr>
                <w:rStyle w:val="IndexLink"/>
                <w:rtl w:val="true"/>
              </w:rPr>
              <w:t>دولت</w:t>
            </w:r>
            <w:r>
              <w:rPr>
                <w:rStyle w:val="IndexLink"/>
                <w:rtl w:val="true"/>
              </w:rPr>
              <w:tab/>
            </w:r>
            <w:r>
              <w:rPr>
                <w:rStyle w:val="IndexLink"/>
              </w:rPr>
              <w:t>33</w:t>
            </w:r>
          </w:hyperlink>
        </w:p>
        <w:p>
          <w:pPr>
            <w:pStyle w:val="Contents5"/>
            <w:tabs>
              <w:tab w:val="clear" w:pos="7892"/>
              <w:tab w:val="right" w:pos="9026" w:leader="dot"/>
            </w:tabs>
            <w:rPr/>
          </w:pPr>
          <w:hyperlink w:anchor="__RefHeading___Toc643287_222507752">
            <w:r>
              <w:rPr>
                <w:webHidden/>
                <w:rStyle w:val="IndexLink"/>
              </w:rPr>
              <w:t>4</w:t>
            </w:r>
            <w:r>
              <w:rPr>
                <w:rStyle w:val="IndexLink"/>
                <w:rtl w:val="true"/>
              </w:rPr>
              <w:t xml:space="preserve">. </w:t>
            </w:r>
            <w:r>
              <w:rPr>
                <w:rStyle w:val="IndexLink"/>
                <w:rtl w:val="true"/>
              </w:rPr>
              <w:t>سلطنت</w:t>
            </w:r>
            <w:r>
              <w:rPr>
                <w:rStyle w:val="IndexLink"/>
                <w:rtl w:val="true"/>
              </w:rPr>
              <w:tab/>
            </w:r>
            <w:r>
              <w:rPr>
                <w:rStyle w:val="IndexLink"/>
              </w:rPr>
              <w:t>33</w:t>
            </w:r>
          </w:hyperlink>
        </w:p>
        <w:p>
          <w:pPr>
            <w:pStyle w:val="Contents5"/>
            <w:tabs>
              <w:tab w:val="clear" w:pos="7892"/>
              <w:tab w:val="right" w:pos="9026" w:leader="dot"/>
            </w:tabs>
            <w:rPr/>
          </w:pPr>
          <w:hyperlink w:anchor="__RefHeading___Toc643289_222507752">
            <w:r>
              <w:rPr>
                <w:webHidden/>
                <w:rStyle w:val="IndexLink"/>
              </w:rPr>
              <w:t>5</w:t>
            </w:r>
            <w:r>
              <w:rPr>
                <w:rStyle w:val="IndexLink"/>
                <w:rtl w:val="true"/>
              </w:rPr>
              <w:t xml:space="preserve">. </w:t>
            </w:r>
            <w:r>
              <w:rPr>
                <w:rStyle w:val="IndexLink"/>
                <w:rtl w:val="true"/>
              </w:rPr>
              <w:t>ولایت</w:t>
            </w:r>
            <w:r>
              <w:rPr>
                <w:rStyle w:val="IndexLink"/>
                <w:rtl w:val="true"/>
              </w:rPr>
              <w:tab/>
            </w:r>
            <w:r>
              <w:rPr>
                <w:rStyle w:val="IndexLink"/>
              </w:rPr>
              <w:t>34</w:t>
            </w:r>
          </w:hyperlink>
        </w:p>
        <w:p>
          <w:pPr>
            <w:pStyle w:val="Contents3"/>
            <w:tabs>
              <w:tab w:val="clear" w:pos="8459"/>
              <w:tab w:val="right" w:pos="9026" w:leader="dot"/>
            </w:tabs>
            <w:rPr/>
          </w:pPr>
          <w:hyperlink w:anchor="__RefHeading___Toc643291_222507752">
            <w:r>
              <w:rPr>
                <w:webHidden/>
                <w:rStyle w:val="IndexLink"/>
                <w:rtl w:val="true"/>
              </w:rPr>
              <w:t>دو</w:t>
            </w:r>
            <w:r>
              <w:rPr>
                <w:rStyle w:val="IndexLink"/>
                <w:rtl w:val="true"/>
              </w:rPr>
              <w:t xml:space="preserve">. </w:t>
            </w:r>
            <w:r>
              <w:rPr>
                <w:rStyle w:val="IndexLink"/>
                <w:rtl w:val="true"/>
              </w:rPr>
              <w:t>بشارت به حکومت حضرت مهدی علیه‌السلام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643293_222507752">
            <w:r>
              <w:rPr>
                <w:webHidden/>
                <w:rStyle w:val="IndexLink"/>
                <w:rtl w:val="true"/>
              </w:rPr>
              <w:t>سه</w:t>
            </w:r>
            <w:r>
              <w:rPr>
                <w:rStyle w:val="IndexLink"/>
                <w:rtl w:val="true"/>
              </w:rPr>
              <w:t xml:space="preserve">. </w:t>
            </w:r>
            <w:r>
              <w:rPr>
                <w:rStyle w:val="IndexLink"/>
                <w:rtl w:val="true"/>
              </w:rPr>
              <w:t>حتمی بودن حکومت حضرت مهدی علیه‌السلام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643295_222507752">
            <w:r>
              <w:rPr>
                <w:webHidden/>
                <w:rStyle w:val="IndexLink"/>
                <w:rtl w:val="true"/>
              </w:rPr>
              <w:t>چهار</w:t>
            </w:r>
            <w:r>
              <w:rPr>
                <w:rStyle w:val="IndexLink"/>
                <w:rtl w:val="true"/>
              </w:rPr>
              <w:t xml:space="preserve">. </w:t>
            </w:r>
            <w:r>
              <w:rPr>
                <w:rStyle w:val="IndexLink"/>
                <w:rtl w:val="true"/>
              </w:rPr>
              <w:t>مقر حکومت حضرت مهدی علیه‌السلام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643297_222507752">
            <w:r>
              <w:rPr>
                <w:webHidden/>
                <w:rStyle w:val="IndexLink"/>
                <w:rtl w:val="true"/>
              </w:rPr>
              <w:t>پنج</w:t>
            </w:r>
            <w:r>
              <w:rPr>
                <w:rStyle w:val="IndexLink"/>
                <w:rtl w:val="true"/>
              </w:rPr>
              <w:t xml:space="preserve">. </w:t>
            </w:r>
            <w:r>
              <w:rPr>
                <w:rStyle w:val="IndexLink"/>
                <w:rtl w:val="true"/>
              </w:rPr>
              <w:t>مدت حکومت حضرت مهدی علیه‌السلام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643299_222507752">
            <w:r>
              <w:rPr>
                <w:webHidden/>
                <w:rStyle w:val="IndexLink"/>
                <w:rtl w:val="true"/>
              </w:rPr>
              <w:t>خودآزمایی</w:t>
            </w:r>
            <w:r>
              <w:rPr>
                <w:rStyle w:val="IndexLink"/>
                <w:rtl w:val="true"/>
              </w:rPr>
              <w:tab/>
            </w:r>
            <w:r>
              <w:rPr>
                <w:rStyle w:val="IndexLink"/>
              </w:rPr>
              <w:t>43</w:t>
            </w:r>
          </w:hyperlink>
        </w:p>
        <w:p>
          <w:pPr>
            <w:pStyle w:val="Contents3"/>
            <w:tabs>
              <w:tab w:val="clear" w:pos="8459"/>
              <w:tab w:val="right" w:pos="9026" w:leader="dot"/>
            </w:tabs>
            <w:rPr/>
          </w:pPr>
          <w:hyperlink w:anchor="__RefHeading___Toc643301_222507752">
            <w:r>
              <w:rPr>
                <w:webHidden/>
                <w:rStyle w:val="IndexLink"/>
                <w:rtl w:val="true"/>
              </w:rPr>
              <w:t>منابع برای پژوهش</w:t>
            </w:r>
            <w:r>
              <w:rPr>
                <w:rStyle w:val="IndexLink"/>
                <w:rtl w:val="true"/>
              </w:rPr>
              <w:tab/>
            </w:r>
            <w:r>
              <w:rPr>
                <w:rStyle w:val="IndexLink"/>
              </w:rPr>
              <w:t>43</w:t>
            </w:r>
          </w:hyperlink>
        </w:p>
        <w:p>
          <w:pPr>
            <w:pStyle w:val="Contents2"/>
            <w:tabs>
              <w:tab w:val="clear" w:pos="8743"/>
              <w:tab w:val="right" w:pos="9026" w:leader="dot"/>
            </w:tabs>
            <w:rPr/>
          </w:pPr>
          <w:hyperlink w:anchor="__RefHeading___Toc643303_222507752">
            <w:r>
              <w:rPr>
                <w:webHidden/>
                <w:rStyle w:val="IndexLink"/>
                <w:rtl w:val="true"/>
              </w:rPr>
              <w:t>درس دوم</w:t>
            </w:r>
            <w:r>
              <w:rPr>
                <w:rStyle w:val="IndexLink"/>
                <w:rtl w:val="true"/>
              </w:rPr>
              <w:t xml:space="preserve">: </w:t>
            </w:r>
            <w:r>
              <w:rPr>
                <w:rStyle w:val="IndexLink"/>
                <w:rtl w:val="true"/>
              </w:rPr>
              <w:t>گسترة حکومت حضرت مهدی علیه‌السلام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643305_222507752">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643307_222507752">
            <w:r>
              <w:rPr>
                <w:webHidden/>
                <w:rStyle w:val="IndexLink"/>
                <w:rtl w:val="true"/>
              </w:rPr>
              <w:t>پیش‌درآمد</w:t>
            </w:r>
            <w:r>
              <w:rPr>
                <w:rStyle w:val="IndexLink"/>
                <w:rtl w:val="true"/>
              </w:rPr>
              <w:tab/>
            </w:r>
            <w:r>
              <w:rPr>
                <w:rStyle w:val="IndexLink"/>
              </w:rPr>
              <w:t>46</w:t>
            </w:r>
          </w:hyperlink>
        </w:p>
        <w:p>
          <w:pPr>
            <w:pStyle w:val="Contents3"/>
            <w:tabs>
              <w:tab w:val="clear" w:pos="8459"/>
              <w:tab w:val="right" w:pos="9026" w:leader="dot"/>
            </w:tabs>
            <w:rPr/>
          </w:pPr>
          <w:hyperlink w:anchor="__RefHeading___Toc643309_222507752">
            <w:r>
              <w:rPr>
                <w:webHidden/>
                <w:rStyle w:val="IndexLink"/>
                <w:rtl w:val="true"/>
              </w:rPr>
              <w:t>ادلة جهانی‌بودن حکومت مهدی علیه‌السلام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643311_222507752">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643313_222507752">
            <w:r>
              <w:rPr>
                <w:webHidden/>
                <w:rStyle w:val="IndexLink"/>
              </w:rPr>
              <w:t>1</w:t>
            </w:r>
            <w:r>
              <w:rPr>
                <w:rStyle w:val="IndexLink"/>
                <w:rtl w:val="true"/>
              </w:rPr>
              <w:t xml:space="preserve">. </w:t>
            </w:r>
            <w:r>
              <w:rPr>
                <w:rStyle w:val="IndexLink"/>
                <w:rtl w:val="true"/>
              </w:rPr>
              <w:t>در آیات قرآن</w:t>
            </w:r>
            <w:r>
              <w:rPr>
                <w:rStyle w:val="IndexLink"/>
                <w:rtl w:val="true"/>
              </w:rPr>
              <w:tab/>
            </w:r>
            <w:r>
              <w:rPr>
                <w:rStyle w:val="IndexLink"/>
              </w:rPr>
              <w:t>47</w:t>
            </w:r>
          </w:hyperlink>
        </w:p>
        <w:p>
          <w:pPr>
            <w:pStyle w:val="Contents4"/>
            <w:tabs>
              <w:tab w:val="clear" w:pos="8176"/>
              <w:tab w:val="right" w:pos="9026" w:leader="dot"/>
            </w:tabs>
            <w:rPr/>
          </w:pPr>
          <w:hyperlink w:anchor="__RefHeading___Toc643315_222507752">
            <w:r>
              <w:rPr>
                <w:webHidden/>
                <w:rStyle w:val="IndexLink"/>
              </w:rPr>
              <w:t>2</w:t>
            </w:r>
            <w:r>
              <w:rPr>
                <w:rStyle w:val="IndexLink"/>
                <w:rtl w:val="true"/>
              </w:rPr>
              <w:t xml:space="preserve">. </w:t>
            </w:r>
            <w:r>
              <w:rPr>
                <w:rStyle w:val="IndexLink"/>
                <w:rtl w:val="true"/>
              </w:rPr>
              <w:t>در روایات معصومان علیهم‌السلام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643317_222507752">
            <w:r>
              <w:rPr>
                <w:webHidden/>
                <w:rStyle w:val="IndexLink"/>
                <w:rtl w:val="true"/>
              </w:rPr>
              <w:t>نسبت جهانی‌شدن و حکومت جهانی حضرت مهدی علیه‌السلام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643319_222507752">
            <w:r>
              <w:rPr>
                <w:webHidden/>
                <w:rStyle w:val="IndexLink"/>
                <w:rtl w:val="true"/>
              </w:rPr>
              <w:t>حکومت واحد جهانی حضرت مهدی علیه‌السلام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643321_222507752">
            <w:r>
              <w:rPr>
                <w:webHidden/>
                <w:rStyle w:val="IndexLink"/>
                <w:rtl w:val="true"/>
              </w:rPr>
              <w:t>مقایسه‌و تمایز</w:t>
            </w:r>
            <w:r>
              <w:rPr>
                <w:rStyle w:val="IndexLink"/>
                <w:rtl w:val="true"/>
              </w:rPr>
              <w:tab/>
            </w:r>
            <w:r>
              <w:rPr>
                <w:rStyle w:val="IndexLink"/>
              </w:rPr>
              <w:t>55</w:t>
            </w:r>
          </w:hyperlink>
        </w:p>
        <w:p>
          <w:pPr>
            <w:pStyle w:val="Contents3"/>
            <w:tabs>
              <w:tab w:val="clear" w:pos="8459"/>
              <w:tab w:val="right" w:pos="9026" w:leader="dot"/>
            </w:tabs>
            <w:rPr/>
          </w:pPr>
          <w:hyperlink w:anchor="__RefHeading___Toc643323_222507752">
            <w:r>
              <w:rPr>
                <w:webHidden/>
                <w:rStyle w:val="IndexLink"/>
                <w:rtl w:val="true"/>
              </w:rPr>
              <w:t>امتیازات حکومت جهانی مهدوی بر جهانی‌شدن</w:t>
            </w:r>
            <w:r>
              <w:rPr>
                <w:rStyle w:val="IndexLink"/>
                <w:rtl w:val="true"/>
              </w:rPr>
              <w:tab/>
            </w:r>
            <w:r>
              <w:rPr>
                <w:rStyle w:val="IndexLink"/>
              </w:rPr>
              <w:t>56</w:t>
            </w:r>
          </w:hyperlink>
        </w:p>
        <w:p>
          <w:pPr>
            <w:pStyle w:val="Contents3"/>
            <w:tabs>
              <w:tab w:val="clear" w:pos="8459"/>
              <w:tab w:val="right" w:pos="9026" w:leader="dot"/>
            </w:tabs>
            <w:rPr/>
          </w:pPr>
          <w:hyperlink w:anchor="__RefHeading___Toc643325_222507752">
            <w:r>
              <w:rPr>
                <w:webHidden/>
                <w:rStyle w:val="IndexLink"/>
                <w:rtl w:val="true"/>
              </w:rPr>
              <w:t>خودآزمایی</w:t>
            </w:r>
            <w:r>
              <w:rPr>
                <w:rStyle w:val="IndexLink"/>
                <w:rtl w:val="true"/>
              </w:rPr>
              <w:tab/>
            </w:r>
            <w:r>
              <w:rPr>
                <w:rStyle w:val="IndexLink"/>
              </w:rPr>
              <w:t>59</w:t>
            </w:r>
          </w:hyperlink>
        </w:p>
        <w:p>
          <w:pPr>
            <w:pStyle w:val="Contents3"/>
            <w:tabs>
              <w:tab w:val="clear" w:pos="8459"/>
              <w:tab w:val="right" w:pos="9026" w:leader="dot"/>
            </w:tabs>
            <w:rPr/>
          </w:pPr>
          <w:hyperlink w:anchor="__RefHeading___Toc643327_222507752">
            <w:r>
              <w:rPr>
                <w:webHidden/>
                <w:rStyle w:val="IndexLink"/>
                <w:rtl w:val="true"/>
              </w:rPr>
              <w:t>منابع برای پژوهش</w:t>
            </w:r>
            <w:r>
              <w:rPr>
                <w:rStyle w:val="IndexLink"/>
                <w:rtl w:val="true"/>
              </w:rPr>
              <w:tab/>
            </w:r>
            <w:r>
              <w:rPr>
                <w:rStyle w:val="IndexLink"/>
              </w:rPr>
              <w:t>59</w:t>
            </w:r>
          </w:hyperlink>
        </w:p>
        <w:p>
          <w:pPr>
            <w:pStyle w:val="Contents2"/>
            <w:tabs>
              <w:tab w:val="clear" w:pos="8743"/>
              <w:tab w:val="right" w:pos="9026" w:leader="dot"/>
            </w:tabs>
            <w:rPr/>
          </w:pPr>
          <w:hyperlink w:anchor="__RefHeading___Toc643329_222507752">
            <w:r>
              <w:rPr>
                <w:webHidden/>
                <w:rStyle w:val="IndexLink"/>
                <w:rtl w:val="true"/>
              </w:rPr>
              <w:t>درس سوم</w:t>
            </w:r>
            <w:r>
              <w:rPr>
                <w:rStyle w:val="IndexLink"/>
                <w:rtl w:val="true"/>
              </w:rPr>
              <w:t xml:space="preserve">: </w:t>
            </w:r>
            <w:r>
              <w:rPr>
                <w:rStyle w:val="IndexLink"/>
                <w:rtl w:val="true"/>
              </w:rPr>
              <w:t>نظام اعتقادی حکومت مهدی علیه‌السلام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643331_222507752">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643333_222507752">
            <w:r>
              <w:rPr>
                <w:webHidden/>
                <w:rStyle w:val="IndexLink"/>
                <w:rtl w:val="true"/>
              </w:rPr>
              <w:t>پیش‌درآمد</w:t>
            </w:r>
            <w:r>
              <w:rPr>
                <w:rStyle w:val="IndexLink"/>
                <w:rtl w:val="true"/>
              </w:rPr>
              <w:tab/>
            </w:r>
            <w:r>
              <w:rPr>
                <w:rStyle w:val="IndexLink"/>
              </w:rPr>
              <w:t>62</w:t>
            </w:r>
          </w:hyperlink>
        </w:p>
        <w:p>
          <w:pPr>
            <w:pStyle w:val="Contents3"/>
            <w:tabs>
              <w:tab w:val="clear" w:pos="8459"/>
              <w:tab w:val="right" w:pos="9026" w:leader="dot"/>
            </w:tabs>
            <w:rPr/>
          </w:pPr>
          <w:hyperlink w:anchor="__RefHeading___Toc643335_222507752">
            <w:r>
              <w:rPr>
                <w:webHidden/>
                <w:rStyle w:val="IndexLink"/>
                <w:rtl w:val="true"/>
              </w:rPr>
              <w:t>اسلام برای همه و همیشه</w:t>
            </w:r>
            <w:r>
              <w:rPr>
                <w:rStyle w:val="IndexLink"/>
                <w:rtl w:val="true"/>
              </w:rPr>
              <w:tab/>
            </w:r>
            <w:r>
              <w:rPr>
                <w:rStyle w:val="IndexLink"/>
              </w:rPr>
              <w:t>62</w:t>
            </w:r>
          </w:hyperlink>
        </w:p>
        <w:p>
          <w:pPr>
            <w:pStyle w:val="Contents3"/>
            <w:tabs>
              <w:tab w:val="clear" w:pos="8459"/>
              <w:tab w:val="right" w:pos="9026" w:leader="dot"/>
            </w:tabs>
            <w:rPr/>
          </w:pPr>
          <w:hyperlink w:anchor="__RefHeading___Toc643337_222507752">
            <w:r>
              <w:rPr>
                <w:webHidden/>
                <w:rStyle w:val="IndexLink"/>
                <w:rtl w:val="true"/>
              </w:rPr>
              <w:t>دین در عصر ظهور</w:t>
            </w:r>
            <w:r>
              <w:rPr>
                <w:rStyle w:val="IndexLink"/>
                <w:rtl w:val="true"/>
              </w:rPr>
              <w:tab/>
            </w:r>
            <w:r>
              <w:rPr>
                <w:rStyle w:val="IndexLink"/>
              </w:rPr>
              <w:t>65</w:t>
            </w:r>
          </w:hyperlink>
        </w:p>
        <w:p>
          <w:pPr>
            <w:pStyle w:val="Contents3"/>
            <w:tabs>
              <w:tab w:val="clear" w:pos="8459"/>
              <w:tab w:val="right" w:pos="9026" w:leader="dot"/>
            </w:tabs>
            <w:rPr/>
          </w:pPr>
          <w:hyperlink w:anchor="__RefHeading___Toc643339_222507752">
            <w:r>
              <w:rPr>
                <w:webHidden/>
                <w:rStyle w:val="IndexLink"/>
                <w:rtl w:val="true"/>
              </w:rPr>
              <w:t>دستورالعمل‌های نوین در عصر ظهور</w:t>
            </w:r>
            <w:r>
              <w:rPr>
                <w:rStyle w:val="IndexLink"/>
                <w:rtl w:val="true"/>
              </w:rPr>
              <w:tab/>
            </w:r>
            <w:r>
              <w:rPr>
                <w:rStyle w:val="IndexLink"/>
              </w:rPr>
              <w:t>68</w:t>
            </w:r>
          </w:hyperlink>
        </w:p>
        <w:p>
          <w:pPr>
            <w:pStyle w:val="Contents3"/>
            <w:tabs>
              <w:tab w:val="clear" w:pos="8459"/>
              <w:tab w:val="right" w:pos="9026" w:leader="dot"/>
            </w:tabs>
            <w:rPr/>
          </w:pPr>
          <w:hyperlink w:anchor="__RefHeading___Toc643341_222507752">
            <w:r>
              <w:rPr>
                <w:webHidden/>
                <w:rStyle w:val="IndexLink"/>
                <w:rtl w:val="true"/>
              </w:rPr>
              <w:t>پیروان دیگر ادیان در عصر ظهور</w:t>
            </w:r>
            <w:r>
              <w:rPr>
                <w:rStyle w:val="IndexLink"/>
                <w:rtl w:val="true"/>
              </w:rPr>
              <w:tab/>
            </w:r>
            <w:r>
              <w:rPr>
                <w:rStyle w:val="IndexLink"/>
              </w:rPr>
              <w:t>72</w:t>
            </w:r>
          </w:hyperlink>
        </w:p>
        <w:p>
          <w:pPr>
            <w:pStyle w:val="Contents3"/>
            <w:tabs>
              <w:tab w:val="clear" w:pos="8459"/>
              <w:tab w:val="right" w:pos="9026" w:leader="dot"/>
            </w:tabs>
            <w:rPr/>
          </w:pPr>
          <w:hyperlink w:anchor="__RefHeading___Toc643343_222507752">
            <w:r>
              <w:rPr>
                <w:webHidden/>
                <w:rStyle w:val="IndexLink"/>
                <w:rtl w:val="true"/>
              </w:rPr>
              <w:t>دیدگاه نخست</w:t>
            </w:r>
            <w:r>
              <w:rPr>
                <w:rStyle w:val="IndexLink"/>
                <w:rtl w:val="true"/>
              </w:rPr>
              <w:t xml:space="preserve">: </w:t>
            </w:r>
            <w:r>
              <w:rPr>
                <w:rStyle w:val="IndexLink"/>
                <w:rtl w:val="true"/>
              </w:rPr>
              <w:t>حضور پیروان</w:t>
            </w:r>
            <w:r>
              <w:rPr>
                <w:rStyle w:val="IndexLink"/>
                <w:rtl w:val="true"/>
              </w:rPr>
              <w:tab/>
            </w:r>
            <w:r>
              <w:rPr>
                <w:rStyle w:val="IndexLink"/>
              </w:rPr>
              <w:t>73</w:t>
            </w:r>
          </w:hyperlink>
        </w:p>
        <w:p>
          <w:pPr>
            <w:pStyle w:val="Contents4"/>
            <w:tabs>
              <w:tab w:val="clear" w:pos="8176"/>
              <w:tab w:val="right" w:pos="9026" w:leader="dot"/>
            </w:tabs>
            <w:rPr/>
          </w:pPr>
          <w:hyperlink w:anchor="__RefHeading___Toc643345_222507752">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643347_222507752">
            <w:r>
              <w:rPr>
                <w:webHidden/>
                <w:rStyle w:val="IndexLink"/>
              </w:rPr>
              <w:t>1</w:t>
            </w:r>
            <w:r>
              <w:rPr>
                <w:rStyle w:val="IndexLink"/>
                <w:rtl w:val="true"/>
              </w:rPr>
              <w:t xml:space="preserve"> . </w:t>
            </w:r>
            <w:r>
              <w:rPr>
                <w:rStyle w:val="IndexLink"/>
                <w:rtl w:val="true"/>
              </w:rPr>
              <w:t>پرداخت جزیه اهل کتاب</w:t>
            </w:r>
            <w:r>
              <w:rPr>
                <w:rStyle w:val="IndexLink"/>
                <w:rtl w:val="true"/>
              </w:rPr>
              <w:tab/>
            </w:r>
            <w:r>
              <w:rPr>
                <w:rStyle w:val="IndexLink"/>
              </w:rPr>
              <w:t>74</w:t>
            </w:r>
          </w:hyperlink>
        </w:p>
        <w:p>
          <w:pPr>
            <w:pStyle w:val="Contents4"/>
            <w:tabs>
              <w:tab w:val="clear" w:pos="8176"/>
              <w:tab w:val="right" w:pos="9026" w:leader="dot"/>
            </w:tabs>
            <w:rPr/>
          </w:pPr>
          <w:hyperlink w:anchor="__RefHeading___Toc643349_222507752">
            <w:r>
              <w:rPr>
                <w:webHidden/>
                <w:rStyle w:val="IndexLink"/>
              </w:rPr>
              <w:t>2</w:t>
            </w:r>
            <w:r>
              <w:rPr>
                <w:rStyle w:val="IndexLink"/>
                <w:rtl w:val="true"/>
              </w:rPr>
              <w:t xml:space="preserve"> . </w:t>
            </w:r>
            <w:r>
              <w:rPr>
                <w:rStyle w:val="IndexLink"/>
                <w:rtl w:val="true"/>
              </w:rPr>
              <w:t>داوری میان اهل کتاب با کتاب آنها</w:t>
            </w:r>
            <w:r>
              <w:rPr>
                <w:rStyle w:val="IndexLink"/>
                <w:rtl w:val="true"/>
              </w:rPr>
              <w:tab/>
            </w:r>
            <w:r>
              <w:rPr>
                <w:rStyle w:val="IndexLink"/>
              </w:rPr>
              <w:t>74</w:t>
            </w:r>
          </w:hyperlink>
        </w:p>
        <w:p>
          <w:pPr>
            <w:pStyle w:val="Contents4"/>
            <w:tabs>
              <w:tab w:val="clear" w:pos="8176"/>
              <w:tab w:val="right" w:pos="9026" w:leader="dot"/>
            </w:tabs>
            <w:rPr/>
          </w:pPr>
          <w:hyperlink w:anchor="__RefHeading___Toc643351_222507752">
            <w:r>
              <w:rPr>
                <w:webHidden/>
                <w:rStyle w:val="IndexLink"/>
              </w:rPr>
              <w:t>3</w:t>
            </w:r>
            <w:r>
              <w:rPr>
                <w:rStyle w:val="IndexLink"/>
                <w:rtl w:val="true"/>
              </w:rPr>
              <w:t xml:space="preserve"> . </w:t>
            </w:r>
            <w:r>
              <w:rPr>
                <w:rStyle w:val="IndexLink"/>
                <w:rtl w:val="true"/>
              </w:rPr>
              <w:t>شباهت سیرة مهدی  با سیره پیامبر</w:t>
            </w:r>
            <w:r>
              <w:rPr>
                <w:rStyle w:val="IndexLink"/>
                <w:rtl w:val="true"/>
              </w:rPr>
              <w:tab/>
            </w:r>
            <w:r>
              <w:rPr>
                <w:rStyle w:val="IndexLink"/>
              </w:rPr>
              <w:t>74</w:t>
            </w:r>
          </w:hyperlink>
        </w:p>
        <w:p>
          <w:pPr>
            <w:pStyle w:val="Contents3"/>
            <w:tabs>
              <w:tab w:val="clear" w:pos="8459"/>
              <w:tab w:val="right" w:pos="9026" w:leader="dot"/>
            </w:tabs>
            <w:rPr/>
          </w:pPr>
          <w:hyperlink w:anchor="__RefHeading___Toc643353_222507752">
            <w:r>
              <w:rPr>
                <w:webHidden/>
                <w:rStyle w:val="IndexLink"/>
                <w:rtl w:val="true"/>
              </w:rPr>
              <w:t>دیدگاه دوم</w:t>
            </w:r>
            <w:r>
              <w:rPr>
                <w:rStyle w:val="IndexLink"/>
                <w:rtl w:val="true"/>
              </w:rPr>
              <w:t xml:space="preserve">: </w:t>
            </w:r>
            <w:r>
              <w:rPr>
                <w:rStyle w:val="IndexLink"/>
                <w:rtl w:val="true"/>
              </w:rPr>
              <w:t>عدم حضور پیروان ادیان</w:t>
            </w:r>
            <w:r>
              <w:rPr>
                <w:rStyle w:val="IndexLink"/>
                <w:rtl w:val="true"/>
              </w:rPr>
              <w:tab/>
            </w:r>
            <w:r>
              <w:rPr>
                <w:rStyle w:val="IndexLink"/>
              </w:rPr>
              <w:t>75</w:t>
            </w:r>
          </w:hyperlink>
        </w:p>
        <w:p>
          <w:pPr>
            <w:pStyle w:val="Contents4"/>
            <w:tabs>
              <w:tab w:val="clear" w:pos="8176"/>
              <w:tab w:val="right" w:pos="9026" w:leader="dot"/>
            </w:tabs>
            <w:rPr/>
          </w:pPr>
          <w:hyperlink w:anchor="__RefHeading___Toc643355_222507752">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643357_222507752">
            <w:r>
              <w:rPr>
                <w:webHidden/>
                <w:rStyle w:val="IndexLink"/>
              </w:rPr>
              <w:t>1</w:t>
            </w:r>
            <w:r>
              <w:rPr>
                <w:rStyle w:val="IndexLink"/>
                <w:rtl w:val="true"/>
              </w:rPr>
              <w:t xml:space="preserve">. </w:t>
            </w:r>
            <w:r>
              <w:rPr>
                <w:rStyle w:val="IndexLink"/>
                <w:rtl w:val="true"/>
              </w:rPr>
              <w:t>آیات</w:t>
            </w:r>
            <w:r>
              <w:rPr>
                <w:rStyle w:val="IndexLink"/>
                <w:rtl w:val="true"/>
              </w:rPr>
              <w:tab/>
            </w:r>
            <w:r>
              <w:rPr>
                <w:rStyle w:val="IndexLink"/>
              </w:rPr>
              <w:t>75</w:t>
            </w:r>
          </w:hyperlink>
        </w:p>
        <w:p>
          <w:pPr>
            <w:pStyle w:val="Contents4"/>
            <w:tabs>
              <w:tab w:val="clear" w:pos="8176"/>
              <w:tab w:val="right" w:pos="9026" w:leader="dot"/>
            </w:tabs>
            <w:rPr/>
          </w:pPr>
          <w:hyperlink w:anchor="__RefHeading___Toc643359_222507752">
            <w:r>
              <w:rPr>
                <w:webHidden/>
                <w:rStyle w:val="IndexLink"/>
              </w:rPr>
              <w:t>2</w:t>
            </w:r>
            <w:r>
              <w:rPr>
                <w:rStyle w:val="IndexLink"/>
                <w:rtl w:val="true"/>
              </w:rPr>
              <w:t xml:space="preserve">. </w:t>
            </w:r>
            <w:r>
              <w:rPr>
                <w:rStyle w:val="IndexLink"/>
                <w:rtl w:val="true"/>
              </w:rPr>
              <w:t>روایات</w:t>
            </w:r>
            <w:r>
              <w:rPr>
                <w:rStyle w:val="IndexLink"/>
                <w:rtl w:val="true"/>
              </w:rPr>
              <w:tab/>
            </w:r>
            <w:r>
              <w:rPr>
                <w:rStyle w:val="IndexLink"/>
              </w:rPr>
              <w:t>75</w:t>
            </w:r>
          </w:hyperlink>
        </w:p>
        <w:p>
          <w:pPr>
            <w:pStyle w:val="Contents3"/>
            <w:tabs>
              <w:tab w:val="clear" w:pos="8459"/>
              <w:tab w:val="right" w:pos="9026" w:leader="dot"/>
            </w:tabs>
            <w:rPr/>
          </w:pPr>
          <w:hyperlink w:anchor="__RefHeading___Toc643361_222507752">
            <w:r>
              <w:rPr>
                <w:webHidden/>
                <w:rStyle w:val="IndexLink"/>
                <w:rtl w:val="true"/>
              </w:rPr>
              <w:t>خودآزمایی</w:t>
            </w:r>
            <w:r>
              <w:rPr>
                <w:rStyle w:val="IndexLink"/>
                <w:rtl w:val="true"/>
              </w:rPr>
              <w:tab/>
            </w:r>
            <w:r>
              <w:rPr>
                <w:rStyle w:val="IndexLink"/>
              </w:rPr>
              <w:t>79</w:t>
            </w:r>
          </w:hyperlink>
        </w:p>
        <w:p>
          <w:pPr>
            <w:pStyle w:val="Contents3"/>
            <w:tabs>
              <w:tab w:val="clear" w:pos="8459"/>
              <w:tab w:val="right" w:pos="9026" w:leader="dot"/>
            </w:tabs>
            <w:rPr/>
          </w:pPr>
          <w:hyperlink w:anchor="__RefHeading___Toc643363_222507752">
            <w:r>
              <w:rPr>
                <w:webHidden/>
                <w:rStyle w:val="IndexLink"/>
                <w:rtl w:val="true"/>
              </w:rPr>
              <w:t>منابع برای پژوهش</w:t>
            </w:r>
            <w:r>
              <w:rPr>
                <w:rStyle w:val="IndexLink"/>
                <w:rtl w:val="true"/>
              </w:rPr>
              <w:tab/>
            </w:r>
            <w:r>
              <w:rPr>
                <w:rStyle w:val="IndexLink"/>
              </w:rPr>
              <w:t>79</w:t>
            </w:r>
          </w:hyperlink>
        </w:p>
        <w:p>
          <w:pPr>
            <w:pStyle w:val="Contents2"/>
            <w:tabs>
              <w:tab w:val="clear" w:pos="8743"/>
              <w:tab w:val="right" w:pos="9026" w:leader="dot"/>
            </w:tabs>
            <w:rPr/>
          </w:pPr>
          <w:hyperlink w:anchor="__RefHeading___Toc643365_222507752">
            <w:r>
              <w:rPr>
                <w:webHidden/>
                <w:rStyle w:val="IndexLink"/>
                <w:rtl w:val="true"/>
              </w:rPr>
              <w:t>درس چهارم</w:t>
            </w:r>
            <w:r>
              <w:rPr>
                <w:rStyle w:val="IndexLink"/>
                <w:rtl w:val="true"/>
              </w:rPr>
              <w:t xml:space="preserve">: </w:t>
            </w:r>
            <w:r>
              <w:rPr>
                <w:rStyle w:val="IndexLink"/>
                <w:rtl w:val="true"/>
              </w:rPr>
              <w:t>حکومت حضرت مهدی علیه‌السلام و عدالت</w:t>
            </w:r>
            <w:r>
              <w:rPr>
                <w:rStyle w:val="IndexLink"/>
                <w:rtl w:val="true"/>
              </w:rPr>
              <w:tab/>
            </w:r>
            <w:r>
              <w:rPr>
                <w:rStyle w:val="IndexLink"/>
              </w:rPr>
              <w:t>81</w:t>
            </w:r>
          </w:hyperlink>
        </w:p>
        <w:p>
          <w:pPr>
            <w:pStyle w:val="Contents3"/>
            <w:tabs>
              <w:tab w:val="clear" w:pos="8459"/>
              <w:tab w:val="right" w:pos="9026" w:leader="dot"/>
            </w:tabs>
            <w:rPr/>
          </w:pPr>
          <w:hyperlink w:anchor="__RefHeading___Toc643367_222507752">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643369_222507752">
            <w:r>
              <w:rPr>
                <w:webHidden/>
                <w:rStyle w:val="IndexLink"/>
                <w:rtl w:val="true"/>
              </w:rPr>
              <w:t>پیش‌درآمد</w:t>
            </w:r>
            <w:r>
              <w:rPr>
                <w:rStyle w:val="IndexLink"/>
                <w:rtl w:val="true"/>
              </w:rPr>
              <w:tab/>
            </w:r>
            <w:r>
              <w:rPr>
                <w:rStyle w:val="IndexLink"/>
              </w:rPr>
              <w:t>82</w:t>
            </w:r>
          </w:hyperlink>
        </w:p>
        <w:p>
          <w:pPr>
            <w:pStyle w:val="Contents3"/>
            <w:tabs>
              <w:tab w:val="clear" w:pos="8459"/>
              <w:tab w:val="right" w:pos="9026" w:leader="dot"/>
            </w:tabs>
            <w:rPr/>
          </w:pPr>
          <w:hyperlink w:anchor="__RefHeading___Toc643371_222507752">
            <w:r>
              <w:rPr>
                <w:webHidden/>
                <w:rStyle w:val="IndexLink"/>
                <w:rtl w:val="true"/>
              </w:rPr>
              <w:t>مفهوم شناسی عدالت</w:t>
            </w:r>
            <w:r>
              <w:rPr>
                <w:rStyle w:val="IndexLink"/>
                <w:rtl w:val="true"/>
              </w:rPr>
              <w:tab/>
            </w:r>
            <w:r>
              <w:rPr>
                <w:rStyle w:val="IndexLink"/>
              </w:rPr>
              <w:t>83</w:t>
            </w:r>
          </w:hyperlink>
        </w:p>
        <w:p>
          <w:pPr>
            <w:pStyle w:val="Contents4"/>
            <w:tabs>
              <w:tab w:val="clear" w:pos="8176"/>
              <w:tab w:val="right" w:pos="9026" w:leader="dot"/>
            </w:tabs>
            <w:rPr/>
          </w:pPr>
          <w:hyperlink w:anchor="__RefHeading___Toc643373_222507752">
            <w:r>
              <w:rPr>
                <w:webHidden/>
                <w:rStyle w:val="IndexLink"/>
                <w:rtl w:val="true"/>
              </w:rPr>
              <w:t>الف</w:t>
            </w:r>
            <w:r>
              <w:rPr>
                <w:rStyle w:val="IndexLink"/>
                <w:rtl w:val="true"/>
              </w:rPr>
              <w:t xml:space="preserve">) </w:t>
            </w:r>
            <w:r>
              <w:rPr>
                <w:rStyle w:val="IndexLink"/>
                <w:rtl w:val="true"/>
              </w:rPr>
              <w:t>معنای لغوی</w:t>
            </w:r>
            <w:r>
              <w:rPr>
                <w:rStyle w:val="IndexLink"/>
                <w:rtl w:val="true"/>
              </w:rPr>
              <w:tab/>
            </w:r>
            <w:r>
              <w:rPr>
                <w:rStyle w:val="IndexLink"/>
              </w:rPr>
              <w:t>83</w:t>
            </w:r>
          </w:hyperlink>
        </w:p>
        <w:p>
          <w:pPr>
            <w:pStyle w:val="Contents4"/>
            <w:tabs>
              <w:tab w:val="clear" w:pos="8176"/>
              <w:tab w:val="right" w:pos="9026" w:leader="dot"/>
            </w:tabs>
            <w:rPr/>
          </w:pPr>
          <w:hyperlink w:anchor="__RefHeading___Toc643375_222507752">
            <w:r>
              <w:rPr>
                <w:webHidden/>
                <w:rStyle w:val="IndexLink"/>
                <w:rtl w:val="true"/>
              </w:rPr>
              <w:t>ب</w:t>
            </w:r>
            <w:r>
              <w:rPr>
                <w:rStyle w:val="IndexLink"/>
                <w:rtl w:val="true"/>
              </w:rPr>
              <w:t xml:space="preserve">) </w:t>
            </w:r>
            <w:r>
              <w:rPr>
                <w:rStyle w:val="IndexLink"/>
                <w:rtl w:val="true"/>
              </w:rPr>
              <w:t>معنای اصطلاحی</w:t>
            </w:r>
            <w:r>
              <w:rPr>
                <w:rStyle w:val="IndexLink"/>
                <w:rtl w:val="true"/>
              </w:rPr>
              <w:tab/>
            </w:r>
            <w:r>
              <w:rPr>
                <w:rStyle w:val="IndexLink"/>
              </w:rPr>
              <w:t>84</w:t>
            </w:r>
          </w:hyperlink>
        </w:p>
        <w:p>
          <w:pPr>
            <w:pStyle w:val="Contents3"/>
            <w:tabs>
              <w:tab w:val="clear" w:pos="8459"/>
              <w:tab w:val="right" w:pos="9026" w:leader="dot"/>
            </w:tabs>
            <w:rPr/>
          </w:pPr>
          <w:hyperlink w:anchor="__RefHeading___Toc643377_222507752">
            <w:r>
              <w:rPr>
                <w:webHidden/>
                <w:rStyle w:val="IndexLink"/>
                <w:rtl w:val="true"/>
              </w:rPr>
              <w:t>عدالت در آموزه‌های دینی</w:t>
            </w:r>
            <w:r>
              <w:rPr>
                <w:rStyle w:val="IndexLink"/>
                <w:rtl w:val="true"/>
              </w:rPr>
              <w:tab/>
            </w:r>
            <w:r>
              <w:rPr>
                <w:rStyle w:val="IndexLink"/>
              </w:rPr>
              <w:t>85</w:t>
            </w:r>
          </w:hyperlink>
        </w:p>
        <w:p>
          <w:pPr>
            <w:pStyle w:val="Contents4"/>
            <w:tabs>
              <w:tab w:val="clear" w:pos="8176"/>
              <w:tab w:val="right" w:pos="9026" w:leader="dot"/>
            </w:tabs>
            <w:rPr/>
          </w:pPr>
          <w:hyperlink w:anchor="__RefHeading___Toc643379_222507752">
            <w:r>
              <w:rPr>
                <w:webHidden/>
                <w:rStyle w:val="IndexLink"/>
                <w:rtl w:val="true"/>
              </w:rPr>
              <w:t>الف</w:t>
            </w:r>
            <w:r>
              <w:rPr>
                <w:rStyle w:val="IndexLink"/>
                <w:rtl w:val="true"/>
              </w:rPr>
              <w:t xml:space="preserve">) </w:t>
            </w:r>
            <w:r>
              <w:rPr>
                <w:rStyle w:val="IndexLink"/>
                <w:rtl w:val="true"/>
              </w:rPr>
              <w:t>در قرآن</w:t>
            </w:r>
            <w:r>
              <w:rPr>
                <w:rStyle w:val="IndexLink"/>
                <w:rtl w:val="true"/>
              </w:rPr>
              <w:tab/>
            </w:r>
            <w:r>
              <w:rPr>
                <w:rStyle w:val="IndexLink"/>
              </w:rPr>
              <w:t>85</w:t>
            </w:r>
          </w:hyperlink>
        </w:p>
        <w:p>
          <w:pPr>
            <w:pStyle w:val="Contents4"/>
            <w:tabs>
              <w:tab w:val="clear" w:pos="8176"/>
              <w:tab w:val="right" w:pos="9026" w:leader="dot"/>
            </w:tabs>
            <w:rPr/>
          </w:pPr>
          <w:hyperlink w:anchor="__RefHeading___Toc643381_222507752">
            <w:r>
              <w:rPr>
                <w:webHidden/>
                <w:rStyle w:val="IndexLink"/>
                <w:rtl w:val="true"/>
              </w:rPr>
              <w:t>ب</w:t>
            </w:r>
            <w:r>
              <w:rPr>
                <w:rStyle w:val="IndexLink"/>
                <w:rtl w:val="true"/>
              </w:rPr>
              <w:t xml:space="preserve">) </w:t>
            </w:r>
            <w:r>
              <w:rPr>
                <w:rStyle w:val="IndexLink"/>
                <w:rtl w:val="true"/>
              </w:rPr>
              <w:t>در روایات</w:t>
            </w:r>
            <w:r>
              <w:rPr>
                <w:rStyle w:val="IndexLink"/>
                <w:rtl w:val="true"/>
              </w:rPr>
              <w:tab/>
            </w:r>
            <w:r>
              <w:rPr>
                <w:rStyle w:val="IndexLink"/>
              </w:rPr>
              <w:t>86</w:t>
            </w:r>
          </w:hyperlink>
        </w:p>
        <w:p>
          <w:pPr>
            <w:pStyle w:val="Contents3"/>
            <w:tabs>
              <w:tab w:val="clear" w:pos="8459"/>
              <w:tab w:val="right" w:pos="9026" w:leader="dot"/>
            </w:tabs>
            <w:rPr/>
          </w:pPr>
          <w:hyperlink w:anchor="__RefHeading___Toc643383_222507752">
            <w:r>
              <w:rPr>
                <w:webHidden/>
                <w:rStyle w:val="IndexLink"/>
                <w:rtl w:val="true"/>
              </w:rPr>
              <w:t>عدالت در دولت مهدی موعود علیه‌السلام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643385_222507752">
            <w:r>
              <w:rPr>
                <w:webHidden/>
                <w:rStyle w:val="IndexLink"/>
                <w:rtl w:val="true"/>
              </w:rPr>
              <w:t>راهبردهای عدالت‌گستری مهدوی</w:t>
            </w:r>
            <w:r>
              <w:rPr>
                <w:rStyle w:val="IndexLink"/>
                <w:rtl w:val="true"/>
              </w:rPr>
              <w:tab/>
            </w:r>
            <w:r>
              <w:rPr>
                <w:rStyle w:val="IndexLink"/>
              </w:rPr>
              <w:t>88</w:t>
            </w:r>
          </w:hyperlink>
        </w:p>
        <w:p>
          <w:pPr>
            <w:pStyle w:val="Contents4"/>
            <w:tabs>
              <w:tab w:val="clear" w:pos="8176"/>
              <w:tab w:val="right" w:pos="9026" w:leader="dot"/>
            </w:tabs>
            <w:rPr/>
          </w:pPr>
          <w:hyperlink w:anchor="__RefHeading___Toc643387_222507752">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643389_222507752">
            <w:r>
              <w:rPr>
                <w:webHidden/>
                <w:rStyle w:val="IndexLink"/>
                <w:rtl w:val="true"/>
              </w:rPr>
              <w:t>افزایش معرفت</w:t>
            </w:r>
            <w:r>
              <w:rPr>
                <w:rStyle w:val="IndexLink"/>
                <w:rtl w:val="true"/>
              </w:rPr>
              <w:tab/>
            </w:r>
            <w:r>
              <w:rPr>
                <w:rStyle w:val="IndexLink"/>
              </w:rPr>
              <w:t>88</w:t>
            </w:r>
          </w:hyperlink>
        </w:p>
        <w:p>
          <w:pPr>
            <w:pStyle w:val="Contents4"/>
            <w:tabs>
              <w:tab w:val="clear" w:pos="8176"/>
              <w:tab w:val="right" w:pos="9026" w:leader="dot"/>
            </w:tabs>
            <w:rPr/>
          </w:pPr>
          <w:hyperlink w:anchor="__RefHeading___Toc643391_222507752">
            <w:r>
              <w:rPr>
                <w:webHidden/>
                <w:rStyle w:val="IndexLink"/>
                <w:rtl w:val="true"/>
              </w:rPr>
              <w:t>گسترش انفاق</w:t>
            </w:r>
            <w:r>
              <w:rPr>
                <w:rStyle w:val="IndexLink"/>
                <w:rtl w:val="true"/>
              </w:rPr>
              <w:tab/>
            </w:r>
            <w:r>
              <w:rPr>
                <w:rStyle w:val="IndexLink"/>
              </w:rPr>
              <w:t>89</w:t>
            </w:r>
          </w:hyperlink>
        </w:p>
        <w:p>
          <w:pPr>
            <w:pStyle w:val="Contents4"/>
            <w:tabs>
              <w:tab w:val="clear" w:pos="8176"/>
              <w:tab w:val="right" w:pos="9026" w:leader="dot"/>
            </w:tabs>
            <w:rPr/>
          </w:pPr>
          <w:hyperlink w:anchor="__RefHeading___Toc643393_222507752">
            <w:r>
              <w:rPr>
                <w:webHidden/>
                <w:rStyle w:val="IndexLink"/>
                <w:rtl w:val="true"/>
              </w:rPr>
              <w:t>توزیع دادگرانه</w:t>
            </w:r>
            <w:r>
              <w:rPr>
                <w:rStyle w:val="IndexLink"/>
                <w:rtl w:val="true"/>
              </w:rPr>
              <w:tab/>
            </w:r>
            <w:r>
              <w:rPr>
                <w:rStyle w:val="IndexLink"/>
              </w:rPr>
              <w:t>89</w:t>
            </w:r>
          </w:hyperlink>
        </w:p>
        <w:p>
          <w:pPr>
            <w:pStyle w:val="Contents4"/>
            <w:tabs>
              <w:tab w:val="clear" w:pos="8176"/>
              <w:tab w:val="right" w:pos="9026" w:leader="dot"/>
            </w:tabs>
            <w:rPr/>
          </w:pPr>
          <w:hyperlink w:anchor="__RefHeading___Toc643395_222507752">
            <w:r>
              <w:rPr>
                <w:webHidden/>
                <w:rStyle w:val="IndexLink"/>
                <w:rtl w:val="true"/>
              </w:rPr>
              <w:t>برداشتن افزون‌خواهی</w:t>
            </w:r>
            <w:r>
              <w:rPr>
                <w:rStyle w:val="IndexLink"/>
                <w:rtl w:val="true"/>
              </w:rPr>
              <w:tab/>
            </w:r>
            <w:r>
              <w:rPr>
                <w:rStyle w:val="IndexLink"/>
              </w:rPr>
              <w:t>89</w:t>
            </w:r>
          </w:hyperlink>
        </w:p>
        <w:p>
          <w:pPr>
            <w:pStyle w:val="Contents4"/>
            <w:tabs>
              <w:tab w:val="clear" w:pos="8176"/>
              <w:tab w:val="right" w:pos="9026" w:leader="dot"/>
            </w:tabs>
            <w:rPr/>
          </w:pPr>
          <w:hyperlink w:anchor="__RefHeading___Toc643397_222507752">
            <w:r>
              <w:rPr>
                <w:webHidden/>
                <w:rStyle w:val="IndexLink"/>
                <w:rtl w:val="true"/>
              </w:rPr>
              <w:t>احساس بی‌نیازی در مردم</w:t>
            </w:r>
            <w:r>
              <w:rPr>
                <w:rStyle w:val="IndexLink"/>
                <w:rtl w:val="true"/>
              </w:rPr>
              <w:tab/>
            </w:r>
            <w:r>
              <w:rPr>
                <w:rStyle w:val="IndexLink"/>
              </w:rPr>
              <w:t>90</w:t>
            </w:r>
          </w:hyperlink>
        </w:p>
        <w:p>
          <w:pPr>
            <w:pStyle w:val="Contents3"/>
            <w:tabs>
              <w:tab w:val="clear" w:pos="8459"/>
              <w:tab w:val="right" w:pos="9026" w:leader="dot"/>
            </w:tabs>
            <w:rPr/>
          </w:pPr>
          <w:hyperlink w:anchor="__RefHeading___Toc643399_222507752">
            <w:r>
              <w:rPr>
                <w:webHidden/>
                <w:rStyle w:val="IndexLink"/>
                <w:rtl w:val="true"/>
              </w:rPr>
              <w:t>گسترة عدالت مهدوی</w:t>
            </w:r>
            <w:r>
              <w:rPr>
                <w:rStyle w:val="IndexLink"/>
                <w:rtl w:val="true"/>
              </w:rPr>
              <w:tab/>
            </w:r>
            <w:r>
              <w:rPr>
                <w:rStyle w:val="IndexLink"/>
              </w:rPr>
              <w:t>90</w:t>
            </w:r>
          </w:hyperlink>
        </w:p>
        <w:p>
          <w:pPr>
            <w:pStyle w:val="Contents4"/>
            <w:tabs>
              <w:tab w:val="clear" w:pos="8176"/>
              <w:tab w:val="right" w:pos="9026" w:leader="dot"/>
            </w:tabs>
            <w:rPr/>
          </w:pPr>
          <w:hyperlink w:anchor="__RefHeading___Toc643401_222507752">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643403_222507752">
            <w:r>
              <w:rPr>
                <w:webHidden/>
                <w:rStyle w:val="IndexLink"/>
              </w:rPr>
              <w:t>1</w:t>
            </w:r>
            <w:r>
              <w:rPr>
                <w:rStyle w:val="IndexLink"/>
                <w:rtl w:val="true"/>
              </w:rPr>
              <w:t xml:space="preserve">. </w:t>
            </w:r>
            <w:r>
              <w:rPr>
                <w:rStyle w:val="IndexLink"/>
                <w:rtl w:val="true"/>
              </w:rPr>
              <w:t>گسترة انسانی</w:t>
            </w:r>
            <w:r>
              <w:rPr>
                <w:rStyle w:val="IndexLink"/>
                <w:rtl w:val="true"/>
              </w:rPr>
              <w:tab/>
            </w:r>
            <w:r>
              <w:rPr>
                <w:rStyle w:val="IndexLink"/>
              </w:rPr>
              <w:t>90</w:t>
            </w:r>
          </w:hyperlink>
        </w:p>
        <w:p>
          <w:pPr>
            <w:pStyle w:val="Contents4"/>
            <w:tabs>
              <w:tab w:val="clear" w:pos="8176"/>
              <w:tab w:val="right" w:pos="9026" w:leader="dot"/>
            </w:tabs>
            <w:rPr/>
          </w:pPr>
          <w:hyperlink w:anchor="__RefHeading___Toc643405_222507752">
            <w:r>
              <w:rPr>
                <w:webHidden/>
                <w:rStyle w:val="IndexLink"/>
              </w:rPr>
              <w:t>2</w:t>
            </w:r>
            <w:r>
              <w:rPr>
                <w:rStyle w:val="IndexLink"/>
                <w:rtl w:val="true"/>
              </w:rPr>
              <w:t xml:space="preserve">. </w:t>
            </w:r>
            <w:r>
              <w:rPr>
                <w:rStyle w:val="IndexLink"/>
                <w:rtl w:val="true"/>
              </w:rPr>
              <w:t>گسترة جغرافیایی</w:t>
            </w:r>
            <w:r>
              <w:rPr>
                <w:rStyle w:val="IndexLink"/>
                <w:rtl w:val="true"/>
              </w:rPr>
              <w:tab/>
            </w:r>
            <w:r>
              <w:rPr>
                <w:rStyle w:val="IndexLink"/>
              </w:rPr>
              <w:t>91</w:t>
            </w:r>
          </w:hyperlink>
        </w:p>
        <w:p>
          <w:pPr>
            <w:pStyle w:val="Contents4"/>
            <w:tabs>
              <w:tab w:val="clear" w:pos="8176"/>
              <w:tab w:val="right" w:pos="9026" w:leader="dot"/>
            </w:tabs>
            <w:rPr/>
          </w:pPr>
          <w:hyperlink w:anchor="__RefHeading___Toc643407_222507752">
            <w:r>
              <w:rPr>
                <w:webHidden/>
                <w:rStyle w:val="IndexLink"/>
              </w:rPr>
              <w:t>3</w:t>
            </w:r>
            <w:r>
              <w:rPr>
                <w:rStyle w:val="IndexLink"/>
                <w:rtl w:val="true"/>
              </w:rPr>
              <w:t xml:space="preserve">. </w:t>
            </w:r>
            <w:r>
              <w:rPr>
                <w:rStyle w:val="IndexLink"/>
                <w:rtl w:val="true"/>
              </w:rPr>
              <w:t>گسترة مصداقی</w:t>
            </w:r>
            <w:r>
              <w:rPr>
                <w:rStyle w:val="IndexLink"/>
                <w:rtl w:val="true"/>
              </w:rPr>
              <w:tab/>
            </w:r>
            <w:r>
              <w:rPr>
                <w:rStyle w:val="IndexLink"/>
              </w:rPr>
              <w:t>91</w:t>
            </w:r>
          </w:hyperlink>
        </w:p>
        <w:p>
          <w:pPr>
            <w:pStyle w:val="Contents5"/>
            <w:tabs>
              <w:tab w:val="clear" w:pos="7892"/>
              <w:tab w:val="right" w:pos="9026" w:leader="dot"/>
            </w:tabs>
            <w:rPr/>
          </w:pPr>
          <w:hyperlink w:anchor="__RefHeading___Toc643409_222507752">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643411_222507752">
            <w:r>
              <w:rPr>
                <w:webHidden/>
                <w:rStyle w:val="IndexLink"/>
                <w:rtl w:val="true"/>
              </w:rPr>
              <w:t>یک</w:t>
            </w:r>
            <w:r>
              <w:rPr>
                <w:rStyle w:val="IndexLink"/>
                <w:rtl w:val="true"/>
              </w:rPr>
              <w:t xml:space="preserve">. </w:t>
            </w:r>
            <w:r>
              <w:rPr>
                <w:rStyle w:val="IndexLink"/>
                <w:rtl w:val="true"/>
              </w:rPr>
              <w:t>عدالت  در داوری</w:t>
            </w:r>
            <w:r>
              <w:rPr>
                <w:rStyle w:val="IndexLink"/>
                <w:rtl w:val="true"/>
              </w:rPr>
              <w:tab/>
            </w:r>
            <w:r>
              <w:rPr>
                <w:rStyle w:val="IndexLink"/>
              </w:rPr>
              <w:t>91</w:t>
            </w:r>
          </w:hyperlink>
        </w:p>
        <w:p>
          <w:pPr>
            <w:pStyle w:val="Contents5"/>
            <w:tabs>
              <w:tab w:val="clear" w:pos="7892"/>
              <w:tab w:val="right" w:pos="9026" w:leader="dot"/>
            </w:tabs>
            <w:rPr/>
          </w:pPr>
          <w:hyperlink w:anchor="__RefHeading___Toc643413_222507752">
            <w:r>
              <w:rPr>
                <w:webHidden/>
                <w:rStyle w:val="IndexLink"/>
                <w:rtl w:val="true"/>
              </w:rPr>
              <w:t>دو</w:t>
            </w:r>
            <w:r>
              <w:rPr>
                <w:rStyle w:val="IndexLink"/>
                <w:rtl w:val="true"/>
              </w:rPr>
              <w:t xml:space="preserve">. </w:t>
            </w:r>
            <w:r>
              <w:rPr>
                <w:rStyle w:val="IndexLink"/>
                <w:rtl w:val="true"/>
              </w:rPr>
              <w:t>عدالت در عرصه اقتصاد</w:t>
            </w:r>
            <w:r>
              <w:rPr>
                <w:rStyle w:val="IndexLink"/>
                <w:rtl w:val="true"/>
              </w:rPr>
              <w:tab/>
            </w:r>
            <w:r>
              <w:rPr>
                <w:rStyle w:val="IndexLink"/>
              </w:rPr>
              <w:t>92</w:t>
            </w:r>
          </w:hyperlink>
        </w:p>
        <w:p>
          <w:pPr>
            <w:pStyle w:val="Contents5"/>
            <w:tabs>
              <w:tab w:val="clear" w:pos="7892"/>
              <w:tab w:val="right" w:pos="9026" w:leader="dot"/>
            </w:tabs>
            <w:rPr/>
          </w:pPr>
          <w:hyperlink w:anchor="__RefHeading___Toc643415_222507752">
            <w:r>
              <w:rPr>
                <w:webHidden/>
                <w:rStyle w:val="IndexLink"/>
                <w:rtl w:val="true"/>
              </w:rPr>
              <w:t>سه</w:t>
            </w:r>
            <w:r>
              <w:rPr>
                <w:rStyle w:val="IndexLink"/>
                <w:rtl w:val="true"/>
              </w:rPr>
              <w:t xml:space="preserve">. </w:t>
            </w:r>
            <w:r>
              <w:rPr>
                <w:rStyle w:val="IndexLink"/>
                <w:rtl w:val="true"/>
              </w:rPr>
              <w:t>عدالت در عرصه سیاست</w:t>
            </w:r>
            <w:r>
              <w:rPr>
                <w:rStyle w:val="IndexLink"/>
                <w:rtl w:val="true"/>
              </w:rPr>
              <w:tab/>
            </w:r>
            <w:r>
              <w:rPr>
                <w:rStyle w:val="IndexLink"/>
              </w:rPr>
              <w:t>92</w:t>
            </w:r>
          </w:hyperlink>
        </w:p>
        <w:p>
          <w:pPr>
            <w:pStyle w:val="Contents5"/>
            <w:tabs>
              <w:tab w:val="clear" w:pos="7892"/>
              <w:tab w:val="right" w:pos="9026" w:leader="dot"/>
            </w:tabs>
            <w:rPr/>
          </w:pPr>
          <w:hyperlink w:anchor="__RefHeading___Toc643417_222507752">
            <w:r>
              <w:rPr>
                <w:webHidden/>
                <w:rStyle w:val="IndexLink"/>
                <w:rtl w:val="true"/>
              </w:rPr>
              <w:t xml:space="preserve">چهار </w:t>
            </w:r>
            <w:r>
              <w:rPr>
                <w:rStyle w:val="IndexLink"/>
                <w:rtl w:val="true"/>
              </w:rPr>
              <w:t xml:space="preserve">. </w:t>
            </w:r>
            <w:r>
              <w:rPr>
                <w:rStyle w:val="IndexLink"/>
                <w:rtl w:val="true"/>
              </w:rPr>
              <w:t>عدالت در عرصه فرهنگ</w:t>
            </w:r>
            <w:r>
              <w:rPr>
                <w:rStyle w:val="IndexLink"/>
                <w:rtl w:val="true"/>
              </w:rPr>
              <w:tab/>
            </w:r>
            <w:r>
              <w:rPr>
                <w:rStyle w:val="IndexLink"/>
              </w:rPr>
              <w:t>93</w:t>
            </w:r>
          </w:hyperlink>
        </w:p>
        <w:p>
          <w:pPr>
            <w:pStyle w:val="Contents3"/>
            <w:tabs>
              <w:tab w:val="clear" w:pos="8459"/>
              <w:tab w:val="right" w:pos="9026" w:leader="dot"/>
            </w:tabs>
            <w:rPr/>
          </w:pPr>
          <w:hyperlink w:anchor="__RefHeading___Toc643419_222507752">
            <w:r>
              <w:rPr>
                <w:webHidden/>
                <w:rStyle w:val="IndexLink"/>
                <w:rtl w:val="true"/>
              </w:rPr>
              <w:t>آثار و برکات عدالت</w:t>
            </w:r>
            <w:r>
              <w:rPr>
                <w:rStyle w:val="IndexLink"/>
                <w:rtl w:val="true"/>
              </w:rPr>
              <w:tab/>
            </w:r>
            <w:r>
              <w:rPr>
                <w:rStyle w:val="IndexLink"/>
              </w:rPr>
              <w:t>93</w:t>
            </w:r>
          </w:hyperlink>
        </w:p>
        <w:p>
          <w:pPr>
            <w:pStyle w:val="Contents3"/>
            <w:tabs>
              <w:tab w:val="clear" w:pos="8459"/>
              <w:tab w:val="right" w:pos="9026" w:leader="dot"/>
            </w:tabs>
            <w:rPr/>
          </w:pPr>
          <w:hyperlink w:anchor="__RefHeading___Toc643421_222507752">
            <w:r>
              <w:rPr>
                <w:webHidden/>
                <w:rStyle w:val="IndexLink"/>
                <w:rtl w:val="true"/>
              </w:rPr>
              <w:t>خودآزمایی</w:t>
            </w:r>
            <w:r>
              <w:rPr>
                <w:rStyle w:val="IndexLink"/>
                <w:rtl w:val="true"/>
              </w:rPr>
              <w:tab/>
            </w:r>
            <w:r>
              <w:rPr>
                <w:rStyle w:val="IndexLink"/>
              </w:rPr>
              <w:t>95</w:t>
            </w:r>
          </w:hyperlink>
        </w:p>
        <w:p>
          <w:pPr>
            <w:pStyle w:val="Contents3"/>
            <w:tabs>
              <w:tab w:val="clear" w:pos="8459"/>
              <w:tab w:val="right" w:pos="9026" w:leader="dot"/>
            </w:tabs>
            <w:rPr/>
          </w:pPr>
          <w:hyperlink w:anchor="__RefHeading___Toc643423_222507752">
            <w:r>
              <w:rPr>
                <w:webHidden/>
                <w:rStyle w:val="IndexLink"/>
                <w:rtl w:val="true"/>
              </w:rPr>
              <w:t>منابع برای پژوهش</w:t>
            </w:r>
            <w:r>
              <w:rPr>
                <w:rStyle w:val="IndexLink"/>
                <w:rtl w:val="true"/>
              </w:rPr>
              <w:tab/>
            </w:r>
            <w:r>
              <w:rPr>
                <w:rStyle w:val="IndexLink"/>
              </w:rPr>
              <w:t>95</w:t>
            </w:r>
          </w:hyperlink>
        </w:p>
        <w:p>
          <w:pPr>
            <w:pStyle w:val="Contents2"/>
            <w:tabs>
              <w:tab w:val="clear" w:pos="8743"/>
              <w:tab w:val="right" w:pos="9026" w:leader="dot"/>
            </w:tabs>
            <w:rPr/>
          </w:pPr>
          <w:hyperlink w:anchor="__RefHeading___Toc643425_222507752">
            <w:r>
              <w:rPr>
                <w:webHidden/>
                <w:rStyle w:val="IndexLink"/>
                <w:rtl w:val="true"/>
              </w:rPr>
              <w:t>درس پنجم</w:t>
            </w:r>
            <w:r>
              <w:rPr>
                <w:rStyle w:val="IndexLink"/>
                <w:rtl w:val="true"/>
              </w:rPr>
              <w:t xml:space="preserve">: </w:t>
            </w:r>
            <w:r>
              <w:rPr>
                <w:rStyle w:val="IndexLink"/>
                <w:rtl w:val="true"/>
              </w:rPr>
              <w:t>نظام امنیتی حکومت امام مهدی علیه‌السلام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643427_222507752">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643429_222507752">
            <w:r>
              <w:rPr>
                <w:webHidden/>
                <w:rStyle w:val="IndexLink"/>
                <w:rtl w:val="true"/>
              </w:rPr>
              <w:t>پیش‌درآمد</w:t>
            </w:r>
            <w:r>
              <w:rPr>
                <w:rStyle w:val="IndexLink"/>
                <w:rtl w:val="true"/>
              </w:rPr>
              <w:tab/>
            </w:r>
            <w:r>
              <w:rPr>
                <w:rStyle w:val="IndexLink"/>
              </w:rPr>
              <w:t>98</w:t>
            </w:r>
          </w:hyperlink>
        </w:p>
        <w:p>
          <w:pPr>
            <w:pStyle w:val="Contents3"/>
            <w:tabs>
              <w:tab w:val="clear" w:pos="8459"/>
              <w:tab w:val="right" w:pos="9026" w:leader="dot"/>
            </w:tabs>
            <w:rPr/>
          </w:pPr>
          <w:hyperlink w:anchor="__RefHeading___Toc643431_222507752">
            <w:r>
              <w:rPr>
                <w:webHidden/>
                <w:rStyle w:val="IndexLink"/>
                <w:rtl w:val="true"/>
              </w:rPr>
              <w:t>امنیت</w:t>
            </w:r>
            <w:r>
              <w:rPr>
                <w:rStyle w:val="IndexLink"/>
                <w:rtl w:val="true"/>
              </w:rPr>
              <w:tab/>
            </w:r>
            <w:r>
              <w:rPr>
                <w:rStyle w:val="IndexLink"/>
              </w:rPr>
              <w:t>99</w:t>
            </w:r>
          </w:hyperlink>
        </w:p>
        <w:p>
          <w:pPr>
            <w:pStyle w:val="Contents3"/>
            <w:tabs>
              <w:tab w:val="clear" w:pos="8459"/>
              <w:tab w:val="right" w:pos="9026" w:leader="dot"/>
            </w:tabs>
            <w:rPr/>
          </w:pPr>
          <w:hyperlink w:anchor="__RefHeading___Toc643433_222507752">
            <w:r>
              <w:rPr>
                <w:webHidden/>
                <w:rStyle w:val="IndexLink"/>
                <w:rtl w:val="true"/>
              </w:rPr>
              <w:t>از نگاه اصطلاح</w:t>
            </w:r>
            <w:r>
              <w:rPr>
                <w:rStyle w:val="IndexLink"/>
                <w:rtl w:val="true"/>
              </w:rPr>
              <w:tab/>
            </w:r>
            <w:r>
              <w:rPr>
                <w:rStyle w:val="IndexLink"/>
              </w:rPr>
              <w:t>99</w:t>
            </w:r>
          </w:hyperlink>
        </w:p>
        <w:p>
          <w:pPr>
            <w:pStyle w:val="Contents4"/>
            <w:tabs>
              <w:tab w:val="clear" w:pos="8176"/>
              <w:tab w:val="right" w:pos="9026" w:leader="dot"/>
            </w:tabs>
            <w:rPr/>
          </w:pPr>
          <w:hyperlink w:anchor="__RefHeading___Toc643435_222507752">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643437_222507752">
            <w:r>
              <w:rPr>
                <w:webHidden/>
                <w:rStyle w:val="IndexLink"/>
                <w:rtl w:val="true"/>
              </w:rPr>
              <w:t>الف</w:t>
            </w:r>
            <w:r>
              <w:rPr>
                <w:rStyle w:val="IndexLink"/>
                <w:rtl w:val="true"/>
              </w:rPr>
              <w:t xml:space="preserve">) </w:t>
            </w:r>
            <w:r>
              <w:rPr>
                <w:rStyle w:val="IndexLink"/>
                <w:rtl w:val="true"/>
              </w:rPr>
              <w:t>از نگاه قرآن</w:t>
            </w:r>
            <w:r>
              <w:rPr>
                <w:rStyle w:val="IndexLink"/>
                <w:rtl w:val="true"/>
              </w:rPr>
              <w:tab/>
            </w:r>
            <w:r>
              <w:rPr>
                <w:rStyle w:val="IndexLink"/>
              </w:rPr>
              <w:t>100</w:t>
            </w:r>
          </w:hyperlink>
        </w:p>
        <w:p>
          <w:pPr>
            <w:pStyle w:val="Contents4"/>
            <w:tabs>
              <w:tab w:val="clear" w:pos="8176"/>
              <w:tab w:val="right" w:pos="9026" w:leader="dot"/>
            </w:tabs>
            <w:rPr/>
          </w:pPr>
          <w:hyperlink w:anchor="__RefHeading___Toc643439_222507752">
            <w:r>
              <w:rPr>
                <w:webHidden/>
                <w:rStyle w:val="IndexLink"/>
                <w:rtl w:val="true"/>
              </w:rPr>
              <w:t>ب</w:t>
            </w:r>
            <w:r>
              <w:rPr>
                <w:rStyle w:val="IndexLink"/>
                <w:rtl w:val="true"/>
              </w:rPr>
              <w:t xml:space="preserve">) </w:t>
            </w:r>
            <w:r>
              <w:rPr>
                <w:rStyle w:val="IndexLink"/>
                <w:rtl w:val="true"/>
              </w:rPr>
              <w:t>از نگاه روایات</w:t>
            </w:r>
            <w:r>
              <w:rPr>
                <w:rStyle w:val="IndexLink"/>
                <w:rtl w:val="true"/>
              </w:rPr>
              <w:tab/>
            </w:r>
            <w:r>
              <w:rPr>
                <w:rStyle w:val="IndexLink"/>
              </w:rPr>
              <w:t>102</w:t>
            </w:r>
          </w:hyperlink>
        </w:p>
        <w:p>
          <w:pPr>
            <w:pStyle w:val="Contents3"/>
            <w:tabs>
              <w:tab w:val="clear" w:pos="8459"/>
              <w:tab w:val="right" w:pos="9026" w:leader="dot"/>
            </w:tabs>
            <w:rPr/>
          </w:pPr>
          <w:hyperlink w:anchor="__RefHeading___Toc643441_222507752">
            <w:r>
              <w:rPr>
                <w:webHidden/>
                <w:rStyle w:val="IndexLink"/>
                <w:rtl w:val="true"/>
              </w:rPr>
              <w:t>زمینه‌های ترس، دلهره و ناامنی</w:t>
            </w:r>
            <w:r>
              <w:rPr>
                <w:rStyle w:val="IndexLink"/>
                <w:rtl w:val="true"/>
              </w:rPr>
              <w:tab/>
            </w:r>
            <w:r>
              <w:rPr>
                <w:rStyle w:val="IndexLink"/>
              </w:rPr>
              <w:t>103</w:t>
            </w:r>
          </w:hyperlink>
        </w:p>
        <w:p>
          <w:pPr>
            <w:pStyle w:val="Contents3"/>
            <w:tabs>
              <w:tab w:val="clear" w:pos="8459"/>
              <w:tab w:val="right" w:pos="9026" w:leader="dot"/>
            </w:tabs>
            <w:rPr/>
          </w:pPr>
          <w:hyperlink w:anchor="__RefHeading___Toc643443_222507752">
            <w:r>
              <w:rPr>
                <w:webHidden/>
                <w:rStyle w:val="IndexLink"/>
                <w:rtl w:val="true"/>
              </w:rPr>
              <w:t>نقش امام در امنیت روانی و معنوی</w:t>
            </w:r>
            <w:r>
              <w:rPr>
                <w:rStyle w:val="IndexLink"/>
                <w:rtl w:val="true"/>
              </w:rPr>
              <w:tab/>
            </w:r>
            <w:r>
              <w:rPr>
                <w:rStyle w:val="IndexLink"/>
              </w:rPr>
              <w:t>104</w:t>
            </w:r>
          </w:hyperlink>
        </w:p>
        <w:p>
          <w:pPr>
            <w:pStyle w:val="Contents3"/>
            <w:tabs>
              <w:tab w:val="clear" w:pos="8459"/>
              <w:tab w:val="right" w:pos="9026" w:leader="dot"/>
            </w:tabs>
            <w:rPr/>
          </w:pPr>
          <w:hyperlink w:anchor="__RefHeading___Toc643445_222507752">
            <w:r>
              <w:rPr>
                <w:webHidden/>
                <w:rStyle w:val="IndexLink"/>
                <w:rtl w:val="true"/>
              </w:rPr>
              <w:t>حکومت مهدوی و امنیت</w:t>
            </w:r>
            <w:r>
              <w:rPr>
                <w:rStyle w:val="IndexLink"/>
                <w:rtl w:val="true"/>
              </w:rPr>
              <w:tab/>
            </w:r>
            <w:r>
              <w:rPr>
                <w:rStyle w:val="IndexLink"/>
              </w:rPr>
              <w:t>105</w:t>
            </w:r>
          </w:hyperlink>
        </w:p>
        <w:p>
          <w:pPr>
            <w:pStyle w:val="Contents3"/>
            <w:tabs>
              <w:tab w:val="clear" w:pos="8459"/>
              <w:tab w:val="right" w:pos="9026" w:leader="dot"/>
            </w:tabs>
            <w:rPr/>
          </w:pPr>
          <w:hyperlink w:anchor="__RefHeading___Toc643447_222507752">
            <w:r>
              <w:rPr>
                <w:webHidden/>
                <w:rStyle w:val="IndexLink"/>
                <w:rtl w:val="true"/>
              </w:rPr>
              <w:t>گسترة امنیت در حکومت مهدوی</w:t>
            </w:r>
            <w:r>
              <w:rPr>
                <w:rStyle w:val="IndexLink"/>
                <w:rtl w:val="true"/>
              </w:rPr>
              <w:tab/>
            </w:r>
            <w:r>
              <w:rPr>
                <w:rStyle w:val="IndexLink"/>
              </w:rPr>
              <w:t>106</w:t>
            </w:r>
          </w:hyperlink>
        </w:p>
        <w:p>
          <w:pPr>
            <w:pStyle w:val="Contents4"/>
            <w:tabs>
              <w:tab w:val="clear" w:pos="8176"/>
              <w:tab w:val="right" w:pos="9026" w:leader="dot"/>
            </w:tabs>
            <w:rPr/>
          </w:pPr>
          <w:hyperlink w:anchor="__RefHeading___Toc643449_222507752">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643451_222507752">
            <w:r>
              <w:rPr>
                <w:webHidden/>
                <w:rStyle w:val="IndexLink"/>
                <w:rtl w:val="true"/>
              </w:rPr>
              <w:t xml:space="preserve">یک </w:t>
            </w:r>
            <w:r>
              <w:rPr>
                <w:rStyle w:val="IndexLink"/>
                <w:rtl w:val="true"/>
              </w:rPr>
              <w:t xml:space="preserve">. </w:t>
            </w:r>
            <w:r>
              <w:rPr>
                <w:rStyle w:val="IndexLink"/>
                <w:rtl w:val="true"/>
              </w:rPr>
              <w:t>امنیت فردی</w:t>
            </w:r>
            <w:r>
              <w:rPr>
                <w:rStyle w:val="IndexLink"/>
                <w:rtl w:val="true"/>
              </w:rPr>
              <w:tab/>
            </w:r>
            <w:r>
              <w:rPr>
                <w:rStyle w:val="IndexLink"/>
              </w:rPr>
              <w:t>106</w:t>
            </w:r>
          </w:hyperlink>
        </w:p>
        <w:p>
          <w:pPr>
            <w:pStyle w:val="Contents4"/>
            <w:tabs>
              <w:tab w:val="clear" w:pos="8176"/>
              <w:tab w:val="right" w:pos="9026" w:leader="dot"/>
            </w:tabs>
            <w:rPr/>
          </w:pPr>
          <w:hyperlink w:anchor="__RefHeading___Toc643453_222507752">
            <w:r>
              <w:rPr>
                <w:webHidden/>
                <w:rStyle w:val="IndexLink"/>
                <w:rtl w:val="true"/>
              </w:rPr>
              <w:t xml:space="preserve">دو </w:t>
            </w:r>
            <w:r>
              <w:rPr>
                <w:rStyle w:val="IndexLink"/>
                <w:rtl w:val="true"/>
              </w:rPr>
              <w:t xml:space="preserve">. </w:t>
            </w:r>
            <w:r>
              <w:rPr>
                <w:rStyle w:val="IndexLink"/>
                <w:rtl w:val="true"/>
              </w:rPr>
              <w:t>امنیت اجتماعی</w:t>
            </w:r>
            <w:r>
              <w:rPr>
                <w:rStyle w:val="IndexLink"/>
                <w:rtl w:val="true"/>
              </w:rPr>
              <w:tab/>
            </w:r>
            <w:r>
              <w:rPr>
                <w:rStyle w:val="IndexLink"/>
              </w:rPr>
              <w:t>107</w:t>
            </w:r>
          </w:hyperlink>
        </w:p>
        <w:p>
          <w:pPr>
            <w:pStyle w:val="Contents5"/>
            <w:tabs>
              <w:tab w:val="clear" w:pos="7892"/>
              <w:tab w:val="right" w:pos="9026" w:leader="dot"/>
            </w:tabs>
            <w:rPr/>
          </w:pPr>
          <w:hyperlink w:anchor="__RefHeading___Toc643455_222507752">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643457_222507752">
            <w:r>
              <w:rPr>
                <w:webHidden/>
                <w:rStyle w:val="IndexLink"/>
              </w:rPr>
              <w:t>1</w:t>
            </w:r>
            <w:r>
              <w:rPr>
                <w:rStyle w:val="IndexLink"/>
                <w:rtl w:val="true"/>
              </w:rPr>
              <w:t xml:space="preserve">. </w:t>
            </w:r>
            <w:r>
              <w:rPr>
                <w:rStyle w:val="IndexLink"/>
                <w:rtl w:val="true"/>
              </w:rPr>
              <w:t>امنیت عقیدتی ـ فرهنگی</w:t>
            </w:r>
            <w:r>
              <w:rPr>
                <w:rStyle w:val="IndexLink"/>
                <w:rtl w:val="true"/>
              </w:rPr>
              <w:tab/>
            </w:r>
            <w:r>
              <w:rPr>
                <w:rStyle w:val="IndexLink"/>
              </w:rPr>
              <w:t>107</w:t>
            </w:r>
          </w:hyperlink>
        </w:p>
        <w:p>
          <w:pPr>
            <w:pStyle w:val="Contents5"/>
            <w:tabs>
              <w:tab w:val="clear" w:pos="7892"/>
              <w:tab w:val="right" w:pos="9026" w:leader="dot"/>
            </w:tabs>
            <w:rPr/>
          </w:pPr>
          <w:hyperlink w:anchor="__RefHeading___Toc643459_222507752">
            <w:r>
              <w:rPr>
                <w:webHidden/>
                <w:rStyle w:val="IndexLink"/>
              </w:rPr>
              <w:t>2</w:t>
            </w:r>
            <w:r>
              <w:rPr>
                <w:rStyle w:val="IndexLink"/>
                <w:rtl w:val="true"/>
              </w:rPr>
              <w:t xml:space="preserve">. </w:t>
            </w:r>
            <w:r>
              <w:rPr>
                <w:rStyle w:val="IndexLink"/>
                <w:rtl w:val="true"/>
              </w:rPr>
              <w:t>امنیت اقتصادی</w:t>
            </w:r>
            <w:r>
              <w:rPr>
                <w:rStyle w:val="IndexLink"/>
                <w:rtl w:val="true"/>
              </w:rPr>
              <w:tab/>
            </w:r>
            <w:r>
              <w:rPr>
                <w:rStyle w:val="IndexLink"/>
              </w:rPr>
              <w:t>108</w:t>
            </w:r>
          </w:hyperlink>
        </w:p>
        <w:p>
          <w:pPr>
            <w:pStyle w:val="Contents5"/>
            <w:tabs>
              <w:tab w:val="clear" w:pos="7892"/>
              <w:tab w:val="right" w:pos="9026" w:leader="dot"/>
            </w:tabs>
            <w:rPr/>
          </w:pPr>
          <w:hyperlink w:anchor="__RefHeading___Toc643461_222507752">
            <w:r>
              <w:rPr>
                <w:webHidden/>
                <w:rStyle w:val="IndexLink"/>
              </w:rPr>
              <w:t>3</w:t>
            </w:r>
            <w:r>
              <w:rPr>
                <w:rStyle w:val="IndexLink"/>
                <w:rtl w:val="true"/>
              </w:rPr>
              <w:t xml:space="preserve">. </w:t>
            </w:r>
            <w:r>
              <w:rPr>
                <w:rStyle w:val="IndexLink"/>
                <w:rtl w:val="true"/>
              </w:rPr>
              <w:t>امنیت داوری</w:t>
            </w:r>
            <w:r>
              <w:rPr>
                <w:rStyle w:val="IndexLink"/>
                <w:rtl w:val="true"/>
              </w:rPr>
              <w:tab/>
            </w:r>
            <w:r>
              <w:rPr>
                <w:rStyle w:val="IndexLink"/>
              </w:rPr>
              <w:t>109</w:t>
            </w:r>
          </w:hyperlink>
        </w:p>
        <w:p>
          <w:pPr>
            <w:pStyle w:val="Contents3"/>
            <w:tabs>
              <w:tab w:val="clear" w:pos="8459"/>
              <w:tab w:val="right" w:pos="9026" w:leader="dot"/>
            </w:tabs>
            <w:rPr/>
          </w:pPr>
          <w:hyperlink w:anchor="__RefHeading___Toc643463_222507752">
            <w:r>
              <w:rPr>
                <w:webHidden/>
                <w:rStyle w:val="IndexLink"/>
                <w:rtl w:val="true"/>
              </w:rPr>
              <w:t>هم‌زیستی مسالمت‌آمیز</w:t>
            </w:r>
            <w:r>
              <w:rPr>
                <w:rStyle w:val="IndexLink"/>
                <w:rtl w:val="true"/>
              </w:rPr>
              <w:tab/>
            </w:r>
            <w:r>
              <w:rPr>
                <w:rStyle w:val="IndexLink"/>
              </w:rPr>
              <w:t>109</w:t>
            </w:r>
          </w:hyperlink>
        </w:p>
        <w:p>
          <w:pPr>
            <w:pStyle w:val="Contents4"/>
            <w:tabs>
              <w:tab w:val="clear" w:pos="8176"/>
              <w:tab w:val="right" w:pos="9026" w:leader="dot"/>
            </w:tabs>
            <w:rPr/>
          </w:pPr>
          <w:hyperlink w:anchor="__RefHeading___Toc643465_222507752">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643467_222507752">
            <w:r>
              <w:rPr>
                <w:webHidden/>
                <w:rStyle w:val="IndexLink"/>
                <w:rtl w:val="true"/>
              </w:rPr>
              <w:t>سخن آخر</w:t>
            </w:r>
            <w:r>
              <w:rPr>
                <w:rStyle w:val="IndexLink"/>
                <w:rtl w:val="true"/>
              </w:rPr>
              <w:tab/>
            </w:r>
            <w:r>
              <w:rPr>
                <w:rStyle w:val="IndexLink"/>
              </w:rPr>
              <w:t>110</w:t>
            </w:r>
          </w:hyperlink>
        </w:p>
        <w:p>
          <w:pPr>
            <w:pStyle w:val="Contents3"/>
            <w:tabs>
              <w:tab w:val="clear" w:pos="8459"/>
              <w:tab w:val="right" w:pos="9026" w:leader="dot"/>
            </w:tabs>
            <w:rPr/>
          </w:pPr>
          <w:hyperlink w:anchor="__RefHeading___Toc643469_222507752">
            <w:r>
              <w:rPr>
                <w:webHidden/>
                <w:rStyle w:val="IndexLink"/>
                <w:rtl w:val="true"/>
              </w:rPr>
              <w:t>خودآزمایی</w:t>
            </w:r>
            <w:r>
              <w:rPr>
                <w:rStyle w:val="IndexLink"/>
                <w:rtl w:val="true"/>
              </w:rPr>
              <w:tab/>
            </w:r>
            <w:r>
              <w:rPr>
                <w:rStyle w:val="IndexLink"/>
              </w:rPr>
              <w:t>111</w:t>
            </w:r>
          </w:hyperlink>
        </w:p>
        <w:p>
          <w:pPr>
            <w:pStyle w:val="Contents3"/>
            <w:tabs>
              <w:tab w:val="clear" w:pos="8459"/>
              <w:tab w:val="right" w:pos="9026" w:leader="dot"/>
            </w:tabs>
            <w:rPr/>
          </w:pPr>
          <w:hyperlink w:anchor="__RefHeading___Toc643471_222507752">
            <w:r>
              <w:rPr>
                <w:webHidden/>
                <w:rStyle w:val="IndexLink"/>
                <w:rtl w:val="true"/>
              </w:rPr>
              <w:t>منابع برای پژوهش</w:t>
            </w:r>
            <w:r>
              <w:rPr>
                <w:rStyle w:val="IndexLink"/>
                <w:rtl w:val="true"/>
              </w:rPr>
              <w:tab/>
            </w:r>
            <w:r>
              <w:rPr>
                <w:rStyle w:val="IndexLink"/>
              </w:rPr>
              <w:t>111</w:t>
            </w:r>
          </w:hyperlink>
        </w:p>
        <w:p>
          <w:pPr>
            <w:pStyle w:val="Contents2"/>
            <w:tabs>
              <w:tab w:val="clear" w:pos="8743"/>
              <w:tab w:val="right" w:pos="9026" w:leader="dot"/>
            </w:tabs>
            <w:rPr/>
          </w:pPr>
          <w:hyperlink w:anchor="__RefHeading___Toc643473_222507752">
            <w:r>
              <w:rPr>
                <w:webHidden/>
                <w:rStyle w:val="IndexLink"/>
                <w:rtl w:val="true"/>
              </w:rPr>
              <w:t>درس ششم</w:t>
            </w:r>
            <w:r>
              <w:rPr>
                <w:rStyle w:val="IndexLink"/>
                <w:rtl w:val="true"/>
              </w:rPr>
              <w:t>:   </w:t>
            </w:r>
            <w:r>
              <w:rPr>
                <w:rStyle w:val="IndexLink"/>
                <w:rtl w:val="true"/>
              </w:rPr>
              <w:t xml:space="preserve">نظام سیاسی حکومت امام مهدی علیه‌السلام </w:t>
            </w:r>
            <w:r>
              <w:rPr>
                <w:rStyle w:val="IndexLink"/>
                <w:rtl w:val="true"/>
              </w:rPr>
              <w:t>(</w:t>
            </w:r>
            <w:r>
              <w:rPr>
                <w:rStyle w:val="IndexLink"/>
              </w:rPr>
              <w:t>1</w:t>
            </w:r>
            <w:r>
              <w:rPr>
                <w:rStyle w:val="IndexLink"/>
                <w:rtl w:val="true"/>
              </w:rPr>
              <w:t>)</w:t>
              <w:tab/>
            </w:r>
            <w:r>
              <w:rPr>
                <w:rStyle w:val="IndexLink"/>
              </w:rPr>
              <w:t>113</w:t>
            </w:r>
          </w:hyperlink>
        </w:p>
        <w:p>
          <w:pPr>
            <w:pStyle w:val="Contents3"/>
            <w:tabs>
              <w:tab w:val="clear" w:pos="8459"/>
              <w:tab w:val="right" w:pos="9026" w:leader="dot"/>
            </w:tabs>
            <w:rPr/>
          </w:pPr>
          <w:hyperlink w:anchor="__RefHeading___Toc643475_222507752">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643477_222507752">
            <w:r>
              <w:rPr>
                <w:webHidden/>
                <w:rStyle w:val="IndexLink"/>
                <w:rtl w:val="true"/>
              </w:rPr>
              <w:t>پیش‌درآمد</w:t>
            </w:r>
            <w:r>
              <w:rPr>
                <w:rStyle w:val="IndexLink"/>
                <w:rtl w:val="true"/>
              </w:rPr>
              <w:tab/>
            </w:r>
            <w:r>
              <w:rPr>
                <w:rStyle w:val="IndexLink"/>
              </w:rPr>
              <w:t>114</w:t>
            </w:r>
          </w:hyperlink>
        </w:p>
        <w:p>
          <w:pPr>
            <w:pStyle w:val="Contents3"/>
            <w:tabs>
              <w:tab w:val="clear" w:pos="8459"/>
              <w:tab w:val="right" w:pos="9026" w:leader="dot"/>
            </w:tabs>
            <w:rPr/>
          </w:pPr>
          <w:hyperlink w:anchor="__RefHeading___Toc643479_222507752">
            <w:r>
              <w:rPr>
                <w:webHidden/>
                <w:rStyle w:val="IndexLink"/>
                <w:rtl w:val="true"/>
              </w:rPr>
              <w:t>یک</w:t>
            </w:r>
            <w:r>
              <w:rPr>
                <w:rStyle w:val="IndexLink"/>
                <w:rtl w:val="true"/>
              </w:rPr>
              <w:t xml:space="preserve">. </w:t>
            </w:r>
            <w:r>
              <w:rPr>
                <w:rStyle w:val="IndexLink"/>
                <w:rtl w:val="true"/>
              </w:rPr>
              <w:t>مشروعیت</w:t>
            </w:r>
            <w:r>
              <w:rPr>
                <w:rStyle w:val="IndexLink"/>
                <w:rtl w:val="true"/>
              </w:rPr>
              <w:tab/>
            </w:r>
            <w:r>
              <w:rPr>
                <w:rStyle w:val="IndexLink"/>
              </w:rPr>
              <w:t>114</w:t>
            </w:r>
          </w:hyperlink>
        </w:p>
        <w:p>
          <w:pPr>
            <w:pStyle w:val="Contents4"/>
            <w:tabs>
              <w:tab w:val="clear" w:pos="8176"/>
              <w:tab w:val="right" w:pos="9026" w:leader="dot"/>
            </w:tabs>
            <w:rPr/>
          </w:pPr>
          <w:hyperlink w:anchor="__RefHeading___Toc643481_222507752">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643483_222507752">
            <w:r>
              <w:rPr>
                <w:webHidden/>
                <w:rStyle w:val="IndexLink"/>
                <w:rtl w:val="true"/>
              </w:rPr>
              <w:t>مفهوم شناسی</w:t>
            </w:r>
            <w:r>
              <w:rPr>
                <w:rStyle w:val="IndexLink"/>
                <w:rtl w:val="true"/>
              </w:rPr>
              <w:tab/>
            </w:r>
            <w:r>
              <w:rPr>
                <w:rStyle w:val="IndexLink"/>
              </w:rPr>
              <w:t>115</w:t>
            </w:r>
          </w:hyperlink>
        </w:p>
        <w:p>
          <w:pPr>
            <w:pStyle w:val="Contents5"/>
            <w:tabs>
              <w:tab w:val="clear" w:pos="7892"/>
              <w:tab w:val="right" w:pos="9026" w:leader="dot"/>
            </w:tabs>
            <w:rPr/>
          </w:pPr>
          <w:hyperlink w:anchor="__RefHeading___Toc643485_222507752">
            <w:r>
              <w:rPr>
                <w:webHidden/>
                <w:rStyle w:val="IndexLink"/>
                <w:rtl w:val="true"/>
              </w:rPr>
              <w:t>الف</w:t>
            </w:r>
            <w:r>
              <w:rPr>
                <w:rStyle w:val="IndexLink"/>
                <w:rtl w:val="true"/>
              </w:rPr>
              <w:t xml:space="preserve">) </w:t>
            </w:r>
            <w:r>
              <w:rPr>
                <w:rStyle w:val="IndexLink"/>
                <w:rtl w:val="true"/>
              </w:rPr>
              <w:t>از نگاه لغت</w:t>
            </w:r>
            <w:r>
              <w:rPr>
                <w:rStyle w:val="IndexLink"/>
                <w:rtl w:val="true"/>
              </w:rPr>
              <w:tab/>
            </w:r>
            <w:r>
              <w:rPr>
                <w:rStyle w:val="IndexLink"/>
              </w:rPr>
              <w:t>115</w:t>
            </w:r>
          </w:hyperlink>
        </w:p>
        <w:p>
          <w:pPr>
            <w:pStyle w:val="Contents5"/>
            <w:tabs>
              <w:tab w:val="clear" w:pos="7892"/>
              <w:tab w:val="right" w:pos="9026" w:leader="dot"/>
            </w:tabs>
            <w:rPr/>
          </w:pPr>
          <w:hyperlink w:anchor="__RefHeading___Toc643487_222507752">
            <w:r>
              <w:rPr>
                <w:webHidden/>
                <w:rStyle w:val="IndexLink"/>
                <w:rtl w:val="true"/>
              </w:rPr>
              <w:t>ب</w:t>
            </w:r>
            <w:r>
              <w:rPr>
                <w:rStyle w:val="IndexLink"/>
                <w:rtl w:val="true"/>
              </w:rPr>
              <w:t xml:space="preserve">) </w:t>
            </w:r>
            <w:r>
              <w:rPr>
                <w:rStyle w:val="IndexLink"/>
                <w:rtl w:val="true"/>
              </w:rPr>
              <w:t>از نگاه اصطلاح</w:t>
            </w:r>
            <w:r>
              <w:rPr>
                <w:rStyle w:val="IndexLink"/>
                <w:rtl w:val="true"/>
              </w:rPr>
              <w:tab/>
            </w:r>
            <w:r>
              <w:rPr>
                <w:rStyle w:val="IndexLink"/>
              </w:rPr>
              <w:t>115</w:t>
            </w:r>
          </w:hyperlink>
        </w:p>
        <w:p>
          <w:pPr>
            <w:pStyle w:val="Contents4"/>
            <w:tabs>
              <w:tab w:val="clear" w:pos="8176"/>
              <w:tab w:val="right" w:pos="9026" w:leader="dot"/>
            </w:tabs>
            <w:rPr/>
          </w:pPr>
          <w:hyperlink w:anchor="__RefHeading___Toc643489_222507752">
            <w:r>
              <w:rPr>
                <w:webHidden/>
                <w:rStyle w:val="IndexLink"/>
                <w:rtl w:val="true"/>
              </w:rPr>
              <w:t>تفاوت مشروعیت در عرف سیاسی با مشروعیت در اندیشه سیاسی اسلام</w:t>
            </w:r>
            <w:r>
              <w:rPr>
                <w:rStyle w:val="IndexLink"/>
                <w:rtl w:val="true"/>
              </w:rPr>
              <w:tab/>
            </w:r>
            <w:r>
              <w:rPr>
                <w:rStyle w:val="IndexLink"/>
              </w:rPr>
              <w:t>116</w:t>
            </w:r>
          </w:hyperlink>
        </w:p>
        <w:p>
          <w:pPr>
            <w:pStyle w:val="Contents4"/>
            <w:tabs>
              <w:tab w:val="clear" w:pos="8176"/>
              <w:tab w:val="right" w:pos="9026" w:leader="dot"/>
            </w:tabs>
            <w:rPr/>
          </w:pPr>
          <w:hyperlink w:anchor="__RefHeading___Toc643491_222507752">
            <w:r>
              <w:rPr>
                <w:webHidden/>
                <w:rStyle w:val="IndexLink"/>
                <w:rtl w:val="true"/>
              </w:rPr>
              <w:t>انواع مشروعیت الهی</w:t>
            </w:r>
            <w:r>
              <w:rPr>
                <w:rStyle w:val="IndexLink"/>
                <w:rtl w:val="true"/>
              </w:rPr>
              <w:tab/>
            </w:r>
            <w:r>
              <w:rPr>
                <w:rStyle w:val="IndexLink"/>
              </w:rPr>
              <w:t>117</w:t>
            </w:r>
          </w:hyperlink>
        </w:p>
        <w:p>
          <w:pPr>
            <w:pStyle w:val="Contents5"/>
            <w:tabs>
              <w:tab w:val="clear" w:pos="7892"/>
              <w:tab w:val="right" w:pos="9026" w:leader="dot"/>
            </w:tabs>
            <w:rPr/>
          </w:pPr>
          <w:hyperlink w:anchor="__RefHeading___Toc643493_222507752">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643495_222507752">
            <w:r>
              <w:rPr>
                <w:webHidden/>
                <w:rStyle w:val="IndexLink"/>
                <w:rtl w:val="true"/>
              </w:rPr>
              <w:t>الف</w:t>
            </w:r>
            <w:r>
              <w:rPr>
                <w:rStyle w:val="IndexLink"/>
                <w:rtl w:val="true"/>
              </w:rPr>
              <w:t xml:space="preserve">) </w:t>
            </w:r>
            <w:r>
              <w:rPr>
                <w:rStyle w:val="IndexLink"/>
                <w:rtl w:val="true"/>
              </w:rPr>
              <w:t>مشروعیت الهی از جنبه هستی شناختی و توحید</w:t>
            </w:r>
            <w:r>
              <w:rPr>
                <w:rStyle w:val="IndexLink"/>
                <w:rtl w:val="true"/>
              </w:rPr>
              <w:tab/>
            </w:r>
            <w:r>
              <w:rPr>
                <w:rStyle w:val="IndexLink"/>
              </w:rPr>
              <w:t>117</w:t>
            </w:r>
          </w:hyperlink>
        </w:p>
        <w:p>
          <w:pPr>
            <w:pStyle w:val="Contents5"/>
            <w:tabs>
              <w:tab w:val="clear" w:pos="7892"/>
              <w:tab w:val="right" w:pos="9026" w:leader="dot"/>
            </w:tabs>
            <w:rPr/>
          </w:pPr>
          <w:hyperlink w:anchor="__RefHeading___Toc643497_222507752">
            <w:r>
              <w:rPr>
                <w:webHidden/>
                <w:rStyle w:val="IndexLink"/>
                <w:rtl w:val="true"/>
              </w:rPr>
              <w:t>ب</w:t>
            </w:r>
            <w:r>
              <w:rPr>
                <w:rStyle w:val="IndexLink"/>
                <w:rtl w:val="true"/>
              </w:rPr>
              <w:t xml:space="preserve">) </w:t>
            </w:r>
            <w:r>
              <w:rPr>
                <w:rStyle w:val="IndexLink"/>
                <w:rtl w:val="true"/>
              </w:rPr>
              <w:t>مشروعیت الهی از جنبه انسان شناختی</w:t>
            </w:r>
            <w:r>
              <w:rPr>
                <w:rStyle w:val="IndexLink"/>
                <w:rtl w:val="true"/>
              </w:rPr>
              <w:tab/>
            </w:r>
            <w:r>
              <w:rPr>
                <w:rStyle w:val="IndexLink"/>
              </w:rPr>
              <w:t>118</w:t>
            </w:r>
          </w:hyperlink>
        </w:p>
        <w:p>
          <w:pPr>
            <w:pStyle w:val="Contents3"/>
            <w:tabs>
              <w:tab w:val="clear" w:pos="8459"/>
              <w:tab w:val="right" w:pos="9026" w:leader="dot"/>
            </w:tabs>
            <w:rPr/>
          </w:pPr>
          <w:hyperlink w:anchor="__RefHeading___Toc643499_222507752">
            <w:r>
              <w:rPr>
                <w:webHidden/>
                <w:rStyle w:val="IndexLink"/>
                <w:rtl w:val="true"/>
              </w:rPr>
              <w:t>دو</w:t>
            </w:r>
            <w:r>
              <w:rPr>
                <w:rStyle w:val="IndexLink"/>
                <w:rtl w:val="true"/>
              </w:rPr>
              <w:t xml:space="preserve">. </w:t>
            </w:r>
            <w:r>
              <w:rPr>
                <w:rStyle w:val="IndexLink"/>
                <w:rtl w:val="true"/>
              </w:rPr>
              <w:t xml:space="preserve">مقبولیت </w:t>
            </w:r>
            <w:r>
              <w:rPr>
                <w:rStyle w:val="IndexLink"/>
                <w:rtl w:val="true"/>
              </w:rPr>
              <w:t>(</w:t>
            </w:r>
            <w:r>
              <w:rPr>
                <w:rStyle w:val="IndexLink"/>
                <w:rtl w:val="true"/>
              </w:rPr>
              <w:t>پذیرش مردم</w:t>
            </w:r>
            <w:r>
              <w:rPr>
                <w:rStyle w:val="IndexLink"/>
                <w:rtl w:val="true"/>
              </w:rPr>
              <w:t>)</w:t>
              <w:tab/>
            </w:r>
            <w:r>
              <w:rPr>
                <w:rStyle w:val="IndexLink"/>
              </w:rPr>
              <w:t>118</w:t>
            </w:r>
          </w:hyperlink>
        </w:p>
        <w:p>
          <w:pPr>
            <w:pStyle w:val="Contents4"/>
            <w:tabs>
              <w:tab w:val="clear" w:pos="8176"/>
              <w:tab w:val="right" w:pos="9026" w:leader="dot"/>
            </w:tabs>
            <w:rPr/>
          </w:pPr>
          <w:hyperlink w:anchor="__RefHeading___Toc643501_222507752">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643503_222507752">
            <w:r>
              <w:rPr>
                <w:webHidden/>
                <w:rStyle w:val="IndexLink"/>
                <w:rtl w:val="true"/>
              </w:rPr>
              <w:t>امام مهدی علیه‌السلام؛ مشروعیت الهی، مقبولیت مردمی</w:t>
            </w:r>
            <w:r>
              <w:rPr>
                <w:rStyle w:val="IndexLink"/>
                <w:rtl w:val="true"/>
              </w:rPr>
              <w:tab/>
            </w:r>
            <w:r>
              <w:rPr>
                <w:rStyle w:val="IndexLink"/>
              </w:rPr>
              <w:t>121</w:t>
            </w:r>
          </w:hyperlink>
        </w:p>
        <w:p>
          <w:pPr>
            <w:pStyle w:val="Contents4"/>
            <w:tabs>
              <w:tab w:val="clear" w:pos="8176"/>
              <w:tab w:val="right" w:pos="9026" w:leader="dot"/>
            </w:tabs>
            <w:rPr/>
          </w:pPr>
          <w:hyperlink w:anchor="__RefHeading___Toc643505_222507752">
            <w:r>
              <w:rPr>
                <w:webHidden/>
                <w:rStyle w:val="IndexLink"/>
                <w:rtl w:val="true"/>
              </w:rPr>
              <w:t>پذیرش حاکمیت، اجابت درخواست مردم</w:t>
            </w:r>
            <w:r>
              <w:rPr>
                <w:rStyle w:val="IndexLink"/>
                <w:rtl w:val="true"/>
              </w:rPr>
              <w:tab/>
            </w:r>
            <w:r>
              <w:rPr>
                <w:rStyle w:val="IndexLink"/>
              </w:rPr>
              <w:t>122</w:t>
            </w:r>
          </w:hyperlink>
        </w:p>
        <w:p>
          <w:pPr>
            <w:pStyle w:val="Contents4"/>
            <w:tabs>
              <w:tab w:val="clear" w:pos="8176"/>
              <w:tab w:val="right" w:pos="9026" w:leader="dot"/>
            </w:tabs>
            <w:rPr/>
          </w:pPr>
          <w:hyperlink w:anchor="__RefHeading___Toc643507_222507752">
            <w:r>
              <w:rPr>
                <w:webHidden/>
                <w:rStyle w:val="IndexLink"/>
                <w:rtl w:val="true"/>
              </w:rPr>
              <w:t xml:space="preserve">همکاری همگانی </w:t>
            </w:r>
            <w:r>
              <w:rPr>
                <w:rStyle w:val="IndexLink"/>
                <w:rtl w:val="true"/>
              </w:rPr>
              <w:t>(</w:t>
            </w:r>
            <w:r>
              <w:rPr>
                <w:rStyle w:val="IndexLink"/>
                <w:rtl w:val="true"/>
              </w:rPr>
              <w:t>رابطه ولی و مولی</w:t>
            </w:r>
            <w:r>
              <w:rPr>
                <w:rStyle w:val="IndexLink"/>
                <w:rtl w:val="true"/>
              </w:rPr>
              <w:t>)</w:t>
              <w:tab/>
            </w:r>
            <w:r>
              <w:rPr>
                <w:rStyle w:val="IndexLink"/>
              </w:rPr>
              <w:t>122</w:t>
            </w:r>
          </w:hyperlink>
        </w:p>
        <w:p>
          <w:pPr>
            <w:pStyle w:val="Contents5"/>
            <w:tabs>
              <w:tab w:val="clear" w:pos="7892"/>
              <w:tab w:val="right" w:pos="9026" w:leader="dot"/>
            </w:tabs>
            <w:rPr/>
          </w:pPr>
          <w:hyperlink w:anchor="__RefHeading___Toc643509_222507752">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643511_222507752">
            <w:r>
              <w:rPr>
                <w:webHidden/>
                <w:rStyle w:val="IndexLink"/>
              </w:rPr>
              <w:t>1</w:t>
            </w:r>
            <w:r>
              <w:rPr>
                <w:rStyle w:val="IndexLink"/>
                <w:rtl w:val="true"/>
              </w:rPr>
              <w:t xml:space="preserve">. </w:t>
            </w:r>
            <w:r>
              <w:rPr>
                <w:rStyle w:val="IndexLink"/>
                <w:rtl w:val="true"/>
              </w:rPr>
              <w:t>حقوق مردم بر حضرت</w:t>
            </w:r>
            <w:r>
              <w:rPr>
                <w:rStyle w:val="IndexLink"/>
                <w:rtl w:val="true"/>
              </w:rPr>
              <w:tab/>
            </w:r>
            <w:r>
              <w:rPr>
                <w:rStyle w:val="IndexLink"/>
              </w:rPr>
              <w:t>123</w:t>
            </w:r>
          </w:hyperlink>
        </w:p>
        <w:p>
          <w:pPr>
            <w:pStyle w:val="Contents6"/>
            <w:tabs>
              <w:tab w:val="clear" w:pos="7609"/>
              <w:tab w:val="right" w:pos="9026" w:leader="dot"/>
            </w:tabs>
            <w:rPr/>
          </w:pPr>
          <w:hyperlink w:anchor="__RefHeading___Toc643513_222507752">
            <w:r>
              <w:rPr>
                <w:webHidden/>
                <w:rStyle w:val="IndexLink"/>
                <w:rtl w:val="true"/>
              </w:rPr>
              <w:t>یک</w:t>
            </w:r>
            <w:r>
              <w:rPr>
                <w:rStyle w:val="IndexLink"/>
                <w:rtl w:val="true"/>
              </w:rPr>
              <w:t xml:space="preserve">. </w:t>
            </w:r>
            <w:r>
              <w:rPr>
                <w:rStyle w:val="IndexLink"/>
                <w:rtl w:val="true"/>
              </w:rPr>
              <w:t>خیرخواهی</w:t>
            </w:r>
            <w:r>
              <w:rPr>
                <w:rStyle w:val="IndexLink"/>
                <w:rtl w:val="true"/>
              </w:rPr>
              <w:tab/>
            </w:r>
            <w:r>
              <w:rPr>
                <w:rStyle w:val="IndexLink"/>
              </w:rPr>
              <w:t>123</w:t>
            </w:r>
          </w:hyperlink>
        </w:p>
        <w:p>
          <w:pPr>
            <w:pStyle w:val="Contents6"/>
            <w:tabs>
              <w:tab w:val="clear" w:pos="7609"/>
              <w:tab w:val="right" w:pos="9026" w:leader="dot"/>
            </w:tabs>
            <w:rPr/>
          </w:pPr>
          <w:hyperlink w:anchor="__RefHeading___Toc643515_222507752">
            <w:r>
              <w:rPr>
                <w:webHidden/>
                <w:rStyle w:val="IndexLink"/>
                <w:rtl w:val="true"/>
              </w:rPr>
              <w:t>دو</w:t>
            </w:r>
            <w:r>
              <w:rPr>
                <w:rStyle w:val="IndexLink"/>
                <w:rtl w:val="true"/>
              </w:rPr>
              <w:t xml:space="preserve">. </w:t>
            </w:r>
            <w:r>
              <w:rPr>
                <w:rStyle w:val="IndexLink"/>
                <w:rtl w:val="true"/>
              </w:rPr>
              <w:t>رفاه و آسایش</w:t>
            </w:r>
            <w:r>
              <w:rPr>
                <w:rStyle w:val="IndexLink"/>
                <w:rtl w:val="true"/>
              </w:rPr>
              <w:tab/>
            </w:r>
            <w:r>
              <w:rPr>
                <w:rStyle w:val="IndexLink"/>
              </w:rPr>
              <w:t>123</w:t>
            </w:r>
          </w:hyperlink>
        </w:p>
        <w:p>
          <w:pPr>
            <w:pStyle w:val="Contents6"/>
            <w:tabs>
              <w:tab w:val="clear" w:pos="7609"/>
              <w:tab w:val="right" w:pos="9026" w:leader="dot"/>
            </w:tabs>
            <w:rPr/>
          </w:pPr>
          <w:hyperlink w:anchor="__RefHeading___Toc643517_222507752">
            <w:r>
              <w:rPr>
                <w:webHidden/>
                <w:rStyle w:val="IndexLink"/>
                <w:rtl w:val="true"/>
              </w:rPr>
              <w:t>سه</w:t>
            </w:r>
            <w:r>
              <w:rPr>
                <w:rStyle w:val="IndexLink"/>
                <w:rtl w:val="true"/>
              </w:rPr>
              <w:t xml:space="preserve">. </w:t>
            </w:r>
            <w:r>
              <w:rPr>
                <w:rStyle w:val="IndexLink"/>
                <w:rtl w:val="true"/>
              </w:rPr>
              <w:t>آموزش</w:t>
            </w:r>
            <w:r>
              <w:rPr>
                <w:rStyle w:val="IndexLink"/>
                <w:rtl w:val="true"/>
              </w:rPr>
              <w:tab/>
            </w:r>
            <w:r>
              <w:rPr>
                <w:rStyle w:val="IndexLink"/>
              </w:rPr>
              <w:t>123</w:t>
            </w:r>
          </w:hyperlink>
        </w:p>
        <w:p>
          <w:pPr>
            <w:pStyle w:val="Contents6"/>
            <w:tabs>
              <w:tab w:val="clear" w:pos="7609"/>
              <w:tab w:val="right" w:pos="9026" w:leader="dot"/>
            </w:tabs>
            <w:rPr/>
          </w:pPr>
          <w:hyperlink w:anchor="__RefHeading___Toc643519_222507752">
            <w:r>
              <w:rPr>
                <w:webHidden/>
                <w:rStyle w:val="IndexLink"/>
                <w:rtl w:val="true"/>
              </w:rPr>
              <w:t>چهار</w:t>
            </w:r>
            <w:r>
              <w:rPr>
                <w:rStyle w:val="IndexLink"/>
                <w:rtl w:val="true"/>
              </w:rPr>
              <w:t xml:space="preserve">. </w:t>
            </w:r>
            <w:r>
              <w:rPr>
                <w:rStyle w:val="IndexLink"/>
                <w:rtl w:val="true"/>
              </w:rPr>
              <w:t>گسترش خرد انسان</w:t>
            </w:r>
            <w:r>
              <w:rPr>
                <w:rStyle w:val="IndexLink"/>
                <w:rtl w:val="true"/>
              </w:rPr>
              <w:softHyphen/>
            </w:r>
            <w:r>
              <w:rPr>
                <w:rStyle w:val="IndexLink"/>
                <w:rtl w:val="true"/>
              </w:rPr>
              <w:t>ها</w:t>
            </w:r>
            <w:r>
              <w:rPr>
                <w:rStyle w:val="IndexLink"/>
                <w:rtl w:val="true"/>
              </w:rPr>
              <w:tab/>
            </w:r>
            <w:r>
              <w:rPr>
                <w:rStyle w:val="IndexLink"/>
              </w:rPr>
              <w:t>123</w:t>
            </w:r>
          </w:hyperlink>
        </w:p>
        <w:p>
          <w:pPr>
            <w:pStyle w:val="Contents6"/>
            <w:tabs>
              <w:tab w:val="clear" w:pos="7609"/>
              <w:tab w:val="right" w:pos="9026" w:leader="dot"/>
            </w:tabs>
            <w:rPr/>
          </w:pPr>
          <w:hyperlink w:anchor="__RefHeading___Toc643521_222507752">
            <w:r>
              <w:rPr>
                <w:webHidden/>
                <w:rStyle w:val="IndexLink"/>
                <w:rtl w:val="true"/>
              </w:rPr>
              <w:t>پنج</w:t>
            </w:r>
            <w:r>
              <w:rPr>
                <w:rStyle w:val="IndexLink"/>
                <w:rtl w:val="true"/>
              </w:rPr>
              <w:t xml:space="preserve">. </w:t>
            </w:r>
            <w:r>
              <w:rPr>
                <w:rStyle w:val="IndexLink"/>
                <w:rtl w:val="true"/>
              </w:rPr>
              <w:t>رشد و تربیت</w:t>
            </w:r>
            <w:r>
              <w:rPr>
                <w:rStyle w:val="IndexLink"/>
                <w:rtl w:val="true"/>
              </w:rPr>
              <w:tab/>
            </w:r>
            <w:r>
              <w:rPr>
                <w:rStyle w:val="IndexLink"/>
              </w:rPr>
              <w:t>124</w:t>
            </w:r>
          </w:hyperlink>
        </w:p>
        <w:p>
          <w:pPr>
            <w:pStyle w:val="Contents5"/>
            <w:tabs>
              <w:tab w:val="clear" w:pos="7892"/>
              <w:tab w:val="right" w:pos="9026" w:leader="dot"/>
            </w:tabs>
            <w:rPr/>
          </w:pPr>
          <w:hyperlink w:anchor="__RefHeading___Toc643523_222507752">
            <w:r>
              <w:rPr>
                <w:webHidden/>
                <w:rStyle w:val="IndexLink"/>
              </w:rPr>
              <w:t>2</w:t>
            </w:r>
            <w:r>
              <w:rPr>
                <w:rStyle w:val="IndexLink"/>
                <w:rtl w:val="true"/>
              </w:rPr>
              <w:t xml:space="preserve">. </w:t>
            </w:r>
            <w:r>
              <w:rPr>
                <w:rStyle w:val="IndexLink"/>
                <w:rtl w:val="true"/>
              </w:rPr>
              <w:t>حقوق حضرت بر مردم</w:t>
            </w:r>
            <w:r>
              <w:rPr>
                <w:rStyle w:val="IndexLink"/>
                <w:rtl w:val="true"/>
              </w:rPr>
              <w:tab/>
            </w:r>
            <w:r>
              <w:rPr>
                <w:rStyle w:val="IndexLink"/>
              </w:rPr>
              <w:t>124</w:t>
            </w:r>
          </w:hyperlink>
        </w:p>
        <w:p>
          <w:pPr>
            <w:pStyle w:val="Contents6"/>
            <w:tabs>
              <w:tab w:val="clear" w:pos="7609"/>
              <w:tab w:val="right" w:pos="9026" w:leader="dot"/>
            </w:tabs>
            <w:rPr/>
          </w:pPr>
          <w:hyperlink w:anchor="__RefHeading___Toc643525_222507752">
            <w:r>
              <w:rPr>
                <w:webHidden/>
                <w:rStyle w:val="IndexLink"/>
                <w:rtl w:val="true"/>
              </w:rPr>
              <w:t>یک</w:t>
            </w:r>
            <w:r>
              <w:rPr>
                <w:rStyle w:val="IndexLink"/>
                <w:rtl w:val="true"/>
              </w:rPr>
              <w:t xml:space="preserve">. </w:t>
            </w:r>
            <w:r>
              <w:rPr>
                <w:rStyle w:val="IndexLink"/>
                <w:rtl w:val="true"/>
              </w:rPr>
              <w:t>استواری بر بیعت</w:t>
            </w:r>
            <w:r>
              <w:rPr>
                <w:rStyle w:val="IndexLink"/>
                <w:rtl w:val="true"/>
              </w:rPr>
              <w:tab/>
            </w:r>
            <w:r>
              <w:rPr>
                <w:rStyle w:val="IndexLink"/>
              </w:rPr>
              <w:t>124</w:t>
            </w:r>
          </w:hyperlink>
        </w:p>
        <w:p>
          <w:pPr>
            <w:pStyle w:val="Contents6"/>
            <w:tabs>
              <w:tab w:val="clear" w:pos="7609"/>
              <w:tab w:val="right" w:pos="9026" w:leader="dot"/>
            </w:tabs>
            <w:rPr/>
          </w:pPr>
          <w:hyperlink w:anchor="__RefHeading___Toc643527_222507752">
            <w:r>
              <w:rPr>
                <w:webHidden/>
                <w:rStyle w:val="IndexLink"/>
                <w:rtl w:val="true"/>
              </w:rPr>
              <w:t>دو</w:t>
            </w:r>
            <w:r>
              <w:rPr>
                <w:rStyle w:val="IndexLink"/>
                <w:rtl w:val="true"/>
              </w:rPr>
              <w:t xml:space="preserve">. </w:t>
            </w:r>
            <w:r>
              <w:rPr>
                <w:rStyle w:val="IndexLink"/>
                <w:rtl w:val="true"/>
              </w:rPr>
              <w:t>خیرخواهی در امور حکومت</w:t>
            </w:r>
            <w:r>
              <w:rPr>
                <w:rStyle w:val="IndexLink"/>
                <w:rtl w:val="true"/>
              </w:rPr>
              <w:tab/>
            </w:r>
            <w:r>
              <w:rPr>
                <w:rStyle w:val="IndexLink"/>
              </w:rPr>
              <w:t>124</w:t>
            </w:r>
          </w:hyperlink>
        </w:p>
        <w:p>
          <w:pPr>
            <w:pStyle w:val="Contents6"/>
            <w:tabs>
              <w:tab w:val="clear" w:pos="7609"/>
              <w:tab w:val="right" w:pos="9026" w:leader="dot"/>
            </w:tabs>
            <w:rPr/>
          </w:pPr>
          <w:hyperlink w:anchor="__RefHeading___Toc643529_222507752">
            <w:r>
              <w:rPr>
                <w:webHidden/>
                <w:rStyle w:val="IndexLink"/>
                <w:rtl w:val="true"/>
              </w:rPr>
              <w:t>سه</w:t>
            </w:r>
            <w:r>
              <w:rPr>
                <w:rStyle w:val="IndexLink"/>
                <w:rtl w:val="true"/>
              </w:rPr>
              <w:t xml:space="preserve">. </w:t>
            </w:r>
            <w:r>
              <w:rPr>
                <w:rStyle w:val="IndexLink"/>
                <w:rtl w:val="true"/>
              </w:rPr>
              <w:t>فرمان‌برداری از حاکم</w:t>
            </w:r>
            <w:r>
              <w:rPr>
                <w:rStyle w:val="IndexLink"/>
                <w:rtl w:val="true"/>
              </w:rPr>
              <w:tab/>
            </w:r>
            <w:r>
              <w:rPr>
                <w:rStyle w:val="IndexLink"/>
              </w:rPr>
              <w:t>124</w:t>
            </w:r>
          </w:hyperlink>
        </w:p>
        <w:p>
          <w:pPr>
            <w:pStyle w:val="Contents4"/>
            <w:tabs>
              <w:tab w:val="clear" w:pos="8176"/>
              <w:tab w:val="right" w:pos="9026" w:leader="dot"/>
            </w:tabs>
            <w:rPr/>
          </w:pPr>
          <w:hyperlink w:anchor="__RefHeading___Toc643531_222507752">
            <w:r>
              <w:rPr>
                <w:webHidden/>
                <w:rStyle w:val="IndexLink"/>
                <w:rtl w:val="true"/>
              </w:rPr>
              <w:t xml:space="preserve">نقش مدیریتی مردم </w:t>
            </w:r>
            <w:r>
              <w:rPr>
                <w:rStyle w:val="IndexLink"/>
                <w:rtl w:val="true"/>
              </w:rPr>
              <w:t>(</w:t>
            </w:r>
            <w:r>
              <w:rPr>
                <w:rStyle w:val="IndexLink"/>
                <w:rtl w:val="true"/>
              </w:rPr>
              <w:t>کارگزاران حکومت</w:t>
            </w:r>
            <w:r>
              <w:rPr>
                <w:rStyle w:val="IndexLink"/>
                <w:rtl w:val="true"/>
              </w:rPr>
              <w:t>)</w:t>
              <w:tab/>
            </w:r>
            <w:r>
              <w:rPr>
                <w:rStyle w:val="IndexLink"/>
              </w:rPr>
              <w:t>125</w:t>
            </w:r>
          </w:hyperlink>
        </w:p>
        <w:p>
          <w:pPr>
            <w:pStyle w:val="Contents4"/>
            <w:tabs>
              <w:tab w:val="clear" w:pos="8176"/>
              <w:tab w:val="right" w:pos="9026" w:leader="dot"/>
            </w:tabs>
            <w:rPr/>
          </w:pPr>
          <w:hyperlink w:anchor="__RefHeading___Toc643533_222507752">
            <w:r>
              <w:rPr>
                <w:webHidden/>
                <w:rStyle w:val="IndexLink"/>
                <w:rtl w:val="true"/>
              </w:rPr>
              <w:t>گروه‌های کارگزاران از نگاه روایات</w:t>
            </w:r>
            <w:r>
              <w:rPr>
                <w:rStyle w:val="IndexLink"/>
                <w:rtl w:val="true"/>
              </w:rPr>
              <w:tab/>
            </w:r>
            <w:r>
              <w:rPr>
                <w:rStyle w:val="IndexLink"/>
              </w:rPr>
              <w:t>126</w:t>
            </w:r>
          </w:hyperlink>
        </w:p>
        <w:p>
          <w:pPr>
            <w:pStyle w:val="Contents5"/>
            <w:tabs>
              <w:tab w:val="clear" w:pos="7892"/>
              <w:tab w:val="right" w:pos="9026" w:leader="dot"/>
            </w:tabs>
            <w:rPr/>
          </w:pPr>
          <w:hyperlink w:anchor="__RefHeading___Toc643535_222507752">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643537_222507752">
            <w:r>
              <w:rPr>
                <w:webHidden/>
                <w:rStyle w:val="IndexLink"/>
                <w:rtl w:val="true"/>
              </w:rPr>
              <w:t xml:space="preserve">یک </w:t>
            </w:r>
            <w:r>
              <w:rPr>
                <w:rStyle w:val="IndexLink"/>
                <w:rtl w:val="true"/>
              </w:rPr>
              <w:t xml:space="preserve">. </w:t>
            </w:r>
            <w:r>
              <w:rPr>
                <w:rStyle w:val="IndexLink"/>
                <w:rtl w:val="true"/>
              </w:rPr>
              <w:t>شیعیان راستین، اساس کارگزاران</w:t>
            </w:r>
            <w:r>
              <w:rPr>
                <w:rStyle w:val="IndexLink"/>
                <w:rtl w:val="true"/>
              </w:rPr>
              <w:tab/>
            </w:r>
            <w:r>
              <w:rPr>
                <w:rStyle w:val="IndexLink"/>
              </w:rPr>
              <w:t>126</w:t>
            </w:r>
          </w:hyperlink>
        </w:p>
        <w:p>
          <w:pPr>
            <w:pStyle w:val="Contents5"/>
            <w:tabs>
              <w:tab w:val="clear" w:pos="7892"/>
              <w:tab w:val="right" w:pos="9026" w:leader="dot"/>
            </w:tabs>
            <w:rPr/>
          </w:pPr>
          <w:hyperlink w:anchor="__RefHeading___Toc643539_222507752">
            <w:r>
              <w:rPr>
                <w:webHidden/>
                <w:rStyle w:val="IndexLink"/>
                <w:rtl w:val="true"/>
              </w:rPr>
              <w:t xml:space="preserve">دو </w:t>
            </w:r>
            <w:r>
              <w:rPr>
                <w:rStyle w:val="IndexLink"/>
                <w:rtl w:val="true"/>
              </w:rPr>
              <w:t>.  </w:t>
            </w:r>
            <w:r>
              <w:rPr>
                <w:rStyle w:val="IndexLink"/>
                <w:rtl w:val="true"/>
              </w:rPr>
              <w:t>برخی رجعت</w:t>
            </w:r>
            <w:r>
              <w:rPr>
                <w:rStyle w:val="IndexLink"/>
                <w:rtl w:val="true"/>
              </w:rPr>
              <w:softHyphen/>
            </w:r>
            <w:r>
              <w:rPr>
                <w:rStyle w:val="IndexLink"/>
                <w:rtl w:val="true"/>
              </w:rPr>
              <w:t>کننگان، کارگزاران حضرت</w:t>
            </w:r>
            <w:r>
              <w:rPr>
                <w:rStyle w:val="IndexLink"/>
                <w:rtl w:val="true"/>
              </w:rPr>
              <w:tab/>
            </w:r>
            <w:r>
              <w:rPr>
                <w:rStyle w:val="IndexLink"/>
              </w:rPr>
              <w:t>126</w:t>
            </w:r>
          </w:hyperlink>
        </w:p>
        <w:p>
          <w:pPr>
            <w:pStyle w:val="Contents5"/>
            <w:tabs>
              <w:tab w:val="clear" w:pos="7892"/>
              <w:tab w:val="right" w:pos="9026" w:leader="dot"/>
            </w:tabs>
            <w:rPr/>
          </w:pPr>
          <w:hyperlink w:anchor="__RefHeading___Toc643541_222507752">
            <w:r>
              <w:rPr>
                <w:webHidden/>
                <w:rStyle w:val="IndexLink"/>
                <w:rtl w:val="true"/>
              </w:rPr>
              <w:t xml:space="preserve">سه </w:t>
            </w:r>
            <w:r>
              <w:rPr>
                <w:rStyle w:val="IndexLink"/>
                <w:rtl w:val="true"/>
              </w:rPr>
              <w:t xml:space="preserve">. </w:t>
            </w:r>
            <w:r>
              <w:rPr>
                <w:rStyle w:val="IndexLink"/>
                <w:rtl w:val="true"/>
              </w:rPr>
              <w:t>سخن</w:t>
            </w:r>
            <w:r>
              <w:rPr>
                <w:rStyle w:val="IndexLink"/>
                <w:rtl w:val="true"/>
              </w:rPr>
              <w:softHyphen/>
            </w:r>
            <w:r>
              <w:rPr>
                <w:rStyle w:val="IndexLink"/>
                <w:rtl w:val="true"/>
              </w:rPr>
              <w:t>گوی حضرت مهدی علیه‌السلام</w:t>
            </w:r>
            <w:r>
              <w:rPr>
                <w:rStyle w:val="IndexLink"/>
                <w:rtl w:val="true"/>
              </w:rPr>
              <w:tab/>
            </w:r>
            <w:r>
              <w:rPr>
                <w:rStyle w:val="IndexLink"/>
              </w:rPr>
              <w:t>127</w:t>
            </w:r>
          </w:hyperlink>
        </w:p>
        <w:p>
          <w:pPr>
            <w:pStyle w:val="Contents6"/>
            <w:tabs>
              <w:tab w:val="clear" w:pos="7609"/>
              <w:tab w:val="right" w:pos="9026" w:leader="dot"/>
            </w:tabs>
            <w:rPr/>
          </w:pPr>
          <w:hyperlink w:anchor="__RefHeading___Toc643543_222507752">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643545_222507752">
            <w:r>
              <w:rPr>
                <w:webHidden/>
                <w:rStyle w:val="IndexLink"/>
              </w:rPr>
              <w:t>1</w:t>
            </w:r>
            <w:r>
              <w:rPr>
                <w:rStyle w:val="IndexLink"/>
                <w:rtl w:val="true"/>
              </w:rPr>
              <w:t>.  </w:t>
            </w:r>
            <w:r>
              <w:rPr>
                <w:rStyle w:val="IndexLink"/>
                <w:rtl w:val="true"/>
              </w:rPr>
              <w:t>هنگام ظهور و خروج از مکه</w:t>
            </w:r>
            <w:r>
              <w:rPr>
                <w:rStyle w:val="IndexLink"/>
                <w:rtl w:val="true"/>
              </w:rPr>
              <w:tab/>
            </w:r>
            <w:r>
              <w:rPr>
                <w:rStyle w:val="IndexLink"/>
              </w:rPr>
              <w:t>127</w:t>
            </w:r>
          </w:hyperlink>
        </w:p>
        <w:p>
          <w:pPr>
            <w:pStyle w:val="Contents6"/>
            <w:tabs>
              <w:tab w:val="clear" w:pos="7609"/>
              <w:tab w:val="right" w:pos="9026" w:leader="dot"/>
            </w:tabs>
            <w:rPr/>
          </w:pPr>
          <w:hyperlink w:anchor="__RefHeading___Toc643547_222507752">
            <w:r>
              <w:rPr>
                <w:webHidden/>
                <w:rStyle w:val="IndexLink"/>
              </w:rPr>
              <w:t>2</w:t>
            </w:r>
            <w:r>
              <w:rPr>
                <w:rStyle w:val="IndexLink"/>
                <w:rtl w:val="true"/>
              </w:rPr>
              <w:t xml:space="preserve">. </w:t>
            </w:r>
            <w:r>
              <w:rPr>
                <w:rStyle w:val="IndexLink"/>
                <w:rtl w:val="true"/>
              </w:rPr>
              <w:t>هنگام مناسک حج</w:t>
            </w:r>
            <w:r>
              <w:rPr>
                <w:rStyle w:val="IndexLink"/>
                <w:rtl w:val="true"/>
              </w:rPr>
              <w:tab/>
            </w:r>
            <w:r>
              <w:rPr>
                <w:rStyle w:val="IndexLink"/>
              </w:rPr>
              <w:t>127</w:t>
            </w:r>
          </w:hyperlink>
        </w:p>
        <w:p>
          <w:pPr>
            <w:pStyle w:val="Contents5"/>
            <w:tabs>
              <w:tab w:val="clear" w:pos="7892"/>
              <w:tab w:val="right" w:pos="9026" w:leader="dot"/>
            </w:tabs>
            <w:rPr/>
          </w:pPr>
          <w:hyperlink w:anchor="__RefHeading___Toc643549_222507752">
            <w:r>
              <w:rPr>
                <w:webHidden/>
                <w:rStyle w:val="IndexLink"/>
                <w:rtl w:val="true"/>
              </w:rPr>
              <w:t xml:space="preserve">چهار </w:t>
            </w:r>
            <w:r>
              <w:rPr>
                <w:rStyle w:val="IndexLink"/>
                <w:rtl w:val="true"/>
              </w:rPr>
              <w:t xml:space="preserve">. </w:t>
            </w:r>
            <w:r>
              <w:rPr>
                <w:rStyle w:val="IndexLink"/>
                <w:rtl w:val="true"/>
              </w:rPr>
              <w:t>سیصد وسیزده نفر، کارگزاران حضرت</w:t>
            </w:r>
            <w:r>
              <w:rPr>
                <w:rStyle w:val="IndexLink"/>
                <w:rtl w:val="true"/>
              </w:rPr>
              <w:tab/>
            </w:r>
            <w:r>
              <w:rPr>
                <w:rStyle w:val="IndexLink"/>
              </w:rPr>
              <w:t>127</w:t>
            </w:r>
          </w:hyperlink>
        </w:p>
        <w:p>
          <w:pPr>
            <w:pStyle w:val="Contents5"/>
            <w:tabs>
              <w:tab w:val="clear" w:pos="7892"/>
              <w:tab w:val="right" w:pos="9026" w:leader="dot"/>
            </w:tabs>
            <w:rPr/>
          </w:pPr>
          <w:hyperlink w:anchor="__RefHeading___Toc643551_222507752">
            <w:r>
              <w:rPr>
                <w:webHidden/>
                <w:rStyle w:val="IndexLink"/>
                <w:rtl w:val="true"/>
              </w:rPr>
              <w:t xml:space="preserve">پنج </w:t>
            </w:r>
            <w:r>
              <w:rPr>
                <w:rStyle w:val="IndexLink"/>
                <w:rtl w:val="true"/>
              </w:rPr>
              <w:t xml:space="preserve">. </w:t>
            </w:r>
            <w:r>
              <w:rPr>
                <w:rStyle w:val="IndexLink"/>
                <w:rtl w:val="true"/>
              </w:rPr>
              <w:t>کارگزاران حضرت، در گوشه وکنار زمین</w:t>
            </w:r>
            <w:r>
              <w:rPr>
                <w:rStyle w:val="IndexLink"/>
                <w:rtl w:val="true"/>
              </w:rPr>
              <w:tab/>
            </w:r>
            <w:r>
              <w:rPr>
                <w:rStyle w:val="IndexLink"/>
              </w:rPr>
              <w:t>128</w:t>
            </w:r>
          </w:hyperlink>
        </w:p>
        <w:p>
          <w:pPr>
            <w:pStyle w:val="Contents3"/>
            <w:tabs>
              <w:tab w:val="clear" w:pos="8459"/>
              <w:tab w:val="right" w:pos="9026" w:leader="dot"/>
            </w:tabs>
            <w:rPr/>
          </w:pPr>
          <w:hyperlink w:anchor="__RefHeading___Toc643553_222507752">
            <w:r>
              <w:rPr>
                <w:webHidden/>
                <w:rStyle w:val="IndexLink"/>
                <w:rtl w:val="true"/>
              </w:rPr>
              <w:t>خودآزمایی</w:t>
            </w:r>
            <w:r>
              <w:rPr>
                <w:rStyle w:val="IndexLink"/>
                <w:rtl w:val="true"/>
              </w:rPr>
              <w:tab/>
            </w:r>
            <w:r>
              <w:rPr>
                <w:rStyle w:val="IndexLink"/>
              </w:rPr>
              <w:t>129</w:t>
            </w:r>
          </w:hyperlink>
        </w:p>
        <w:p>
          <w:pPr>
            <w:pStyle w:val="Contents3"/>
            <w:tabs>
              <w:tab w:val="clear" w:pos="8459"/>
              <w:tab w:val="right" w:pos="9026" w:leader="dot"/>
            </w:tabs>
            <w:rPr/>
          </w:pPr>
          <w:hyperlink w:anchor="__RefHeading___Toc643555_222507752">
            <w:r>
              <w:rPr>
                <w:webHidden/>
                <w:rStyle w:val="IndexLink"/>
                <w:rtl w:val="true"/>
              </w:rPr>
              <w:t>منابع برای پژوهش</w:t>
            </w:r>
            <w:r>
              <w:rPr>
                <w:rStyle w:val="IndexLink"/>
                <w:rtl w:val="true"/>
              </w:rPr>
              <w:tab/>
            </w:r>
            <w:r>
              <w:rPr>
                <w:rStyle w:val="IndexLink"/>
              </w:rPr>
              <w:t>129</w:t>
            </w:r>
          </w:hyperlink>
        </w:p>
        <w:p>
          <w:pPr>
            <w:pStyle w:val="Contents2"/>
            <w:tabs>
              <w:tab w:val="clear" w:pos="8743"/>
              <w:tab w:val="right" w:pos="9026" w:leader="dot"/>
            </w:tabs>
            <w:rPr/>
          </w:pPr>
          <w:hyperlink w:anchor="__RefHeading___Toc643557_222507752">
            <w:r>
              <w:rPr>
                <w:webHidden/>
                <w:rStyle w:val="IndexLink"/>
                <w:rtl w:val="true"/>
              </w:rPr>
              <w:t>درس هفتم</w:t>
            </w:r>
            <w:r>
              <w:rPr>
                <w:rStyle w:val="IndexLink"/>
                <w:rtl w:val="true"/>
              </w:rPr>
              <w:t xml:space="preserve">: </w:t>
            </w:r>
            <w:r>
              <w:rPr>
                <w:rStyle w:val="IndexLink"/>
                <w:rtl w:val="true"/>
              </w:rPr>
              <w:t xml:space="preserve">نظام سیاسی حکومت امام مهدی علیه‌السلام </w:t>
            </w:r>
            <w:r>
              <w:rPr>
                <w:rStyle w:val="IndexLink"/>
                <w:rtl w:val="true"/>
              </w:rPr>
              <w:t>(</w:t>
            </w:r>
            <w:r>
              <w:rPr>
                <w:rStyle w:val="IndexLink"/>
              </w:rPr>
              <w:t>2</w:t>
            </w:r>
            <w:r>
              <w:rPr>
                <w:rStyle w:val="IndexLink"/>
                <w:rtl w:val="true"/>
              </w:rPr>
              <w:t>)</w:t>
              <w:tab/>
            </w:r>
            <w:r>
              <w:rPr>
                <w:rStyle w:val="IndexLink"/>
              </w:rPr>
              <w:t>131</w:t>
            </w:r>
          </w:hyperlink>
        </w:p>
        <w:p>
          <w:pPr>
            <w:pStyle w:val="Contents3"/>
            <w:tabs>
              <w:tab w:val="clear" w:pos="8459"/>
              <w:tab w:val="right" w:pos="9026" w:leader="dot"/>
            </w:tabs>
            <w:rPr/>
          </w:pPr>
          <w:hyperlink w:anchor="__RefHeading___Toc643559_222507752">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643561_222507752">
            <w:r>
              <w:rPr>
                <w:webHidden/>
                <w:rStyle w:val="IndexLink"/>
                <w:rtl w:val="true"/>
              </w:rPr>
              <w:t>پیش‌درآمد</w:t>
            </w:r>
            <w:r>
              <w:rPr>
                <w:rStyle w:val="IndexLink"/>
                <w:rtl w:val="true"/>
              </w:rPr>
              <w:tab/>
            </w:r>
            <w:r>
              <w:rPr>
                <w:rStyle w:val="IndexLink"/>
              </w:rPr>
              <w:t>132</w:t>
            </w:r>
          </w:hyperlink>
        </w:p>
        <w:p>
          <w:pPr>
            <w:pStyle w:val="Contents3"/>
            <w:tabs>
              <w:tab w:val="clear" w:pos="8459"/>
              <w:tab w:val="right" w:pos="9026" w:leader="dot"/>
            </w:tabs>
            <w:rPr/>
          </w:pPr>
          <w:hyperlink w:anchor="__RefHeading___Toc643563_222507752">
            <w:r>
              <w:rPr>
                <w:webHidden/>
                <w:rStyle w:val="IndexLink"/>
                <w:rtl w:val="true"/>
              </w:rPr>
              <w:t>مردم و حکومت مهدوی</w:t>
            </w:r>
            <w:r>
              <w:rPr>
                <w:rStyle w:val="IndexLink"/>
                <w:rtl w:val="true"/>
              </w:rPr>
              <w:tab/>
            </w:r>
            <w:r>
              <w:rPr>
                <w:rStyle w:val="IndexLink"/>
              </w:rPr>
              <w:t>132</w:t>
            </w:r>
          </w:hyperlink>
        </w:p>
        <w:p>
          <w:pPr>
            <w:pStyle w:val="Contents3"/>
            <w:tabs>
              <w:tab w:val="clear" w:pos="8459"/>
              <w:tab w:val="right" w:pos="9026" w:leader="dot"/>
            </w:tabs>
            <w:rPr/>
          </w:pPr>
          <w:hyperlink w:anchor="__RefHeading___Toc643565_222507752">
            <w:r>
              <w:rPr>
                <w:webHidden/>
                <w:rStyle w:val="IndexLink"/>
                <w:rtl w:val="true"/>
              </w:rPr>
              <w:t>بیعت، مهم‌ترین سازوکار سیاسی</w:t>
            </w:r>
            <w:r>
              <w:rPr>
                <w:rStyle w:val="IndexLink"/>
                <w:rtl w:val="true"/>
              </w:rPr>
              <w:tab/>
            </w:r>
            <w:r>
              <w:rPr>
                <w:rStyle w:val="IndexLink"/>
              </w:rPr>
              <w:t>133</w:t>
            </w:r>
          </w:hyperlink>
        </w:p>
        <w:p>
          <w:pPr>
            <w:pStyle w:val="Contents3"/>
            <w:tabs>
              <w:tab w:val="clear" w:pos="8459"/>
              <w:tab w:val="right" w:pos="9026" w:leader="dot"/>
            </w:tabs>
            <w:rPr/>
          </w:pPr>
          <w:hyperlink w:anchor="__RefHeading___Toc643567_222507752">
            <w:r>
              <w:rPr>
                <w:webHidden/>
                <w:rStyle w:val="IndexLink"/>
                <w:rtl w:val="true"/>
              </w:rPr>
              <w:t>پایه‌های بیعت</w:t>
            </w:r>
            <w:r>
              <w:rPr>
                <w:rStyle w:val="IndexLink"/>
                <w:rtl w:val="true"/>
              </w:rPr>
              <w:tab/>
            </w:r>
            <w:r>
              <w:rPr>
                <w:rStyle w:val="IndexLink"/>
              </w:rPr>
              <w:t>134</w:t>
            </w:r>
          </w:hyperlink>
        </w:p>
        <w:p>
          <w:pPr>
            <w:pStyle w:val="Contents3"/>
            <w:tabs>
              <w:tab w:val="clear" w:pos="8459"/>
              <w:tab w:val="right" w:pos="9026" w:leader="dot"/>
            </w:tabs>
            <w:rPr/>
          </w:pPr>
          <w:hyperlink w:anchor="__RefHeading___Toc643569_222507752">
            <w:r>
              <w:rPr>
                <w:webHidden/>
                <w:rStyle w:val="IndexLink"/>
                <w:rtl w:val="true"/>
              </w:rPr>
              <w:t>چگونگی و چیستی بیعت</w:t>
            </w:r>
            <w:r>
              <w:rPr>
                <w:rStyle w:val="IndexLink"/>
                <w:rtl w:val="true"/>
              </w:rPr>
              <w:tab/>
            </w:r>
            <w:r>
              <w:rPr>
                <w:rStyle w:val="IndexLink"/>
              </w:rPr>
              <w:t>134</w:t>
            </w:r>
          </w:hyperlink>
        </w:p>
        <w:p>
          <w:pPr>
            <w:pStyle w:val="Contents3"/>
            <w:tabs>
              <w:tab w:val="clear" w:pos="8459"/>
              <w:tab w:val="right" w:pos="9026" w:leader="dot"/>
            </w:tabs>
            <w:rPr/>
          </w:pPr>
          <w:hyperlink w:anchor="__RefHeading___Toc643571_222507752">
            <w:r>
              <w:rPr>
                <w:webHidden/>
                <w:rStyle w:val="IndexLink"/>
                <w:rtl w:val="true"/>
              </w:rPr>
              <w:t>بیعت ورأی‌دادن، شباهت‌ها و تفاوت‌ها</w:t>
            </w:r>
            <w:r>
              <w:rPr>
                <w:rStyle w:val="IndexLink"/>
                <w:rtl w:val="true"/>
              </w:rPr>
              <w:tab/>
            </w:r>
            <w:r>
              <w:rPr>
                <w:rStyle w:val="IndexLink"/>
              </w:rPr>
              <w:t>137</w:t>
            </w:r>
          </w:hyperlink>
        </w:p>
        <w:p>
          <w:pPr>
            <w:pStyle w:val="Contents3"/>
            <w:tabs>
              <w:tab w:val="clear" w:pos="8459"/>
              <w:tab w:val="right" w:pos="9026" w:leader="dot"/>
            </w:tabs>
            <w:rPr/>
          </w:pPr>
          <w:hyperlink w:anchor="__RefHeading___Toc643573_222507752">
            <w:r>
              <w:rPr>
                <w:webHidden/>
                <w:rStyle w:val="IndexLink"/>
                <w:rtl w:val="true"/>
              </w:rPr>
              <w:t>آثار بیعت</w:t>
            </w:r>
            <w:r>
              <w:rPr>
                <w:rStyle w:val="IndexLink"/>
                <w:rtl w:val="true"/>
              </w:rPr>
              <w:tab/>
            </w:r>
            <w:r>
              <w:rPr>
                <w:rStyle w:val="IndexLink"/>
              </w:rPr>
              <w:t>139</w:t>
            </w:r>
          </w:hyperlink>
        </w:p>
        <w:p>
          <w:pPr>
            <w:pStyle w:val="Contents4"/>
            <w:tabs>
              <w:tab w:val="clear" w:pos="8176"/>
              <w:tab w:val="right" w:pos="9026" w:leader="dot"/>
            </w:tabs>
            <w:rPr/>
          </w:pPr>
          <w:hyperlink w:anchor="__RefHeading___Toc643575_222507752">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643577_222507752">
            <w:r>
              <w:rPr>
                <w:webHidden/>
                <w:rStyle w:val="IndexLink"/>
              </w:rPr>
              <w:t>1</w:t>
            </w:r>
            <w:r>
              <w:rPr>
                <w:rStyle w:val="IndexLink"/>
                <w:rtl w:val="true"/>
              </w:rPr>
              <w:t xml:space="preserve">. </w:t>
            </w:r>
            <w:r>
              <w:rPr>
                <w:rStyle w:val="IndexLink"/>
                <w:rtl w:val="true"/>
              </w:rPr>
              <w:t>ابراز آمادگی</w:t>
            </w:r>
            <w:r>
              <w:rPr>
                <w:rStyle w:val="IndexLink"/>
                <w:rtl w:val="true"/>
              </w:rPr>
              <w:tab/>
            </w:r>
            <w:r>
              <w:rPr>
                <w:rStyle w:val="IndexLink"/>
              </w:rPr>
              <w:t>139</w:t>
            </w:r>
          </w:hyperlink>
        </w:p>
        <w:p>
          <w:pPr>
            <w:pStyle w:val="Contents4"/>
            <w:tabs>
              <w:tab w:val="clear" w:pos="8176"/>
              <w:tab w:val="right" w:pos="9026" w:leader="dot"/>
            </w:tabs>
            <w:rPr/>
          </w:pPr>
          <w:hyperlink w:anchor="__RefHeading___Toc643579_222507752">
            <w:r>
              <w:rPr>
                <w:webHidden/>
                <w:rStyle w:val="IndexLink"/>
              </w:rPr>
              <w:t>2</w:t>
            </w:r>
            <w:r>
              <w:rPr>
                <w:rStyle w:val="IndexLink"/>
                <w:rtl w:val="true"/>
              </w:rPr>
              <w:t xml:space="preserve">. </w:t>
            </w:r>
            <w:r>
              <w:rPr>
                <w:rStyle w:val="IndexLink"/>
                <w:rtl w:val="true"/>
              </w:rPr>
              <w:t>پذیرش ولایت</w:t>
            </w:r>
            <w:r>
              <w:rPr>
                <w:rStyle w:val="IndexLink"/>
                <w:rtl w:val="true"/>
              </w:rPr>
              <w:tab/>
            </w:r>
            <w:r>
              <w:rPr>
                <w:rStyle w:val="IndexLink"/>
              </w:rPr>
              <w:t>139</w:t>
            </w:r>
          </w:hyperlink>
        </w:p>
        <w:p>
          <w:pPr>
            <w:pStyle w:val="Contents4"/>
            <w:tabs>
              <w:tab w:val="clear" w:pos="8176"/>
              <w:tab w:val="right" w:pos="9026" w:leader="dot"/>
            </w:tabs>
            <w:rPr/>
          </w:pPr>
          <w:hyperlink w:anchor="__RefHeading___Toc643581_222507752">
            <w:r>
              <w:rPr>
                <w:webHidden/>
                <w:rStyle w:val="IndexLink"/>
              </w:rPr>
              <w:t>3</w:t>
            </w:r>
            <w:r>
              <w:rPr>
                <w:rStyle w:val="IndexLink"/>
                <w:rtl w:val="true"/>
              </w:rPr>
              <w:t xml:space="preserve">. </w:t>
            </w:r>
            <w:r>
              <w:rPr>
                <w:rStyle w:val="IndexLink"/>
                <w:rtl w:val="true"/>
              </w:rPr>
              <w:t>یادآوری پای</w:t>
            </w:r>
            <w:r>
              <w:rPr>
                <w:rStyle w:val="IndexLink"/>
                <w:rtl w:val="true"/>
              </w:rPr>
              <w:softHyphen/>
            </w:r>
            <w:r>
              <w:rPr>
                <w:rStyle w:val="IndexLink"/>
                <w:rtl w:val="true"/>
              </w:rPr>
              <w:t>بندی به وظیفه</w:t>
            </w:r>
            <w:r>
              <w:rPr>
                <w:rStyle w:val="IndexLink"/>
                <w:rtl w:val="true"/>
              </w:rPr>
              <w:tab/>
            </w:r>
            <w:r>
              <w:rPr>
                <w:rStyle w:val="IndexLink"/>
              </w:rPr>
              <w:t>140</w:t>
            </w:r>
          </w:hyperlink>
        </w:p>
        <w:p>
          <w:pPr>
            <w:pStyle w:val="Contents4"/>
            <w:tabs>
              <w:tab w:val="clear" w:pos="8176"/>
              <w:tab w:val="right" w:pos="9026" w:leader="dot"/>
            </w:tabs>
            <w:rPr/>
          </w:pPr>
          <w:hyperlink w:anchor="__RefHeading___Toc643583_222507752">
            <w:r>
              <w:rPr>
                <w:webHidden/>
                <w:rStyle w:val="IndexLink"/>
              </w:rPr>
              <w:t>4</w:t>
            </w:r>
            <w:r>
              <w:rPr>
                <w:rStyle w:val="IndexLink"/>
                <w:rtl w:val="true"/>
              </w:rPr>
              <w:t xml:space="preserve">. </w:t>
            </w:r>
            <w:r>
              <w:rPr>
                <w:rStyle w:val="IndexLink"/>
                <w:rtl w:val="true"/>
              </w:rPr>
              <w:t>پافشاری بر وفاداری</w:t>
            </w:r>
            <w:r>
              <w:rPr>
                <w:rStyle w:val="IndexLink"/>
                <w:rtl w:val="true"/>
              </w:rPr>
              <w:tab/>
            </w:r>
            <w:r>
              <w:rPr>
                <w:rStyle w:val="IndexLink"/>
              </w:rPr>
              <w:t>140</w:t>
            </w:r>
          </w:hyperlink>
        </w:p>
        <w:p>
          <w:pPr>
            <w:pStyle w:val="Contents3"/>
            <w:tabs>
              <w:tab w:val="clear" w:pos="8459"/>
              <w:tab w:val="right" w:pos="9026" w:leader="dot"/>
            </w:tabs>
            <w:rPr/>
          </w:pPr>
          <w:hyperlink w:anchor="__RefHeading___Toc643585_222507752">
            <w:r>
              <w:rPr>
                <w:webHidden/>
                <w:rStyle w:val="IndexLink"/>
                <w:rtl w:val="true"/>
              </w:rPr>
              <w:t>بیعت با امام مهدی علیه‌السلام، از نگاه روایات</w:t>
            </w:r>
            <w:r>
              <w:rPr>
                <w:rStyle w:val="IndexLink"/>
                <w:rtl w:val="true"/>
              </w:rPr>
              <w:tab/>
            </w:r>
            <w:r>
              <w:rPr>
                <w:rStyle w:val="IndexLink"/>
              </w:rPr>
              <w:t>140</w:t>
            </w:r>
          </w:hyperlink>
        </w:p>
        <w:p>
          <w:pPr>
            <w:pStyle w:val="Contents4"/>
            <w:tabs>
              <w:tab w:val="clear" w:pos="8176"/>
              <w:tab w:val="right" w:pos="9026" w:leader="dot"/>
            </w:tabs>
            <w:rPr/>
          </w:pPr>
          <w:hyperlink w:anchor="__RefHeading___Toc643587_222507752">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643589_222507752">
            <w:r>
              <w:rPr>
                <w:webHidden/>
                <w:rStyle w:val="IndexLink"/>
              </w:rPr>
              <w:t>1</w:t>
            </w:r>
            <w:r>
              <w:rPr>
                <w:rStyle w:val="IndexLink"/>
                <w:rtl w:val="true"/>
              </w:rPr>
              <w:t xml:space="preserve">. </w:t>
            </w:r>
            <w:r>
              <w:rPr>
                <w:rStyle w:val="IndexLink"/>
                <w:rtl w:val="true"/>
              </w:rPr>
              <w:t>بیعت‌کنندگان</w:t>
            </w:r>
            <w:r>
              <w:rPr>
                <w:rStyle w:val="IndexLink"/>
                <w:rtl w:val="true"/>
              </w:rPr>
              <w:tab/>
            </w:r>
            <w:r>
              <w:rPr>
                <w:rStyle w:val="IndexLink"/>
              </w:rPr>
              <w:t>140</w:t>
            </w:r>
          </w:hyperlink>
        </w:p>
        <w:p>
          <w:pPr>
            <w:pStyle w:val="Contents5"/>
            <w:tabs>
              <w:tab w:val="clear" w:pos="7892"/>
              <w:tab w:val="right" w:pos="9026" w:leader="dot"/>
            </w:tabs>
            <w:rPr/>
          </w:pPr>
          <w:hyperlink w:anchor="__RefHeading___Toc643591_222507752">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643593_222507752">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بیعت جبرئیل فرشتة وحی</w:t>
            </w:r>
            <w:r>
              <w:rPr>
                <w:rStyle w:val="IndexLink"/>
                <w:rtl w:val="true"/>
              </w:rPr>
              <w:tab/>
            </w:r>
            <w:r>
              <w:rPr>
                <w:rStyle w:val="IndexLink"/>
              </w:rPr>
              <w:t>140</w:t>
            </w:r>
          </w:hyperlink>
        </w:p>
        <w:p>
          <w:pPr>
            <w:pStyle w:val="Contents5"/>
            <w:tabs>
              <w:tab w:val="clear" w:pos="7892"/>
              <w:tab w:val="right" w:pos="9026" w:leader="dot"/>
            </w:tabs>
            <w:rPr/>
          </w:pPr>
          <w:hyperlink w:anchor="__RefHeading___Toc643595_222507752">
            <w:r>
              <w:rPr>
                <w:webHidden/>
                <w:rStyle w:val="IndexLink"/>
              </w:rPr>
              <w:t>1-2</w:t>
            </w:r>
            <w:r>
              <w:rPr>
                <w:rStyle w:val="IndexLink"/>
                <w:rtl w:val="true"/>
              </w:rPr>
              <w:t xml:space="preserve">. </w:t>
            </w:r>
            <w:r>
              <w:rPr>
                <w:rStyle w:val="IndexLink"/>
                <w:rtl w:val="true"/>
              </w:rPr>
              <w:t>بیعت یاران خاص</w:t>
            </w:r>
            <w:r>
              <w:rPr>
                <w:rStyle w:val="IndexLink"/>
                <w:rtl w:val="true"/>
              </w:rPr>
              <w:t>(</w:t>
            </w:r>
            <w:r>
              <w:rPr>
                <w:rStyle w:val="IndexLink"/>
                <w:rtl w:val="true"/>
              </w:rPr>
              <w:t>سیصد و سیزده نفر</w:t>
            </w:r>
            <w:r>
              <w:rPr>
                <w:rStyle w:val="IndexLink"/>
                <w:rtl w:val="true"/>
              </w:rPr>
              <w:t>)</w:t>
              <w:tab/>
            </w:r>
            <w:r>
              <w:rPr>
                <w:rStyle w:val="IndexLink"/>
              </w:rPr>
              <w:t>141</w:t>
            </w:r>
          </w:hyperlink>
        </w:p>
        <w:p>
          <w:pPr>
            <w:pStyle w:val="Contents5"/>
            <w:tabs>
              <w:tab w:val="clear" w:pos="7892"/>
              <w:tab w:val="right" w:pos="9026" w:leader="dot"/>
            </w:tabs>
            <w:rPr/>
          </w:pPr>
          <w:hyperlink w:anchor="__RefHeading___Toc643597_222507752">
            <w:r>
              <w:rPr>
                <w:webHidden/>
                <w:rStyle w:val="IndexLink"/>
              </w:rPr>
              <w:t>1-3</w:t>
            </w:r>
            <w:r>
              <w:rPr>
                <w:rStyle w:val="IndexLink"/>
                <w:rtl w:val="true"/>
              </w:rPr>
              <w:t xml:space="preserve">. </w:t>
            </w:r>
            <w:r>
              <w:rPr>
                <w:rStyle w:val="IndexLink"/>
                <w:rtl w:val="true"/>
              </w:rPr>
              <w:t>برخی از مردم</w:t>
            </w:r>
            <w:r>
              <w:rPr>
                <w:rStyle w:val="IndexLink"/>
                <w:rtl w:val="true"/>
              </w:rPr>
              <w:tab/>
            </w:r>
            <w:r>
              <w:rPr>
                <w:rStyle w:val="IndexLink"/>
              </w:rPr>
              <w:t>141</w:t>
            </w:r>
          </w:hyperlink>
        </w:p>
        <w:p>
          <w:pPr>
            <w:pStyle w:val="Contents4"/>
            <w:tabs>
              <w:tab w:val="clear" w:pos="8176"/>
              <w:tab w:val="right" w:pos="9026" w:leader="dot"/>
            </w:tabs>
            <w:rPr/>
          </w:pPr>
          <w:hyperlink w:anchor="__RefHeading___Toc643599_222507752">
            <w:r>
              <w:rPr>
                <w:webHidden/>
                <w:rStyle w:val="IndexLink"/>
              </w:rPr>
              <w:t>2</w:t>
            </w:r>
            <w:r>
              <w:rPr>
                <w:rStyle w:val="IndexLink"/>
                <w:rtl w:val="true"/>
              </w:rPr>
              <w:t xml:space="preserve">. </w:t>
            </w:r>
            <w:r>
              <w:rPr>
                <w:rStyle w:val="IndexLink"/>
                <w:rtl w:val="true"/>
              </w:rPr>
              <w:t>مکان بیعت</w:t>
            </w:r>
            <w:r>
              <w:rPr>
                <w:rStyle w:val="IndexLink"/>
                <w:rtl w:val="true"/>
              </w:rPr>
              <w:tab/>
            </w:r>
            <w:r>
              <w:rPr>
                <w:rStyle w:val="IndexLink"/>
              </w:rPr>
              <w:t>142</w:t>
            </w:r>
          </w:hyperlink>
        </w:p>
        <w:p>
          <w:pPr>
            <w:pStyle w:val="Contents4"/>
            <w:tabs>
              <w:tab w:val="clear" w:pos="8176"/>
              <w:tab w:val="right" w:pos="9026" w:leader="dot"/>
            </w:tabs>
            <w:rPr/>
          </w:pPr>
          <w:hyperlink w:anchor="__RefHeading___Toc643601_222507752">
            <w:r>
              <w:rPr>
                <w:webHidden/>
                <w:rStyle w:val="IndexLink"/>
              </w:rPr>
              <w:t>3</w:t>
            </w:r>
            <w:r>
              <w:rPr>
                <w:rStyle w:val="IndexLink"/>
                <w:rtl w:val="true"/>
              </w:rPr>
              <w:t xml:space="preserve">. </w:t>
            </w:r>
            <w:r>
              <w:rPr>
                <w:rStyle w:val="IndexLink"/>
                <w:rtl w:val="true"/>
              </w:rPr>
              <w:t>محتوا و مفاد بیعت</w:t>
            </w:r>
            <w:r>
              <w:rPr>
                <w:rStyle w:val="IndexLink"/>
                <w:rtl w:val="true"/>
              </w:rPr>
              <w:tab/>
            </w:r>
            <w:r>
              <w:rPr>
                <w:rStyle w:val="IndexLink"/>
              </w:rPr>
              <w:t>142</w:t>
            </w:r>
          </w:hyperlink>
        </w:p>
        <w:p>
          <w:pPr>
            <w:pStyle w:val="Contents5"/>
            <w:tabs>
              <w:tab w:val="clear" w:pos="7892"/>
              <w:tab w:val="right" w:pos="9026" w:leader="dot"/>
            </w:tabs>
            <w:rPr/>
          </w:pPr>
          <w:hyperlink w:anchor="__RefHeading___Toc643603_222507752">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643605_222507752">
            <w:r>
              <w:rPr>
                <w:webHidden/>
                <w:rStyle w:val="IndexLink"/>
                <w:rtl w:val="true"/>
              </w:rPr>
              <w:t>یک بررسی کوتاه در مفاد بیعت</w:t>
            </w:r>
            <w:r>
              <w:rPr>
                <w:rStyle w:val="IndexLink"/>
                <w:rtl w:val="true"/>
              </w:rPr>
              <w:tab/>
            </w:r>
            <w:r>
              <w:rPr>
                <w:rStyle w:val="IndexLink"/>
              </w:rPr>
              <w:t>142</w:t>
            </w:r>
          </w:hyperlink>
        </w:p>
        <w:p>
          <w:pPr>
            <w:pStyle w:val="Contents3"/>
            <w:tabs>
              <w:tab w:val="clear" w:pos="8459"/>
              <w:tab w:val="right" w:pos="9026" w:leader="dot"/>
            </w:tabs>
            <w:rPr/>
          </w:pPr>
          <w:hyperlink w:anchor="__RefHeading___Toc643607_222507752">
            <w:r>
              <w:rPr>
                <w:webHidden/>
                <w:rStyle w:val="IndexLink"/>
                <w:rtl w:val="true"/>
              </w:rPr>
              <w:t>خودآزمایی</w:t>
            </w:r>
            <w:r>
              <w:rPr>
                <w:rStyle w:val="IndexLink"/>
                <w:rtl w:val="true"/>
              </w:rPr>
              <w:tab/>
            </w:r>
            <w:r>
              <w:rPr>
                <w:rStyle w:val="IndexLink"/>
              </w:rPr>
              <w:t>146</w:t>
            </w:r>
          </w:hyperlink>
        </w:p>
        <w:p>
          <w:pPr>
            <w:pStyle w:val="Contents3"/>
            <w:tabs>
              <w:tab w:val="clear" w:pos="8459"/>
              <w:tab w:val="right" w:pos="9026" w:leader="dot"/>
            </w:tabs>
            <w:rPr/>
          </w:pPr>
          <w:hyperlink w:anchor="__RefHeading___Toc643609_222507752">
            <w:r>
              <w:rPr>
                <w:webHidden/>
                <w:rStyle w:val="IndexLink"/>
                <w:rtl w:val="true"/>
              </w:rPr>
              <w:t>منابع برای پژوهش</w:t>
            </w:r>
            <w:r>
              <w:rPr>
                <w:rStyle w:val="IndexLink"/>
                <w:rtl w:val="true"/>
              </w:rPr>
              <w:tab/>
            </w:r>
            <w:r>
              <w:rPr>
                <w:rStyle w:val="IndexLink"/>
              </w:rPr>
              <w:t>146</w:t>
            </w:r>
          </w:hyperlink>
        </w:p>
        <w:p>
          <w:pPr>
            <w:pStyle w:val="Contents2"/>
            <w:tabs>
              <w:tab w:val="clear" w:pos="8743"/>
              <w:tab w:val="right" w:pos="9026" w:leader="dot"/>
            </w:tabs>
            <w:rPr/>
          </w:pPr>
          <w:hyperlink w:anchor="__RefHeading___Toc643611_222507752">
            <w:r>
              <w:rPr>
                <w:webHidden/>
                <w:rStyle w:val="IndexLink"/>
                <w:rtl w:val="true"/>
              </w:rPr>
              <w:t>درس هشتم</w:t>
            </w:r>
            <w:r>
              <w:rPr>
                <w:rStyle w:val="IndexLink"/>
                <w:rtl w:val="true"/>
              </w:rPr>
              <w:t>:  </w:t>
            </w:r>
            <w:r>
              <w:rPr>
                <w:rStyle w:val="IndexLink"/>
                <w:rtl w:val="true"/>
              </w:rPr>
              <w:t>نظام تعلیم و تربیت در حکومت مهدی علیه‌السلام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643613_222507752">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643615_222507752">
            <w:r>
              <w:rPr>
                <w:webHidden/>
                <w:rStyle w:val="IndexLink"/>
                <w:rtl w:val="true"/>
              </w:rPr>
              <w:t>پیش‌درآمد</w:t>
            </w:r>
            <w:r>
              <w:rPr>
                <w:rStyle w:val="IndexLink"/>
                <w:rtl w:val="true"/>
              </w:rPr>
              <w:tab/>
            </w:r>
            <w:r>
              <w:rPr>
                <w:rStyle w:val="IndexLink"/>
              </w:rPr>
              <w:t>148</w:t>
            </w:r>
          </w:hyperlink>
        </w:p>
        <w:p>
          <w:pPr>
            <w:pStyle w:val="Contents3"/>
            <w:tabs>
              <w:tab w:val="clear" w:pos="8459"/>
              <w:tab w:val="right" w:pos="9026" w:leader="dot"/>
            </w:tabs>
            <w:rPr/>
          </w:pPr>
          <w:hyperlink w:anchor="__RefHeading___Toc643617_222507752">
            <w:r>
              <w:rPr>
                <w:webHidden/>
                <w:rStyle w:val="IndexLink"/>
                <w:rtl w:val="true"/>
              </w:rPr>
              <w:t>درآمدی بر نظام تعلیم و تربیت اسلامی</w:t>
            </w:r>
            <w:r>
              <w:rPr>
                <w:rStyle w:val="IndexLink"/>
                <w:rtl w:val="true"/>
              </w:rPr>
              <w:tab/>
            </w:r>
            <w:r>
              <w:rPr>
                <w:rStyle w:val="IndexLink"/>
              </w:rPr>
              <w:t>149</w:t>
            </w:r>
          </w:hyperlink>
        </w:p>
        <w:p>
          <w:pPr>
            <w:pStyle w:val="Contents3"/>
            <w:tabs>
              <w:tab w:val="clear" w:pos="8459"/>
              <w:tab w:val="right" w:pos="9026" w:leader="dot"/>
            </w:tabs>
            <w:rPr/>
          </w:pPr>
          <w:hyperlink w:anchor="__RefHeading___Toc643619_222507752">
            <w:r>
              <w:rPr>
                <w:webHidden/>
                <w:rStyle w:val="IndexLink"/>
                <w:rtl w:val="true"/>
              </w:rPr>
              <w:t>گسترش خردورزی در عصر ظهور</w:t>
            </w:r>
            <w:r>
              <w:rPr>
                <w:rStyle w:val="IndexLink"/>
                <w:rtl w:val="true"/>
              </w:rPr>
              <w:tab/>
            </w:r>
            <w:r>
              <w:rPr>
                <w:rStyle w:val="IndexLink"/>
              </w:rPr>
              <w:t>151</w:t>
            </w:r>
          </w:hyperlink>
        </w:p>
        <w:p>
          <w:pPr>
            <w:pStyle w:val="Contents3"/>
            <w:tabs>
              <w:tab w:val="clear" w:pos="8459"/>
              <w:tab w:val="right" w:pos="9026" w:leader="dot"/>
            </w:tabs>
            <w:rPr/>
          </w:pPr>
          <w:hyperlink w:anchor="__RefHeading___Toc643621_222507752">
            <w:r>
              <w:rPr>
                <w:webHidden/>
                <w:rStyle w:val="IndexLink"/>
                <w:rtl w:val="true"/>
              </w:rPr>
              <w:t>عقل از نگاه قرآن</w:t>
            </w:r>
            <w:r>
              <w:rPr>
                <w:rStyle w:val="IndexLink"/>
                <w:rtl w:val="true"/>
              </w:rPr>
              <w:tab/>
            </w:r>
            <w:r>
              <w:rPr>
                <w:rStyle w:val="IndexLink"/>
              </w:rPr>
              <w:t>151</w:t>
            </w:r>
          </w:hyperlink>
        </w:p>
        <w:p>
          <w:pPr>
            <w:pStyle w:val="Contents3"/>
            <w:tabs>
              <w:tab w:val="clear" w:pos="8459"/>
              <w:tab w:val="right" w:pos="9026" w:leader="dot"/>
            </w:tabs>
            <w:rPr/>
          </w:pPr>
          <w:hyperlink w:anchor="__RefHeading___Toc643623_222507752">
            <w:r>
              <w:rPr>
                <w:webHidden/>
                <w:rStyle w:val="IndexLink"/>
                <w:rtl w:val="true"/>
              </w:rPr>
              <w:t>عقل از نگاه روایات</w:t>
            </w:r>
            <w:r>
              <w:rPr>
                <w:rStyle w:val="IndexLink"/>
                <w:rtl w:val="true"/>
              </w:rPr>
              <w:tab/>
            </w:r>
            <w:r>
              <w:rPr>
                <w:rStyle w:val="IndexLink"/>
              </w:rPr>
              <w:t>151</w:t>
            </w:r>
          </w:hyperlink>
        </w:p>
        <w:p>
          <w:pPr>
            <w:pStyle w:val="Contents3"/>
            <w:tabs>
              <w:tab w:val="clear" w:pos="8459"/>
              <w:tab w:val="right" w:pos="9026" w:leader="dot"/>
            </w:tabs>
            <w:rPr/>
          </w:pPr>
          <w:hyperlink w:anchor="__RefHeading___Toc643625_222507752">
            <w:r>
              <w:rPr>
                <w:webHidden/>
                <w:rStyle w:val="IndexLink"/>
                <w:rtl w:val="true"/>
              </w:rPr>
              <w:t>سازوکارهای تعلیم و تربیت مهدوی</w:t>
            </w:r>
            <w:r>
              <w:rPr>
                <w:rStyle w:val="IndexLink"/>
                <w:rtl w:val="true"/>
              </w:rPr>
              <w:tab/>
            </w:r>
            <w:r>
              <w:rPr>
                <w:rStyle w:val="IndexLink"/>
              </w:rPr>
              <w:t>154</w:t>
            </w:r>
          </w:hyperlink>
        </w:p>
        <w:p>
          <w:pPr>
            <w:pStyle w:val="Contents4"/>
            <w:tabs>
              <w:tab w:val="clear" w:pos="8176"/>
              <w:tab w:val="right" w:pos="9026" w:leader="dot"/>
            </w:tabs>
            <w:rPr/>
          </w:pPr>
          <w:hyperlink w:anchor="__RefHeading___Toc643627_222507752">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643629_222507752">
            <w:r>
              <w:rPr>
                <w:webHidden/>
                <w:rStyle w:val="IndexLink"/>
              </w:rPr>
              <w:t>1</w:t>
            </w:r>
            <w:r>
              <w:rPr>
                <w:rStyle w:val="IndexLink"/>
                <w:rtl w:val="true"/>
              </w:rPr>
              <w:t xml:space="preserve">. </w:t>
            </w:r>
            <w:r>
              <w:rPr>
                <w:rStyle w:val="IndexLink"/>
                <w:rtl w:val="true"/>
              </w:rPr>
              <w:t>شکوفاسازی عقول انسانی</w:t>
            </w:r>
            <w:r>
              <w:rPr>
                <w:rStyle w:val="IndexLink"/>
                <w:rtl w:val="true"/>
              </w:rPr>
              <w:tab/>
            </w:r>
            <w:r>
              <w:rPr>
                <w:rStyle w:val="IndexLink"/>
              </w:rPr>
              <w:t>155</w:t>
            </w:r>
          </w:hyperlink>
        </w:p>
        <w:p>
          <w:pPr>
            <w:pStyle w:val="Contents4"/>
            <w:tabs>
              <w:tab w:val="clear" w:pos="8176"/>
              <w:tab w:val="right" w:pos="9026" w:leader="dot"/>
            </w:tabs>
            <w:rPr/>
          </w:pPr>
          <w:hyperlink w:anchor="__RefHeading___Toc643631_222507752">
            <w:r>
              <w:rPr>
                <w:webHidden/>
                <w:rStyle w:val="IndexLink"/>
              </w:rPr>
              <w:t>2</w:t>
            </w:r>
            <w:r>
              <w:rPr>
                <w:rStyle w:val="IndexLink"/>
                <w:rtl w:val="true"/>
              </w:rPr>
              <w:t xml:space="preserve">. </w:t>
            </w:r>
            <w:r>
              <w:rPr>
                <w:rStyle w:val="IndexLink"/>
                <w:rtl w:val="true"/>
              </w:rPr>
              <w:t>فرهنگ‌سازی جامع</w:t>
            </w:r>
            <w:r>
              <w:rPr>
                <w:rStyle w:val="IndexLink"/>
                <w:rtl w:val="true"/>
              </w:rPr>
              <w:tab/>
            </w:r>
            <w:r>
              <w:rPr>
                <w:rStyle w:val="IndexLink"/>
              </w:rPr>
              <w:t>156</w:t>
            </w:r>
          </w:hyperlink>
        </w:p>
        <w:p>
          <w:pPr>
            <w:pStyle w:val="Contents4"/>
            <w:tabs>
              <w:tab w:val="clear" w:pos="8176"/>
              <w:tab w:val="right" w:pos="9026" w:leader="dot"/>
            </w:tabs>
            <w:rPr/>
          </w:pPr>
          <w:hyperlink w:anchor="__RefHeading___Toc643633_222507752">
            <w:r>
              <w:rPr>
                <w:webHidden/>
                <w:rStyle w:val="IndexLink"/>
              </w:rPr>
              <w:t>3</w:t>
            </w:r>
            <w:r>
              <w:rPr>
                <w:rStyle w:val="IndexLink"/>
                <w:rtl w:val="true"/>
              </w:rPr>
              <w:t xml:space="preserve">. </w:t>
            </w:r>
            <w:r>
              <w:rPr>
                <w:rStyle w:val="IndexLink"/>
                <w:rtl w:val="true"/>
              </w:rPr>
              <w:t>پالایش ناپاکی‌های درونی</w:t>
            </w:r>
            <w:r>
              <w:rPr>
                <w:rStyle w:val="IndexLink"/>
                <w:rtl w:val="true"/>
              </w:rPr>
              <w:tab/>
            </w:r>
            <w:r>
              <w:rPr>
                <w:rStyle w:val="IndexLink"/>
              </w:rPr>
              <w:t>156</w:t>
            </w:r>
          </w:hyperlink>
        </w:p>
        <w:p>
          <w:pPr>
            <w:pStyle w:val="Contents4"/>
            <w:tabs>
              <w:tab w:val="clear" w:pos="8176"/>
              <w:tab w:val="right" w:pos="9026" w:leader="dot"/>
            </w:tabs>
            <w:rPr/>
          </w:pPr>
          <w:hyperlink w:anchor="__RefHeading___Toc643635_222507752">
            <w:r>
              <w:rPr>
                <w:webHidden/>
                <w:rStyle w:val="IndexLink"/>
              </w:rPr>
              <w:t>4</w:t>
            </w:r>
            <w:r>
              <w:rPr>
                <w:rStyle w:val="IndexLink"/>
                <w:rtl w:val="true"/>
              </w:rPr>
              <w:t xml:space="preserve">. </w:t>
            </w:r>
            <w:r>
              <w:rPr>
                <w:rStyle w:val="IndexLink"/>
                <w:rtl w:val="true"/>
              </w:rPr>
              <w:t>شکوفایی سرشت انسانی</w:t>
            </w:r>
            <w:r>
              <w:rPr>
                <w:rStyle w:val="IndexLink"/>
                <w:rtl w:val="true"/>
              </w:rPr>
              <w:tab/>
            </w:r>
            <w:r>
              <w:rPr>
                <w:rStyle w:val="IndexLink"/>
              </w:rPr>
              <w:t>157</w:t>
            </w:r>
          </w:hyperlink>
        </w:p>
        <w:p>
          <w:pPr>
            <w:pStyle w:val="Contents4"/>
            <w:tabs>
              <w:tab w:val="clear" w:pos="8176"/>
              <w:tab w:val="right" w:pos="9026" w:leader="dot"/>
            </w:tabs>
            <w:rPr/>
          </w:pPr>
          <w:hyperlink w:anchor="__RefHeading___Toc643637_222507752">
            <w:r>
              <w:rPr>
                <w:webHidden/>
                <w:rStyle w:val="IndexLink"/>
              </w:rPr>
              <w:t>5</w:t>
            </w:r>
            <w:r>
              <w:rPr>
                <w:rStyle w:val="IndexLink"/>
                <w:rtl w:val="true"/>
              </w:rPr>
              <w:t xml:space="preserve">. </w:t>
            </w:r>
            <w:r>
              <w:rPr>
                <w:rStyle w:val="IndexLink"/>
                <w:rtl w:val="true"/>
              </w:rPr>
              <w:t>ترویج و تثبیت ارزش‌های اخلاقی</w:t>
            </w:r>
            <w:r>
              <w:rPr>
                <w:rStyle w:val="IndexLink"/>
                <w:rtl w:val="true"/>
              </w:rPr>
              <w:tab/>
            </w:r>
            <w:r>
              <w:rPr>
                <w:rStyle w:val="IndexLink"/>
              </w:rPr>
              <w:t>157</w:t>
            </w:r>
          </w:hyperlink>
        </w:p>
        <w:p>
          <w:pPr>
            <w:pStyle w:val="Contents4"/>
            <w:tabs>
              <w:tab w:val="clear" w:pos="8176"/>
              <w:tab w:val="right" w:pos="9026" w:leader="dot"/>
            </w:tabs>
            <w:rPr/>
          </w:pPr>
          <w:hyperlink w:anchor="__RefHeading___Toc643639_222507752">
            <w:r>
              <w:rPr>
                <w:webHidden/>
                <w:rStyle w:val="IndexLink"/>
              </w:rPr>
              <w:t>6</w:t>
            </w:r>
            <w:r>
              <w:rPr>
                <w:rStyle w:val="IndexLink"/>
                <w:rtl w:val="true"/>
              </w:rPr>
              <w:t xml:space="preserve">. </w:t>
            </w:r>
            <w:r>
              <w:rPr>
                <w:rStyle w:val="IndexLink"/>
                <w:rtl w:val="true"/>
              </w:rPr>
              <w:t>کنترل و نظارت فراگیر</w:t>
            </w:r>
            <w:r>
              <w:rPr>
                <w:rStyle w:val="IndexLink"/>
                <w:rtl w:val="true"/>
              </w:rPr>
              <w:tab/>
            </w:r>
            <w:r>
              <w:rPr>
                <w:rStyle w:val="IndexLink"/>
              </w:rPr>
              <w:t>157</w:t>
            </w:r>
          </w:hyperlink>
        </w:p>
        <w:p>
          <w:pPr>
            <w:pStyle w:val="Contents4"/>
            <w:tabs>
              <w:tab w:val="clear" w:pos="8176"/>
              <w:tab w:val="right" w:pos="9026" w:leader="dot"/>
            </w:tabs>
            <w:rPr/>
          </w:pPr>
          <w:hyperlink w:anchor="__RefHeading___Toc643641_222507752">
            <w:r>
              <w:rPr>
                <w:webHidden/>
                <w:rStyle w:val="IndexLink"/>
              </w:rPr>
              <w:t>7</w:t>
            </w:r>
            <w:r>
              <w:rPr>
                <w:rStyle w:val="IndexLink"/>
                <w:rtl w:val="true"/>
              </w:rPr>
              <w:t xml:space="preserve">. </w:t>
            </w:r>
            <w:r>
              <w:rPr>
                <w:rStyle w:val="IndexLink"/>
                <w:rtl w:val="true"/>
              </w:rPr>
              <w:t>تقویت باورهای اعتقادی و ایمانی</w:t>
            </w:r>
            <w:r>
              <w:rPr>
                <w:rStyle w:val="IndexLink"/>
                <w:rtl w:val="true"/>
              </w:rPr>
              <w:tab/>
            </w:r>
            <w:r>
              <w:rPr>
                <w:rStyle w:val="IndexLink"/>
              </w:rPr>
              <w:t>158</w:t>
            </w:r>
          </w:hyperlink>
        </w:p>
        <w:p>
          <w:pPr>
            <w:pStyle w:val="Contents4"/>
            <w:tabs>
              <w:tab w:val="clear" w:pos="8176"/>
              <w:tab w:val="right" w:pos="9026" w:leader="dot"/>
            </w:tabs>
            <w:rPr/>
          </w:pPr>
          <w:hyperlink w:anchor="__RefHeading___Toc643643_222507752">
            <w:r>
              <w:rPr>
                <w:webHidden/>
                <w:rStyle w:val="IndexLink"/>
              </w:rPr>
              <w:t>8</w:t>
            </w:r>
            <w:r>
              <w:rPr>
                <w:rStyle w:val="IndexLink"/>
                <w:rtl w:val="true"/>
              </w:rPr>
              <w:t xml:space="preserve">. </w:t>
            </w:r>
            <w:r>
              <w:rPr>
                <w:rStyle w:val="IndexLink"/>
                <w:rtl w:val="true"/>
              </w:rPr>
              <w:t>ایجاد غنای واقعی در بشر</w:t>
            </w:r>
            <w:r>
              <w:rPr>
                <w:rStyle w:val="IndexLink"/>
                <w:rtl w:val="true"/>
              </w:rPr>
              <w:tab/>
            </w:r>
            <w:r>
              <w:rPr>
                <w:rStyle w:val="IndexLink"/>
              </w:rPr>
              <w:t>158</w:t>
            </w:r>
          </w:hyperlink>
        </w:p>
        <w:p>
          <w:pPr>
            <w:pStyle w:val="Contents4"/>
            <w:tabs>
              <w:tab w:val="clear" w:pos="8176"/>
              <w:tab w:val="right" w:pos="9026" w:leader="dot"/>
            </w:tabs>
            <w:rPr/>
          </w:pPr>
          <w:hyperlink w:anchor="__RefHeading___Toc643645_222507752">
            <w:r>
              <w:rPr>
                <w:webHidden/>
                <w:rStyle w:val="IndexLink"/>
              </w:rPr>
              <w:t>9</w:t>
            </w:r>
            <w:r>
              <w:rPr>
                <w:rStyle w:val="IndexLink"/>
                <w:rtl w:val="true"/>
              </w:rPr>
              <w:t xml:space="preserve">. </w:t>
            </w:r>
            <w:r>
              <w:rPr>
                <w:rStyle w:val="IndexLink"/>
                <w:rtl w:val="true"/>
              </w:rPr>
              <w:t>به‌سازی اخلاق کارگزاران</w:t>
            </w:r>
            <w:r>
              <w:rPr>
                <w:rStyle w:val="IndexLink"/>
                <w:rtl w:val="true"/>
              </w:rPr>
              <w:tab/>
            </w:r>
            <w:r>
              <w:rPr>
                <w:rStyle w:val="IndexLink"/>
              </w:rPr>
              <w:t>159</w:t>
            </w:r>
          </w:hyperlink>
        </w:p>
        <w:p>
          <w:pPr>
            <w:pStyle w:val="Contents4"/>
            <w:tabs>
              <w:tab w:val="clear" w:pos="8176"/>
              <w:tab w:val="right" w:pos="9026" w:leader="dot"/>
            </w:tabs>
            <w:rPr/>
          </w:pPr>
          <w:hyperlink w:anchor="__RefHeading___Toc643647_222507752">
            <w:r>
              <w:rPr>
                <w:webHidden/>
                <w:rStyle w:val="IndexLink"/>
              </w:rPr>
              <w:t>10</w:t>
            </w:r>
            <w:r>
              <w:rPr>
                <w:rStyle w:val="IndexLink"/>
                <w:rtl w:val="true"/>
              </w:rPr>
              <w:t xml:space="preserve">. </w:t>
            </w:r>
            <w:r>
              <w:rPr>
                <w:rStyle w:val="IndexLink"/>
                <w:rtl w:val="true"/>
              </w:rPr>
              <w:t>حاکمیت اندیشة قرآنی</w:t>
            </w:r>
            <w:r>
              <w:rPr>
                <w:rStyle w:val="IndexLink"/>
                <w:rtl w:val="true"/>
              </w:rPr>
              <w:tab/>
            </w:r>
            <w:r>
              <w:rPr>
                <w:rStyle w:val="IndexLink"/>
              </w:rPr>
              <w:t>159</w:t>
            </w:r>
          </w:hyperlink>
        </w:p>
        <w:p>
          <w:pPr>
            <w:pStyle w:val="Contents4"/>
            <w:tabs>
              <w:tab w:val="clear" w:pos="8176"/>
              <w:tab w:val="right" w:pos="9026" w:leader="dot"/>
            </w:tabs>
            <w:rPr/>
          </w:pPr>
          <w:hyperlink w:anchor="__RefHeading___Toc643649_222507752">
            <w:r>
              <w:rPr>
                <w:webHidden/>
                <w:rStyle w:val="IndexLink"/>
              </w:rPr>
              <w:t>11</w:t>
            </w:r>
            <w:r>
              <w:rPr>
                <w:rStyle w:val="IndexLink"/>
                <w:rtl w:val="true"/>
              </w:rPr>
              <w:t xml:space="preserve">. </w:t>
            </w:r>
            <w:r>
              <w:rPr>
                <w:rStyle w:val="IndexLink"/>
                <w:rtl w:val="true"/>
              </w:rPr>
              <w:t>وحدت و الفت انسان‌ها</w:t>
            </w:r>
            <w:r>
              <w:rPr>
                <w:rStyle w:val="IndexLink"/>
                <w:rtl w:val="true"/>
              </w:rPr>
              <w:tab/>
            </w:r>
            <w:r>
              <w:rPr>
                <w:rStyle w:val="IndexLink"/>
              </w:rPr>
              <w:t>160</w:t>
            </w:r>
          </w:hyperlink>
        </w:p>
        <w:p>
          <w:pPr>
            <w:pStyle w:val="Contents4"/>
            <w:tabs>
              <w:tab w:val="clear" w:pos="8176"/>
              <w:tab w:val="right" w:pos="9026" w:leader="dot"/>
            </w:tabs>
            <w:rPr/>
          </w:pPr>
          <w:hyperlink w:anchor="__RefHeading___Toc643651_222507752">
            <w:r>
              <w:rPr>
                <w:webHidden/>
                <w:rStyle w:val="IndexLink"/>
              </w:rPr>
              <w:t>12</w:t>
            </w:r>
            <w:r>
              <w:rPr>
                <w:rStyle w:val="IndexLink"/>
                <w:rtl w:val="true"/>
              </w:rPr>
              <w:t xml:space="preserve">. </w:t>
            </w:r>
            <w:r>
              <w:rPr>
                <w:rStyle w:val="IndexLink"/>
                <w:rtl w:val="true"/>
              </w:rPr>
              <w:t>فراگیری و همگانی‌شدن تعلیم و تربیت</w:t>
            </w:r>
            <w:r>
              <w:rPr>
                <w:rStyle w:val="IndexLink"/>
                <w:rtl w:val="true"/>
              </w:rPr>
              <w:tab/>
            </w:r>
            <w:r>
              <w:rPr>
                <w:rStyle w:val="IndexLink"/>
              </w:rPr>
              <w:t>161</w:t>
            </w:r>
          </w:hyperlink>
        </w:p>
        <w:p>
          <w:pPr>
            <w:pStyle w:val="Contents3"/>
            <w:tabs>
              <w:tab w:val="clear" w:pos="8459"/>
              <w:tab w:val="right" w:pos="9026" w:leader="dot"/>
            </w:tabs>
            <w:rPr/>
          </w:pPr>
          <w:hyperlink w:anchor="__RefHeading___Toc643653_222507752">
            <w:r>
              <w:rPr>
                <w:webHidden/>
                <w:rStyle w:val="IndexLink"/>
                <w:rtl w:val="true"/>
              </w:rPr>
              <w:t>خودآزمایی</w:t>
            </w:r>
            <w:r>
              <w:rPr>
                <w:rStyle w:val="IndexLink"/>
                <w:rtl w:val="true"/>
              </w:rPr>
              <w:tab/>
            </w:r>
            <w:r>
              <w:rPr>
                <w:rStyle w:val="IndexLink"/>
              </w:rPr>
              <w:t>163</w:t>
            </w:r>
          </w:hyperlink>
        </w:p>
        <w:p>
          <w:pPr>
            <w:pStyle w:val="Contents3"/>
            <w:tabs>
              <w:tab w:val="clear" w:pos="8459"/>
              <w:tab w:val="right" w:pos="9026" w:leader="dot"/>
            </w:tabs>
            <w:rPr/>
          </w:pPr>
          <w:hyperlink w:anchor="__RefHeading___Toc643655_222507752">
            <w:r>
              <w:rPr>
                <w:webHidden/>
                <w:rStyle w:val="IndexLink"/>
                <w:rtl w:val="true"/>
              </w:rPr>
              <w:t>منابع برای پژوهش</w:t>
            </w:r>
            <w:r>
              <w:rPr>
                <w:rStyle w:val="IndexLink"/>
                <w:rtl w:val="true"/>
              </w:rPr>
              <w:tab/>
            </w:r>
            <w:r>
              <w:rPr>
                <w:rStyle w:val="IndexLink"/>
              </w:rPr>
              <w:t>163</w:t>
            </w:r>
          </w:hyperlink>
        </w:p>
        <w:p>
          <w:pPr>
            <w:pStyle w:val="Contents2"/>
            <w:tabs>
              <w:tab w:val="clear" w:pos="8743"/>
              <w:tab w:val="right" w:pos="9026" w:leader="dot"/>
            </w:tabs>
            <w:rPr/>
          </w:pPr>
          <w:hyperlink w:anchor="__RefHeading___Toc643657_222507752">
            <w:r>
              <w:rPr>
                <w:webHidden/>
                <w:rStyle w:val="IndexLink"/>
                <w:rtl w:val="true"/>
              </w:rPr>
              <w:t>درس نهم</w:t>
            </w:r>
            <w:r>
              <w:rPr>
                <w:rStyle w:val="IndexLink"/>
                <w:rtl w:val="true"/>
              </w:rPr>
              <w:t xml:space="preserve">: </w:t>
            </w:r>
            <w:r>
              <w:rPr>
                <w:rStyle w:val="IndexLink"/>
                <w:rtl w:val="true"/>
              </w:rPr>
              <w:t>مهدویّت و مستشرقان</w:t>
            </w:r>
            <w:r>
              <w:rPr>
                <w:rStyle w:val="IndexLink"/>
                <w:rtl w:val="true"/>
              </w:rPr>
              <w:tab/>
            </w:r>
            <w:r>
              <w:rPr>
                <w:rStyle w:val="IndexLink"/>
              </w:rPr>
              <w:t>165</w:t>
            </w:r>
          </w:hyperlink>
        </w:p>
        <w:p>
          <w:pPr>
            <w:pStyle w:val="Contents3"/>
            <w:tabs>
              <w:tab w:val="clear" w:pos="8459"/>
              <w:tab w:val="right" w:pos="9026" w:leader="dot"/>
            </w:tabs>
            <w:rPr/>
          </w:pPr>
          <w:hyperlink w:anchor="__RefHeading___Toc643659_222507752">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643661_222507752">
            <w:r>
              <w:rPr>
                <w:webHidden/>
                <w:rStyle w:val="IndexLink"/>
                <w:rtl w:val="true"/>
              </w:rPr>
              <w:t>پیش‌درآمد</w:t>
            </w:r>
            <w:r>
              <w:rPr>
                <w:rStyle w:val="IndexLink"/>
                <w:rtl w:val="true"/>
              </w:rPr>
              <w:tab/>
            </w:r>
            <w:r>
              <w:rPr>
                <w:rStyle w:val="IndexLink"/>
              </w:rPr>
              <w:t>166</w:t>
            </w:r>
          </w:hyperlink>
        </w:p>
        <w:p>
          <w:pPr>
            <w:pStyle w:val="Contents3"/>
            <w:tabs>
              <w:tab w:val="clear" w:pos="8459"/>
              <w:tab w:val="right" w:pos="9026" w:leader="dot"/>
            </w:tabs>
            <w:rPr/>
          </w:pPr>
          <w:hyperlink w:anchor="__RefHeading___Toc643663_222507752">
            <w:r>
              <w:rPr>
                <w:webHidden/>
                <w:rStyle w:val="IndexLink"/>
                <w:rtl w:val="true"/>
              </w:rPr>
              <w:t>تعاریف متفاوت از واژة شرق</w:t>
            </w:r>
            <w:r>
              <w:rPr>
                <w:rStyle w:val="IndexLink"/>
                <w:rtl w:val="true"/>
              </w:rPr>
              <w:tab/>
            </w:r>
            <w:r>
              <w:rPr>
                <w:rStyle w:val="IndexLink"/>
              </w:rPr>
              <w:t>166</w:t>
            </w:r>
          </w:hyperlink>
        </w:p>
        <w:p>
          <w:pPr>
            <w:pStyle w:val="Contents3"/>
            <w:tabs>
              <w:tab w:val="clear" w:pos="8459"/>
              <w:tab w:val="right" w:pos="9026" w:leader="dot"/>
            </w:tabs>
            <w:rPr/>
          </w:pPr>
          <w:hyperlink w:anchor="__RefHeading___Toc643665_222507752">
            <w:r>
              <w:rPr>
                <w:webHidden/>
                <w:rStyle w:val="IndexLink"/>
                <w:rtl w:val="true"/>
              </w:rPr>
              <w:t>شرق‌شناسی در فرهنگ لغت</w:t>
            </w:r>
            <w:r>
              <w:rPr>
                <w:rStyle w:val="IndexLink"/>
                <w:rtl w:val="true"/>
              </w:rPr>
              <w:tab/>
            </w:r>
            <w:r>
              <w:rPr>
                <w:rStyle w:val="IndexLink"/>
              </w:rPr>
              <w:t>168</w:t>
            </w:r>
          </w:hyperlink>
        </w:p>
        <w:p>
          <w:pPr>
            <w:pStyle w:val="Contents3"/>
            <w:tabs>
              <w:tab w:val="clear" w:pos="8459"/>
              <w:tab w:val="right" w:pos="9026" w:leader="dot"/>
            </w:tabs>
            <w:rPr/>
          </w:pPr>
          <w:hyperlink w:anchor="__RefHeading___Toc643667_222507752">
            <w:r>
              <w:rPr>
                <w:webHidden/>
                <w:rStyle w:val="IndexLink"/>
                <w:rtl w:val="true"/>
              </w:rPr>
              <w:t>تعریف اصطلاحی شرق‌شناسی</w:t>
            </w:r>
            <w:r>
              <w:rPr>
                <w:rStyle w:val="IndexLink"/>
                <w:rtl w:val="true"/>
              </w:rPr>
              <w:tab/>
            </w:r>
            <w:r>
              <w:rPr>
                <w:rStyle w:val="IndexLink"/>
              </w:rPr>
              <w:t>168</w:t>
            </w:r>
          </w:hyperlink>
        </w:p>
        <w:p>
          <w:pPr>
            <w:pStyle w:val="Contents3"/>
            <w:tabs>
              <w:tab w:val="clear" w:pos="8459"/>
              <w:tab w:val="right" w:pos="9026" w:leader="dot"/>
            </w:tabs>
            <w:rPr/>
          </w:pPr>
          <w:hyperlink w:anchor="__RefHeading___Toc643669_222507752">
            <w:r>
              <w:rPr>
                <w:webHidden/>
                <w:rStyle w:val="IndexLink"/>
                <w:rtl w:val="true"/>
              </w:rPr>
              <w:t xml:space="preserve">تقسیم بندی مستشرقین </w:t>
            </w:r>
            <w:r>
              <w:rPr>
                <w:rStyle w:val="IndexLink"/>
                <w:rtl w:val="true"/>
              </w:rPr>
              <w:t>(</w:t>
            </w:r>
            <w:r>
              <w:rPr>
                <w:rStyle w:val="IndexLink"/>
                <w:rtl w:val="true"/>
              </w:rPr>
              <w:t>اسلام‌شناسان غربی</w:t>
            </w:r>
            <w:r>
              <w:rPr>
                <w:rStyle w:val="IndexLink"/>
                <w:rtl w:val="true"/>
              </w:rPr>
              <w:t>)</w:t>
              <w:tab/>
            </w:r>
            <w:r>
              <w:rPr>
                <w:rStyle w:val="IndexLink"/>
              </w:rPr>
              <w:t>169</w:t>
            </w:r>
          </w:hyperlink>
        </w:p>
        <w:p>
          <w:pPr>
            <w:pStyle w:val="Contents3"/>
            <w:tabs>
              <w:tab w:val="clear" w:pos="8459"/>
              <w:tab w:val="right" w:pos="9026" w:leader="dot"/>
            </w:tabs>
            <w:rPr/>
          </w:pPr>
          <w:hyperlink w:anchor="__RefHeading___Toc643671_222507752">
            <w:r>
              <w:rPr>
                <w:webHidden/>
                <w:rStyle w:val="IndexLink"/>
                <w:rtl w:val="true"/>
              </w:rPr>
              <w:t>برخی زمینه‌های ورود مستشرقین به موضوع مهدویت</w:t>
            </w:r>
            <w:r>
              <w:rPr>
                <w:rStyle w:val="IndexLink"/>
                <w:rtl w:val="true"/>
              </w:rPr>
              <w:tab/>
            </w:r>
            <w:r>
              <w:rPr>
                <w:rStyle w:val="IndexLink"/>
              </w:rPr>
              <w:t>170</w:t>
            </w:r>
          </w:hyperlink>
        </w:p>
        <w:p>
          <w:pPr>
            <w:pStyle w:val="Contents4"/>
            <w:tabs>
              <w:tab w:val="clear" w:pos="8176"/>
              <w:tab w:val="right" w:pos="9026" w:leader="dot"/>
            </w:tabs>
            <w:rPr/>
          </w:pPr>
          <w:hyperlink w:anchor="__RefHeading___Toc643673_222507752">
            <w:r>
              <w:rPr>
                <w:webHidden/>
                <w:rStyle w:val="IndexLink"/>
                <w:rtl w:val="true"/>
              </w:rPr>
              <w:t>الف</w:t>
            </w:r>
            <w:r>
              <w:rPr>
                <w:rStyle w:val="IndexLink"/>
                <w:rtl w:val="true"/>
              </w:rPr>
              <w:t xml:space="preserve">) </w:t>
            </w:r>
            <w:r>
              <w:rPr>
                <w:rStyle w:val="IndexLink"/>
                <w:rtl w:val="true"/>
              </w:rPr>
              <w:t>جاذبه فرهنگ و تمدن اسلامی</w:t>
            </w:r>
            <w:r>
              <w:rPr>
                <w:rStyle w:val="IndexLink"/>
                <w:rtl w:val="true"/>
              </w:rPr>
              <w:tab/>
            </w:r>
            <w:r>
              <w:rPr>
                <w:rStyle w:val="IndexLink"/>
              </w:rPr>
              <w:t>170</w:t>
            </w:r>
          </w:hyperlink>
        </w:p>
        <w:p>
          <w:pPr>
            <w:pStyle w:val="Contents4"/>
            <w:tabs>
              <w:tab w:val="clear" w:pos="8176"/>
              <w:tab w:val="right" w:pos="9026" w:leader="dot"/>
            </w:tabs>
            <w:rPr/>
          </w:pPr>
          <w:hyperlink w:anchor="__RefHeading___Toc643675_222507752">
            <w:r>
              <w:rPr>
                <w:webHidden/>
                <w:rStyle w:val="IndexLink"/>
                <w:rtl w:val="true"/>
              </w:rPr>
              <w:t>ب</w:t>
            </w:r>
            <w:r>
              <w:rPr>
                <w:rStyle w:val="IndexLink"/>
                <w:rtl w:val="true"/>
              </w:rPr>
              <w:t xml:space="preserve">) </w:t>
            </w:r>
            <w:r>
              <w:rPr>
                <w:rStyle w:val="IndexLink"/>
                <w:rtl w:val="true"/>
              </w:rPr>
              <w:t>اهداف استعماری و تبشیری</w:t>
            </w:r>
            <w:r>
              <w:rPr>
                <w:rStyle w:val="IndexLink"/>
                <w:rtl w:val="true"/>
              </w:rPr>
              <w:tab/>
            </w:r>
            <w:r>
              <w:rPr>
                <w:rStyle w:val="IndexLink"/>
              </w:rPr>
              <w:t>170</w:t>
            </w:r>
          </w:hyperlink>
        </w:p>
        <w:p>
          <w:pPr>
            <w:pStyle w:val="Contents4"/>
            <w:tabs>
              <w:tab w:val="clear" w:pos="8176"/>
              <w:tab w:val="right" w:pos="9026" w:leader="dot"/>
            </w:tabs>
            <w:rPr/>
          </w:pPr>
          <w:hyperlink w:anchor="__RefHeading___Toc643677_222507752">
            <w:r>
              <w:rPr>
                <w:webHidden/>
                <w:rStyle w:val="IndexLink"/>
                <w:rtl w:val="true"/>
              </w:rPr>
              <w:t>ج</w:t>
            </w:r>
            <w:r>
              <w:rPr>
                <w:rStyle w:val="IndexLink"/>
                <w:rtl w:val="true"/>
              </w:rPr>
              <w:t xml:space="preserve">) </w:t>
            </w:r>
            <w:r>
              <w:rPr>
                <w:rStyle w:val="IndexLink"/>
                <w:rtl w:val="true"/>
              </w:rPr>
              <w:t>نگاه اندیشمندانه به آموزه‌های اسلامی</w:t>
            </w:r>
            <w:r>
              <w:rPr>
                <w:rStyle w:val="IndexLink"/>
                <w:rtl w:val="true"/>
              </w:rPr>
              <w:tab/>
            </w:r>
            <w:r>
              <w:rPr>
                <w:rStyle w:val="IndexLink"/>
              </w:rPr>
              <w:t>171</w:t>
            </w:r>
          </w:hyperlink>
        </w:p>
        <w:p>
          <w:pPr>
            <w:pStyle w:val="Contents4"/>
            <w:tabs>
              <w:tab w:val="clear" w:pos="8176"/>
              <w:tab w:val="right" w:pos="9026" w:leader="dot"/>
            </w:tabs>
            <w:rPr/>
          </w:pPr>
          <w:hyperlink w:anchor="__RefHeading___Toc643679_222507752">
            <w:r>
              <w:rPr>
                <w:webHidden/>
                <w:rStyle w:val="IndexLink"/>
                <w:rtl w:val="true"/>
              </w:rPr>
              <w:t>د</w:t>
            </w:r>
            <w:r>
              <w:rPr>
                <w:rStyle w:val="IndexLink"/>
                <w:rtl w:val="true"/>
              </w:rPr>
              <w:t xml:space="preserve">) </w:t>
            </w:r>
            <w:r>
              <w:rPr>
                <w:rStyle w:val="IndexLink"/>
                <w:rtl w:val="true"/>
              </w:rPr>
              <w:t>توجه به نهضت‌های اصلاح‌طلبانه اسلامی</w:t>
            </w:r>
            <w:r>
              <w:rPr>
                <w:rStyle w:val="IndexLink"/>
                <w:rtl w:val="true"/>
              </w:rPr>
              <w:tab/>
            </w:r>
            <w:r>
              <w:rPr>
                <w:rStyle w:val="IndexLink"/>
              </w:rPr>
              <w:t>172</w:t>
            </w:r>
          </w:hyperlink>
        </w:p>
        <w:p>
          <w:pPr>
            <w:pStyle w:val="Contents4"/>
            <w:tabs>
              <w:tab w:val="clear" w:pos="8176"/>
              <w:tab w:val="right" w:pos="9026" w:leader="dot"/>
            </w:tabs>
            <w:rPr/>
          </w:pPr>
          <w:hyperlink w:anchor="__RefHeading___Toc643681_222507752">
            <w:r>
              <w:rPr>
                <w:webHidden/>
                <w:rStyle w:val="IndexLink"/>
                <w:rtl w:val="true"/>
              </w:rPr>
              <w:t>ه</w:t>
            </w:r>
            <w:r>
              <w:rPr>
                <w:rStyle w:val="IndexLink"/>
                <w:rtl w:val="true"/>
              </w:rPr>
              <w:t xml:space="preserve">) </w:t>
            </w:r>
            <w:r>
              <w:rPr>
                <w:rStyle w:val="IndexLink"/>
                <w:rtl w:val="true"/>
              </w:rPr>
              <w:t>نگاه کلان به موضوع منجی و جامعة آرمانی</w:t>
            </w:r>
            <w:r>
              <w:rPr>
                <w:rStyle w:val="IndexLink"/>
                <w:rtl w:val="true"/>
              </w:rPr>
              <w:tab/>
            </w:r>
            <w:r>
              <w:rPr>
                <w:rStyle w:val="IndexLink"/>
              </w:rPr>
              <w:t>172</w:t>
            </w:r>
          </w:hyperlink>
        </w:p>
        <w:p>
          <w:pPr>
            <w:pStyle w:val="Contents3"/>
            <w:tabs>
              <w:tab w:val="clear" w:pos="8459"/>
              <w:tab w:val="right" w:pos="9026" w:leader="dot"/>
            </w:tabs>
            <w:rPr/>
          </w:pPr>
          <w:hyperlink w:anchor="__RefHeading___Toc643683_222507752">
            <w:r>
              <w:rPr>
                <w:webHidden/>
                <w:rStyle w:val="IndexLink"/>
                <w:rtl w:val="true"/>
              </w:rPr>
              <w:t>جنبه‌های مثبت و منفی در پژوهش مستشرقان</w:t>
            </w:r>
            <w:r>
              <w:rPr>
                <w:rStyle w:val="IndexLink"/>
                <w:rtl w:val="true"/>
              </w:rPr>
              <w:tab/>
            </w:r>
            <w:r>
              <w:rPr>
                <w:rStyle w:val="IndexLink"/>
              </w:rPr>
              <w:t>174</w:t>
            </w:r>
          </w:hyperlink>
        </w:p>
        <w:p>
          <w:pPr>
            <w:pStyle w:val="Contents3"/>
            <w:tabs>
              <w:tab w:val="clear" w:pos="8459"/>
              <w:tab w:val="right" w:pos="9026" w:leader="dot"/>
            </w:tabs>
            <w:rPr/>
          </w:pPr>
          <w:hyperlink w:anchor="__RefHeading___Toc643685_222507752">
            <w:r>
              <w:rPr>
                <w:webHidden/>
                <w:rStyle w:val="IndexLink"/>
                <w:rtl w:val="true"/>
              </w:rPr>
              <w:t>عرصه‌های مهدویت‌پژوهی در نزد مستشرقان</w:t>
            </w:r>
            <w:r>
              <w:rPr>
                <w:rStyle w:val="IndexLink"/>
                <w:rtl w:val="true"/>
              </w:rPr>
              <w:tab/>
            </w:r>
            <w:r>
              <w:rPr>
                <w:rStyle w:val="IndexLink"/>
              </w:rPr>
              <w:t>177</w:t>
            </w:r>
          </w:hyperlink>
        </w:p>
        <w:p>
          <w:pPr>
            <w:pStyle w:val="Contents3"/>
            <w:tabs>
              <w:tab w:val="clear" w:pos="8459"/>
              <w:tab w:val="right" w:pos="9026" w:leader="dot"/>
            </w:tabs>
            <w:rPr/>
          </w:pPr>
          <w:hyperlink w:anchor="__RefHeading___Toc643687_222507752">
            <w:r>
              <w:rPr>
                <w:webHidden/>
                <w:rStyle w:val="IndexLink"/>
                <w:rtl w:val="true"/>
              </w:rPr>
              <w:t>خودآزمایی</w:t>
            </w:r>
            <w:r>
              <w:rPr>
                <w:rStyle w:val="IndexLink"/>
                <w:rtl w:val="true"/>
              </w:rPr>
              <w:tab/>
            </w:r>
            <w:r>
              <w:rPr>
                <w:rStyle w:val="IndexLink"/>
              </w:rPr>
              <w:t>178</w:t>
            </w:r>
          </w:hyperlink>
        </w:p>
        <w:p>
          <w:pPr>
            <w:pStyle w:val="Contents3"/>
            <w:tabs>
              <w:tab w:val="clear" w:pos="8459"/>
              <w:tab w:val="right" w:pos="9026" w:leader="dot"/>
            </w:tabs>
            <w:rPr/>
          </w:pPr>
          <w:hyperlink w:anchor="__RefHeading___Toc643689_222507752">
            <w:r>
              <w:rPr>
                <w:webHidden/>
                <w:rStyle w:val="IndexLink"/>
                <w:rtl w:val="true"/>
              </w:rPr>
              <w:t>منابع برای پژوهش</w:t>
            </w:r>
            <w:r>
              <w:rPr>
                <w:rStyle w:val="IndexLink"/>
                <w:rtl w:val="true"/>
              </w:rPr>
              <w:tab/>
            </w:r>
            <w:r>
              <w:rPr>
                <w:rStyle w:val="IndexLink"/>
              </w:rPr>
              <w:t>178</w:t>
            </w:r>
          </w:hyperlink>
        </w:p>
        <w:p>
          <w:pPr>
            <w:pStyle w:val="Contents2"/>
            <w:tabs>
              <w:tab w:val="clear" w:pos="8743"/>
              <w:tab w:val="right" w:pos="9026" w:leader="dot"/>
            </w:tabs>
            <w:rPr/>
          </w:pPr>
          <w:hyperlink w:anchor="__RefHeading___Toc643691_222507752">
            <w:r>
              <w:rPr>
                <w:webHidden/>
                <w:rStyle w:val="IndexLink"/>
                <w:rtl w:val="true"/>
              </w:rPr>
              <w:t>درس دهم</w:t>
            </w:r>
            <w:r>
              <w:rPr>
                <w:rStyle w:val="IndexLink"/>
                <w:rtl w:val="true"/>
              </w:rPr>
              <w:t xml:space="preserve">: </w:t>
            </w:r>
            <w:r>
              <w:rPr>
                <w:rStyle w:val="IndexLink"/>
                <w:rtl w:val="true"/>
              </w:rPr>
              <w:t>زمینه</w:t>
            </w:r>
            <w:r>
              <w:rPr>
                <w:rStyle w:val="IndexLink"/>
                <w:rtl w:val="true"/>
              </w:rPr>
              <w:softHyphen/>
            </w:r>
            <w:r>
              <w:rPr>
                <w:rStyle w:val="IndexLink"/>
                <w:rtl w:val="true"/>
              </w:rPr>
              <w:t>شناسی جریان</w:t>
            </w:r>
            <w:r>
              <w:rPr>
                <w:rStyle w:val="IndexLink"/>
                <w:rtl w:val="true"/>
              </w:rPr>
              <w:softHyphen/>
            </w:r>
            <w:r>
              <w:rPr>
                <w:rStyle w:val="IndexLink"/>
                <w:rtl w:val="true"/>
              </w:rPr>
              <w:t>های انحرافی در مهدویت</w:t>
            </w:r>
            <w:r>
              <w:rPr>
                <w:rStyle w:val="IndexLink"/>
                <w:rtl w:val="true"/>
              </w:rPr>
              <w:tab/>
            </w:r>
            <w:r>
              <w:rPr>
                <w:rStyle w:val="IndexLink"/>
              </w:rPr>
              <w:t>179</w:t>
            </w:r>
          </w:hyperlink>
        </w:p>
        <w:p>
          <w:pPr>
            <w:pStyle w:val="Contents3"/>
            <w:tabs>
              <w:tab w:val="clear" w:pos="8459"/>
              <w:tab w:val="right" w:pos="9026" w:leader="dot"/>
            </w:tabs>
            <w:rPr/>
          </w:pPr>
          <w:hyperlink w:anchor="__RefHeading___Toc643693_222507752">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643695_222507752">
            <w:r>
              <w:rPr>
                <w:webHidden/>
                <w:rStyle w:val="IndexLink"/>
                <w:rtl w:val="true"/>
              </w:rPr>
              <w:t>پیش‌درآمد</w:t>
            </w:r>
            <w:r>
              <w:rPr>
                <w:rStyle w:val="IndexLink"/>
                <w:rtl w:val="true"/>
              </w:rPr>
              <w:tab/>
            </w:r>
            <w:r>
              <w:rPr>
                <w:rStyle w:val="IndexLink"/>
              </w:rPr>
              <w:t>180</w:t>
            </w:r>
          </w:hyperlink>
        </w:p>
        <w:p>
          <w:pPr>
            <w:pStyle w:val="Contents3"/>
            <w:tabs>
              <w:tab w:val="clear" w:pos="8459"/>
              <w:tab w:val="right" w:pos="9026" w:leader="dot"/>
            </w:tabs>
            <w:rPr/>
          </w:pPr>
          <w:hyperlink w:anchor="__RefHeading___Toc643697_222507752">
            <w:r>
              <w:rPr>
                <w:webHidden/>
                <w:rStyle w:val="IndexLink"/>
              </w:rPr>
              <w:t>1</w:t>
            </w:r>
            <w:r>
              <w:rPr>
                <w:rStyle w:val="IndexLink"/>
                <w:rtl w:val="true"/>
              </w:rPr>
              <w:t xml:space="preserve">. </w:t>
            </w:r>
            <w:r>
              <w:rPr>
                <w:rStyle w:val="IndexLink"/>
                <w:rtl w:val="true"/>
              </w:rPr>
              <w:t>عوامل پیدایش جریان</w:t>
            </w:r>
            <w:r>
              <w:rPr>
                <w:rStyle w:val="IndexLink"/>
                <w:rtl w:val="true"/>
              </w:rPr>
              <w:softHyphen/>
            </w:r>
            <w:r>
              <w:rPr>
                <w:rStyle w:val="IndexLink"/>
                <w:rtl w:val="true"/>
              </w:rPr>
              <w:t>های انحرافی</w:t>
            </w:r>
            <w:r>
              <w:rPr>
                <w:rStyle w:val="IndexLink"/>
                <w:rtl w:val="true"/>
              </w:rPr>
              <w:tab/>
            </w:r>
            <w:r>
              <w:rPr>
                <w:rStyle w:val="IndexLink"/>
              </w:rPr>
              <w:t>181</w:t>
            </w:r>
          </w:hyperlink>
        </w:p>
        <w:p>
          <w:pPr>
            <w:pStyle w:val="Contents4"/>
            <w:tabs>
              <w:tab w:val="clear" w:pos="8176"/>
              <w:tab w:val="right" w:pos="9026" w:leader="dot"/>
            </w:tabs>
            <w:rPr/>
          </w:pPr>
          <w:hyperlink w:anchor="__RefHeading___Toc643699_222507752">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643701_222507752">
            <w:r>
              <w:rPr>
                <w:webHidden/>
                <w:rStyle w:val="IndexLink"/>
              </w:rPr>
              <w:t>1-1</w:t>
            </w:r>
            <w:r>
              <w:rPr>
                <w:rStyle w:val="IndexLink"/>
                <w:rtl w:val="true"/>
              </w:rPr>
              <w:t xml:space="preserve">. </w:t>
            </w:r>
            <w:r>
              <w:rPr>
                <w:rStyle w:val="IndexLink"/>
                <w:rtl w:val="true"/>
              </w:rPr>
              <w:t>عوامل پدیدآورنده</w:t>
            </w:r>
            <w:r>
              <w:rPr>
                <w:rStyle w:val="IndexLink"/>
                <w:rtl w:val="true"/>
              </w:rPr>
              <w:tab/>
            </w:r>
            <w:r>
              <w:rPr>
                <w:rStyle w:val="IndexLink"/>
              </w:rPr>
              <w:t>181</w:t>
            </w:r>
          </w:hyperlink>
        </w:p>
        <w:p>
          <w:pPr>
            <w:pStyle w:val="Contents5"/>
            <w:tabs>
              <w:tab w:val="clear" w:pos="7892"/>
              <w:tab w:val="right" w:pos="9026" w:leader="dot"/>
            </w:tabs>
            <w:rPr/>
          </w:pPr>
          <w:hyperlink w:anchor="__RefHeading___Toc643703_222507752">
            <w:r>
              <w:rPr>
                <w:webHidden/>
                <w:rStyle w:val="IndexLink"/>
                <w:rtl w:val="true"/>
              </w:rPr>
              <w:t>یک</w:t>
            </w:r>
            <w:r>
              <w:rPr>
                <w:rStyle w:val="IndexLink"/>
                <w:rtl w:val="true"/>
              </w:rPr>
              <w:t xml:space="preserve">. </w:t>
            </w:r>
            <w:r>
              <w:rPr>
                <w:rStyle w:val="IndexLink"/>
                <w:rtl w:val="true"/>
              </w:rPr>
              <w:t>ناآگاهی توده مردم</w:t>
            </w:r>
            <w:r>
              <w:rPr>
                <w:rStyle w:val="IndexLink"/>
                <w:rtl w:val="true"/>
              </w:rPr>
              <w:tab/>
            </w:r>
            <w:r>
              <w:rPr>
                <w:rStyle w:val="IndexLink"/>
              </w:rPr>
              <w:t>181</w:t>
            </w:r>
          </w:hyperlink>
        </w:p>
        <w:p>
          <w:pPr>
            <w:pStyle w:val="Contents5"/>
            <w:tabs>
              <w:tab w:val="clear" w:pos="7892"/>
              <w:tab w:val="right" w:pos="9026" w:leader="dot"/>
            </w:tabs>
            <w:rPr/>
          </w:pPr>
          <w:hyperlink w:anchor="__RefHeading___Toc643705_222507752">
            <w:r>
              <w:rPr>
                <w:webHidden/>
                <w:rStyle w:val="IndexLink"/>
                <w:rtl w:val="true"/>
              </w:rPr>
              <w:t>دو</w:t>
            </w:r>
            <w:r>
              <w:rPr>
                <w:rStyle w:val="IndexLink"/>
                <w:rtl w:val="true"/>
              </w:rPr>
              <w:t xml:space="preserve">. </w:t>
            </w:r>
            <w:r>
              <w:rPr>
                <w:rStyle w:val="IndexLink"/>
                <w:rtl w:val="true"/>
              </w:rPr>
              <w:t>آشفتگی</w:t>
            </w:r>
            <w:r>
              <w:rPr>
                <w:rStyle w:val="IndexLink"/>
                <w:rtl w:val="true"/>
              </w:rPr>
              <w:softHyphen/>
            </w:r>
            <w:r>
              <w:rPr>
                <w:rStyle w:val="IndexLink"/>
                <w:rtl w:val="true"/>
              </w:rPr>
              <w:t>های اجتماعی و اقتصادی</w:t>
            </w:r>
            <w:r>
              <w:rPr>
                <w:rStyle w:val="IndexLink"/>
                <w:rtl w:val="true"/>
              </w:rPr>
              <w:tab/>
            </w:r>
            <w:r>
              <w:rPr>
                <w:rStyle w:val="IndexLink"/>
              </w:rPr>
              <w:t>182</w:t>
            </w:r>
          </w:hyperlink>
        </w:p>
        <w:p>
          <w:pPr>
            <w:pStyle w:val="Contents5"/>
            <w:tabs>
              <w:tab w:val="clear" w:pos="7892"/>
              <w:tab w:val="right" w:pos="9026" w:leader="dot"/>
            </w:tabs>
            <w:rPr/>
          </w:pPr>
          <w:hyperlink w:anchor="__RefHeading___Toc643707_222507752">
            <w:r>
              <w:rPr>
                <w:webHidden/>
                <w:rStyle w:val="IndexLink"/>
                <w:rtl w:val="true"/>
              </w:rPr>
              <w:t>سه</w:t>
            </w:r>
            <w:r>
              <w:rPr>
                <w:rStyle w:val="IndexLink"/>
                <w:rtl w:val="true"/>
              </w:rPr>
              <w:t xml:space="preserve">. </w:t>
            </w:r>
            <w:r>
              <w:rPr>
                <w:rStyle w:val="IndexLink"/>
                <w:rtl w:val="true"/>
              </w:rPr>
              <w:t>زیاده خواهی</w:t>
            </w:r>
            <w:r>
              <w:rPr>
                <w:rStyle w:val="IndexLink"/>
                <w:rtl w:val="true"/>
              </w:rPr>
              <w:tab/>
            </w:r>
            <w:r>
              <w:rPr>
                <w:rStyle w:val="IndexLink"/>
              </w:rPr>
              <w:t>182</w:t>
            </w:r>
          </w:hyperlink>
        </w:p>
        <w:p>
          <w:pPr>
            <w:pStyle w:val="Contents5"/>
            <w:tabs>
              <w:tab w:val="clear" w:pos="7892"/>
              <w:tab w:val="right" w:pos="9026" w:leader="dot"/>
            </w:tabs>
            <w:rPr/>
          </w:pPr>
          <w:hyperlink w:anchor="__RefHeading___Toc643709_222507752">
            <w:r>
              <w:rPr>
                <w:webHidden/>
                <w:rStyle w:val="IndexLink"/>
                <w:rtl w:val="true"/>
              </w:rPr>
              <w:t>چهار</w:t>
            </w:r>
            <w:r>
              <w:rPr>
                <w:rStyle w:val="IndexLink"/>
                <w:rtl w:val="true"/>
              </w:rPr>
              <w:t xml:space="preserve">. </w:t>
            </w:r>
            <w:r>
              <w:rPr>
                <w:rStyle w:val="IndexLink"/>
                <w:rtl w:val="true"/>
              </w:rPr>
              <w:t>نابسامانی و اعتبار کم برخی متون</w:t>
            </w:r>
            <w:r>
              <w:rPr>
                <w:rStyle w:val="IndexLink"/>
                <w:rtl w:val="true"/>
              </w:rPr>
              <w:tab/>
            </w:r>
            <w:r>
              <w:rPr>
                <w:rStyle w:val="IndexLink"/>
              </w:rPr>
              <w:t>182</w:t>
            </w:r>
          </w:hyperlink>
        </w:p>
        <w:p>
          <w:pPr>
            <w:pStyle w:val="Contents5"/>
            <w:tabs>
              <w:tab w:val="clear" w:pos="7892"/>
              <w:tab w:val="right" w:pos="9026" w:leader="dot"/>
            </w:tabs>
            <w:rPr/>
          </w:pPr>
          <w:hyperlink w:anchor="__RefHeading___Toc643711_222507752">
            <w:r>
              <w:rPr>
                <w:webHidden/>
                <w:rStyle w:val="IndexLink"/>
                <w:rtl w:val="true"/>
              </w:rPr>
              <w:t>پنج</w:t>
            </w:r>
            <w:r>
              <w:rPr>
                <w:rStyle w:val="IndexLink"/>
                <w:rtl w:val="true"/>
              </w:rPr>
              <w:t xml:space="preserve">. </w:t>
            </w:r>
            <w:r>
              <w:rPr>
                <w:rStyle w:val="IndexLink"/>
                <w:rtl w:val="true"/>
              </w:rPr>
              <w:t>حمایت دشمنان</w:t>
            </w:r>
            <w:r>
              <w:rPr>
                <w:rStyle w:val="IndexLink"/>
                <w:rtl w:val="true"/>
              </w:rPr>
              <w:tab/>
            </w:r>
            <w:r>
              <w:rPr>
                <w:rStyle w:val="IndexLink"/>
              </w:rPr>
              <w:t>183</w:t>
            </w:r>
          </w:hyperlink>
        </w:p>
        <w:p>
          <w:pPr>
            <w:pStyle w:val="Contents4"/>
            <w:tabs>
              <w:tab w:val="clear" w:pos="8176"/>
              <w:tab w:val="right" w:pos="9026" w:leader="dot"/>
            </w:tabs>
            <w:rPr/>
          </w:pPr>
          <w:hyperlink w:anchor="__RefHeading___Toc643713_222507752">
            <w:r>
              <w:rPr>
                <w:webHidden/>
                <w:rStyle w:val="IndexLink"/>
              </w:rPr>
              <w:t>1-2</w:t>
            </w:r>
            <w:r>
              <w:rPr>
                <w:rStyle w:val="IndexLink"/>
                <w:rtl w:val="true"/>
              </w:rPr>
              <w:t xml:space="preserve">. </w:t>
            </w:r>
            <w:r>
              <w:rPr>
                <w:rStyle w:val="IndexLink"/>
                <w:rtl w:val="true"/>
              </w:rPr>
              <w:t>عوامل استمراربخش</w:t>
            </w:r>
            <w:r>
              <w:rPr>
                <w:rStyle w:val="IndexLink"/>
                <w:rtl w:val="true"/>
              </w:rPr>
              <w:tab/>
            </w:r>
            <w:r>
              <w:rPr>
                <w:rStyle w:val="IndexLink"/>
              </w:rPr>
              <w:t>183</w:t>
            </w:r>
          </w:hyperlink>
        </w:p>
        <w:p>
          <w:pPr>
            <w:pStyle w:val="Contents5"/>
            <w:tabs>
              <w:tab w:val="clear" w:pos="7892"/>
              <w:tab w:val="right" w:pos="9026" w:leader="dot"/>
            </w:tabs>
            <w:rPr/>
          </w:pPr>
          <w:hyperlink w:anchor="__RefHeading___Toc643715_222507752">
            <w:r>
              <w:rPr>
                <w:webHidden/>
                <w:rStyle w:val="IndexLink"/>
                <w:rtl w:val="true"/>
              </w:rPr>
              <w:t>یک</w:t>
            </w:r>
            <w:r>
              <w:rPr>
                <w:rStyle w:val="IndexLink"/>
                <w:rtl w:val="true"/>
              </w:rPr>
              <w:t xml:space="preserve">. </w:t>
            </w:r>
            <w:r>
              <w:rPr>
                <w:rStyle w:val="IndexLink"/>
                <w:rtl w:val="true"/>
              </w:rPr>
              <w:t>اباحی‌گری و تکلیف‌گریزی</w:t>
            </w:r>
            <w:r>
              <w:rPr>
                <w:rStyle w:val="IndexLink"/>
                <w:rtl w:val="true"/>
              </w:rPr>
              <w:tab/>
            </w:r>
            <w:r>
              <w:rPr>
                <w:rStyle w:val="IndexLink"/>
              </w:rPr>
              <w:t>183</w:t>
            </w:r>
          </w:hyperlink>
        </w:p>
        <w:p>
          <w:pPr>
            <w:pStyle w:val="Contents5"/>
            <w:tabs>
              <w:tab w:val="clear" w:pos="7892"/>
              <w:tab w:val="right" w:pos="9026" w:leader="dot"/>
            </w:tabs>
            <w:rPr/>
          </w:pPr>
          <w:hyperlink w:anchor="__RefHeading___Toc643717_222507752">
            <w:r>
              <w:rPr>
                <w:webHidden/>
                <w:rStyle w:val="IndexLink"/>
                <w:rtl w:val="true"/>
              </w:rPr>
              <w:t>دو</w:t>
            </w:r>
            <w:r>
              <w:rPr>
                <w:rStyle w:val="IndexLink"/>
                <w:rtl w:val="true"/>
              </w:rPr>
              <w:t xml:space="preserve">. </w:t>
            </w:r>
            <w:r>
              <w:rPr>
                <w:rStyle w:val="IndexLink"/>
                <w:rtl w:val="true"/>
              </w:rPr>
              <w:t>حمایت برخی خواص</w:t>
            </w:r>
            <w:r>
              <w:rPr>
                <w:rStyle w:val="IndexLink"/>
                <w:rtl w:val="true"/>
              </w:rPr>
              <w:tab/>
            </w:r>
            <w:r>
              <w:rPr>
                <w:rStyle w:val="IndexLink"/>
              </w:rPr>
              <w:t>184</w:t>
            </w:r>
          </w:hyperlink>
        </w:p>
        <w:p>
          <w:pPr>
            <w:pStyle w:val="Contents5"/>
            <w:tabs>
              <w:tab w:val="clear" w:pos="7892"/>
              <w:tab w:val="right" w:pos="9026" w:leader="dot"/>
            </w:tabs>
            <w:rPr/>
          </w:pPr>
          <w:hyperlink w:anchor="__RefHeading___Toc643719_222507752">
            <w:r>
              <w:rPr>
                <w:webHidden/>
                <w:rStyle w:val="IndexLink"/>
                <w:rtl w:val="true"/>
              </w:rPr>
              <w:t>سه</w:t>
            </w:r>
            <w:r>
              <w:rPr>
                <w:rStyle w:val="IndexLink"/>
                <w:rtl w:val="true"/>
              </w:rPr>
              <w:t xml:space="preserve">. </w:t>
            </w:r>
            <w:r>
              <w:rPr>
                <w:rStyle w:val="IndexLink"/>
                <w:rtl w:val="true"/>
              </w:rPr>
              <w:t>غفلت برخی خواص</w:t>
            </w:r>
            <w:r>
              <w:rPr>
                <w:rStyle w:val="IndexLink"/>
                <w:rtl w:val="true"/>
              </w:rPr>
              <w:tab/>
            </w:r>
            <w:r>
              <w:rPr>
                <w:rStyle w:val="IndexLink"/>
              </w:rPr>
              <w:t>184</w:t>
            </w:r>
          </w:hyperlink>
        </w:p>
        <w:p>
          <w:pPr>
            <w:pStyle w:val="Contents5"/>
            <w:tabs>
              <w:tab w:val="clear" w:pos="7892"/>
              <w:tab w:val="right" w:pos="9026" w:leader="dot"/>
            </w:tabs>
            <w:rPr/>
          </w:pPr>
          <w:hyperlink w:anchor="__RefHeading___Toc643721_222507752">
            <w:r>
              <w:rPr>
                <w:webHidden/>
                <w:rStyle w:val="IndexLink"/>
                <w:rtl w:val="true"/>
              </w:rPr>
              <w:t>چهار</w:t>
            </w:r>
            <w:r>
              <w:rPr>
                <w:rStyle w:val="IndexLink"/>
                <w:rtl w:val="true"/>
              </w:rPr>
              <w:t xml:space="preserve">. </w:t>
            </w:r>
            <w:r>
              <w:rPr>
                <w:rStyle w:val="IndexLink"/>
                <w:rtl w:val="true"/>
              </w:rPr>
              <w:t>ساختن حکایات</w:t>
            </w:r>
            <w:r>
              <w:rPr>
                <w:rStyle w:val="IndexLink"/>
                <w:rtl w:val="true"/>
              </w:rPr>
              <w:tab/>
            </w:r>
            <w:r>
              <w:rPr>
                <w:rStyle w:val="IndexLink"/>
              </w:rPr>
              <w:t>185</w:t>
            </w:r>
          </w:hyperlink>
        </w:p>
        <w:p>
          <w:pPr>
            <w:pStyle w:val="Contents3"/>
            <w:tabs>
              <w:tab w:val="clear" w:pos="8459"/>
              <w:tab w:val="right" w:pos="9026" w:leader="dot"/>
            </w:tabs>
            <w:rPr/>
          </w:pPr>
          <w:hyperlink w:anchor="__RefHeading___Toc643723_222507752">
            <w:r>
              <w:rPr>
                <w:webHidden/>
                <w:rStyle w:val="IndexLink"/>
              </w:rPr>
              <w:t>2</w:t>
            </w:r>
            <w:r>
              <w:rPr>
                <w:rStyle w:val="IndexLink"/>
                <w:rtl w:val="true"/>
              </w:rPr>
              <w:t xml:space="preserve">. </w:t>
            </w:r>
            <w:r>
              <w:rPr>
                <w:rStyle w:val="IndexLink"/>
                <w:rtl w:val="true"/>
              </w:rPr>
              <w:t>ویژگی</w:t>
            </w:r>
            <w:r>
              <w:rPr>
                <w:rStyle w:val="IndexLink"/>
                <w:rtl w:val="true"/>
              </w:rPr>
              <w:softHyphen/>
            </w:r>
            <w:r>
              <w:rPr>
                <w:rStyle w:val="IndexLink"/>
                <w:rtl w:val="true"/>
              </w:rPr>
              <w:t>های جریان</w:t>
            </w:r>
            <w:r>
              <w:rPr>
                <w:rStyle w:val="IndexLink"/>
                <w:rtl w:val="true"/>
              </w:rPr>
              <w:softHyphen/>
            </w:r>
            <w:r>
              <w:rPr>
                <w:rStyle w:val="IndexLink"/>
                <w:rtl w:val="true"/>
              </w:rPr>
              <w:t>های انحرافی</w:t>
            </w:r>
            <w:r>
              <w:rPr>
                <w:rStyle w:val="IndexLink"/>
                <w:rtl w:val="true"/>
              </w:rPr>
              <w:tab/>
            </w:r>
            <w:r>
              <w:rPr>
                <w:rStyle w:val="IndexLink"/>
              </w:rPr>
              <w:t>185</w:t>
            </w:r>
          </w:hyperlink>
        </w:p>
        <w:p>
          <w:pPr>
            <w:pStyle w:val="Contents4"/>
            <w:tabs>
              <w:tab w:val="clear" w:pos="8176"/>
              <w:tab w:val="right" w:pos="9026" w:leader="dot"/>
            </w:tabs>
            <w:rPr/>
          </w:pPr>
          <w:hyperlink w:anchor="__RefHeading___Toc643725_222507752">
            <w:r>
              <w:rPr>
                <w:webHidden/>
                <w:rStyle w:val="IndexLink"/>
              </w:rPr>
              <w:t>2-1</w:t>
            </w:r>
            <w:r>
              <w:rPr>
                <w:rStyle w:val="IndexLink"/>
                <w:rtl w:val="true"/>
              </w:rPr>
              <w:t xml:space="preserve">. </w:t>
            </w:r>
            <w:r>
              <w:rPr>
                <w:rStyle w:val="IndexLink"/>
                <w:rtl w:val="true"/>
              </w:rPr>
              <w:t>عقل گریزی و اهتمام افراطی به امور احساسی</w:t>
            </w:r>
            <w:r>
              <w:rPr>
                <w:rStyle w:val="IndexLink"/>
                <w:rtl w:val="true"/>
              </w:rPr>
              <w:tab/>
            </w:r>
            <w:r>
              <w:rPr>
                <w:rStyle w:val="IndexLink"/>
              </w:rPr>
              <w:t>185</w:t>
            </w:r>
          </w:hyperlink>
        </w:p>
        <w:p>
          <w:pPr>
            <w:pStyle w:val="Contents4"/>
            <w:tabs>
              <w:tab w:val="clear" w:pos="8176"/>
              <w:tab w:val="right" w:pos="9026" w:leader="dot"/>
            </w:tabs>
            <w:rPr/>
          </w:pPr>
          <w:hyperlink w:anchor="__RefHeading___Toc643727_222507752">
            <w:r>
              <w:rPr>
                <w:webHidden/>
                <w:rStyle w:val="IndexLink"/>
              </w:rPr>
              <w:t>2-2</w:t>
            </w:r>
            <w:r>
              <w:rPr>
                <w:rStyle w:val="IndexLink"/>
                <w:rtl w:val="true"/>
              </w:rPr>
              <w:t xml:space="preserve">. </w:t>
            </w:r>
            <w:r>
              <w:rPr>
                <w:rStyle w:val="IndexLink"/>
                <w:rtl w:val="true"/>
              </w:rPr>
              <w:t>درآمیختن حق و باطل</w:t>
            </w:r>
            <w:r>
              <w:rPr>
                <w:rStyle w:val="IndexLink"/>
                <w:rtl w:val="true"/>
              </w:rPr>
              <w:tab/>
            </w:r>
            <w:r>
              <w:rPr>
                <w:rStyle w:val="IndexLink"/>
              </w:rPr>
              <w:t>186</w:t>
            </w:r>
          </w:hyperlink>
        </w:p>
        <w:p>
          <w:pPr>
            <w:pStyle w:val="Contents4"/>
            <w:tabs>
              <w:tab w:val="clear" w:pos="8176"/>
              <w:tab w:val="right" w:pos="9026" w:leader="dot"/>
            </w:tabs>
            <w:rPr/>
          </w:pPr>
          <w:hyperlink w:anchor="__RefHeading___Toc643729_222507752">
            <w:r>
              <w:rPr>
                <w:webHidden/>
                <w:rStyle w:val="IndexLink"/>
              </w:rPr>
              <w:t>2-3</w:t>
            </w:r>
            <w:r>
              <w:rPr>
                <w:rStyle w:val="IndexLink"/>
                <w:rtl w:val="true"/>
              </w:rPr>
              <w:t xml:space="preserve">. </w:t>
            </w:r>
            <w:r>
              <w:rPr>
                <w:rStyle w:val="IndexLink"/>
                <w:rtl w:val="true"/>
              </w:rPr>
              <w:t>دورکردن مردم از مرجعیت و روحانیت</w:t>
            </w:r>
            <w:r>
              <w:rPr>
                <w:rStyle w:val="IndexLink"/>
                <w:rtl w:val="true"/>
              </w:rPr>
              <w:tab/>
            </w:r>
            <w:r>
              <w:rPr>
                <w:rStyle w:val="IndexLink"/>
              </w:rPr>
              <w:t>186</w:t>
            </w:r>
          </w:hyperlink>
        </w:p>
        <w:p>
          <w:pPr>
            <w:pStyle w:val="Contents4"/>
            <w:tabs>
              <w:tab w:val="clear" w:pos="8176"/>
              <w:tab w:val="right" w:pos="9026" w:leader="dot"/>
            </w:tabs>
            <w:rPr/>
          </w:pPr>
          <w:hyperlink w:anchor="__RefHeading___Toc643731_222507752">
            <w:r>
              <w:rPr>
                <w:webHidden/>
                <w:rStyle w:val="IndexLink"/>
              </w:rPr>
              <w:t>2-4</w:t>
            </w:r>
            <w:r>
              <w:rPr>
                <w:rStyle w:val="IndexLink"/>
                <w:rtl w:val="true"/>
              </w:rPr>
              <w:t xml:space="preserve"> .  </w:t>
            </w:r>
            <w:r>
              <w:rPr>
                <w:rStyle w:val="IndexLink"/>
                <w:rtl w:val="true"/>
              </w:rPr>
              <w:t>خرافه پردازی</w:t>
            </w:r>
            <w:r>
              <w:rPr>
                <w:rStyle w:val="IndexLink"/>
                <w:rtl w:val="true"/>
              </w:rPr>
              <w:tab/>
            </w:r>
            <w:r>
              <w:rPr>
                <w:rStyle w:val="IndexLink"/>
              </w:rPr>
              <w:t>187</w:t>
            </w:r>
          </w:hyperlink>
        </w:p>
        <w:p>
          <w:pPr>
            <w:pStyle w:val="Contents4"/>
            <w:tabs>
              <w:tab w:val="clear" w:pos="8176"/>
              <w:tab w:val="right" w:pos="9026" w:leader="dot"/>
            </w:tabs>
            <w:rPr/>
          </w:pPr>
          <w:hyperlink w:anchor="__RefHeading___Toc643733_222507752">
            <w:r>
              <w:rPr>
                <w:webHidden/>
                <w:rStyle w:val="IndexLink"/>
              </w:rPr>
              <w:t>2-5</w:t>
            </w:r>
            <w:r>
              <w:rPr>
                <w:rStyle w:val="IndexLink"/>
                <w:rtl w:val="true"/>
              </w:rPr>
              <w:t xml:space="preserve">. </w:t>
            </w:r>
            <w:r>
              <w:rPr>
                <w:rStyle w:val="IndexLink"/>
                <w:rtl w:val="true"/>
              </w:rPr>
              <w:t>عوام</w:t>
            </w:r>
            <w:r>
              <w:rPr>
                <w:rStyle w:val="IndexLink"/>
                <w:rtl w:val="true"/>
              </w:rPr>
              <w:softHyphen/>
            </w:r>
            <w:r>
              <w:rPr>
                <w:rStyle w:val="IndexLink"/>
                <w:rtl w:val="true"/>
              </w:rPr>
              <w:t>زدگی</w:t>
            </w:r>
            <w:r>
              <w:rPr>
                <w:rStyle w:val="IndexLink"/>
                <w:rtl w:val="true"/>
              </w:rPr>
              <w:tab/>
            </w:r>
            <w:r>
              <w:rPr>
                <w:rStyle w:val="IndexLink"/>
              </w:rPr>
              <w:t>187</w:t>
            </w:r>
          </w:hyperlink>
        </w:p>
        <w:p>
          <w:pPr>
            <w:pStyle w:val="Contents4"/>
            <w:tabs>
              <w:tab w:val="clear" w:pos="8176"/>
              <w:tab w:val="right" w:pos="9026" w:leader="dot"/>
            </w:tabs>
            <w:rPr/>
          </w:pPr>
          <w:hyperlink w:anchor="__RefHeading___Toc643735_222507752">
            <w:r>
              <w:rPr>
                <w:webHidden/>
                <w:rStyle w:val="IndexLink"/>
              </w:rPr>
              <w:t>2-6</w:t>
            </w:r>
            <w:r>
              <w:rPr>
                <w:rStyle w:val="IndexLink"/>
                <w:rtl w:val="true"/>
              </w:rPr>
              <w:t xml:space="preserve">. </w:t>
            </w:r>
            <w:r>
              <w:rPr>
                <w:rStyle w:val="IndexLink"/>
                <w:rtl w:val="true"/>
              </w:rPr>
              <w:t>خودمرکزی و مریدپروری</w:t>
            </w:r>
            <w:r>
              <w:rPr>
                <w:rStyle w:val="IndexLink"/>
                <w:rtl w:val="true"/>
              </w:rPr>
              <w:tab/>
            </w:r>
            <w:r>
              <w:rPr>
                <w:rStyle w:val="IndexLink"/>
              </w:rPr>
              <w:t>188</w:t>
            </w:r>
          </w:hyperlink>
        </w:p>
        <w:p>
          <w:pPr>
            <w:pStyle w:val="Contents4"/>
            <w:tabs>
              <w:tab w:val="clear" w:pos="8176"/>
              <w:tab w:val="right" w:pos="9026" w:leader="dot"/>
            </w:tabs>
            <w:rPr/>
          </w:pPr>
          <w:hyperlink w:anchor="__RefHeading___Toc643737_222507752">
            <w:r>
              <w:rPr>
                <w:webHidden/>
                <w:rStyle w:val="IndexLink"/>
              </w:rPr>
              <w:t>2-7</w:t>
            </w:r>
            <w:r>
              <w:rPr>
                <w:rStyle w:val="IndexLink"/>
                <w:rtl w:val="true"/>
              </w:rPr>
              <w:t xml:space="preserve">. </w:t>
            </w:r>
            <w:r>
              <w:rPr>
                <w:rStyle w:val="IndexLink"/>
                <w:rtl w:val="true"/>
              </w:rPr>
              <w:t>بهره از سخنان چندپهلو</w:t>
            </w:r>
            <w:r>
              <w:rPr>
                <w:rStyle w:val="IndexLink"/>
                <w:rtl w:val="true"/>
              </w:rPr>
              <w:tab/>
            </w:r>
            <w:r>
              <w:rPr>
                <w:rStyle w:val="IndexLink"/>
              </w:rPr>
              <w:t>188</w:t>
            </w:r>
          </w:hyperlink>
        </w:p>
        <w:p>
          <w:pPr>
            <w:pStyle w:val="Contents4"/>
            <w:tabs>
              <w:tab w:val="clear" w:pos="8176"/>
              <w:tab w:val="right" w:pos="9026" w:leader="dot"/>
            </w:tabs>
            <w:rPr/>
          </w:pPr>
          <w:hyperlink w:anchor="__RefHeading___Toc643739_222507752">
            <w:r>
              <w:rPr>
                <w:webHidden/>
                <w:rStyle w:val="IndexLink"/>
              </w:rPr>
              <w:t>2-8</w:t>
            </w:r>
            <w:r>
              <w:rPr>
                <w:rStyle w:val="IndexLink"/>
                <w:rtl w:val="true"/>
              </w:rPr>
              <w:t xml:space="preserve"> . </w:t>
            </w:r>
            <w:r>
              <w:rPr>
                <w:rStyle w:val="IndexLink"/>
                <w:rtl w:val="true"/>
              </w:rPr>
              <w:t>دادن شأن و جایگاه دروغین به هوادارن خود</w:t>
            </w:r>
            <w:r>
              <w:rPr>
                <w:rStyle w:val="IndexLink"/>
                <w:rtl w:val="true"/>
              </w:rPr>
              <w:tab/>
            </w:r>
            <w:r>
              <w:rPr>
                <w:rStyle w:val="IndexLink"/>
              </w:rPr>
              <w:t>189</w:t>
            </w:r>
          </w:hyperlink>
        </w:p>
        <w:p>
          <w:pPr>
            <w:pStyle w:val="Contents4"/>
            <w:tabs>
              <w:tab w:val="clear" w:pos="8176"/>
              <w:tab w:val="right" w:pos="9026" w:leader="dot"/>
            </w:tabs>
            <w:rPr/>
          </w:pPr>
          <w:hyperlink w:anchor="__RefHeading___Toc643741_222507752">
            <w:r>
              <w:rPr>
                <w:webHidden/>
                <w:rStyle w:val="IndexLink"/>
              </w:rPr>
              <w:t>2-9</w:t>
            </w:r>
            <w:r>
              <w:rPr>
                <w:rStyle w:val="IndexLink"/>
                <w:rtl w:val="true"/>
              </w:rPr>
              <w:t xml:space="preserve"> . </w:t>
            </w:r>
            <w:r>
              <w:rPr>
                <w:rStyle w:val="IndexLink"/>
                <w:rtl w:val="true"/>
              </w:rPr>
              <w:t>بی‌ثباتی در باورها و پندارها</w:t>
            </w:r>
            <w:r>
              <w:rPr>
                <w:rStyle w:val="IndexLink"/>
                <w:rtl w:val="true"/>
              </w:rPr>
              <w:tab/>
            </w:r>
            <w:r>
              <w:rPr>
                <w:rStyle w:val="IndexLink"/>
              </w:rPr>
              <w:t>189</w:t>
            </w:r>
          </w:hyperlink>
        </w:p>
        <w:p>
          <w:pPr>
            <w:pStyle w:val="Contents4"/>
            <w:tabs>
              <w:tab w:val="clear" w:pos="8176"/>
              <w:tab w:val="right" w:pos="9026" w:leader="dot"/>
            </w:tabs>
            <w:rPr/>
          </w:pPr>
          <w:hyperlink w:anchor="__RefHeading___Toc643743_222507752">
            <w:r>
              <w:rPr>
                <w:webHidden/>
                <w:rStyle w:val="IndexLink"/>
              </w:rPr>
              <w:t>2-10</w:t>
            </w:r>
            <w:r>
              <w:rPr>
                <w:rStyle w:val="IndexLink"/>
                <w:rtl w:val="true"/>
              </w:rPr>
              <w:t xml:space="preserve">. </w:t>
            </w:r>
            <w:r>
              <w:rPr>
                <w:rStyle w:val="IndexLink"/>
                <w:rtl w:val="true"/>
              </w:rPr>
              <w:t>پیروی از خواسته</w:t>
            </w:r>
            <w:r>
              <w:rPr>
                <w:rStyle w:val="IndexLink"/>
                <w:rtl w:val="true"/>
              </w:rPr>
              <w:softHyphen/>
            </w:r>
            <w:r>
              <w:rPr>
                <w:rStyle w:val="IndexLink"/>
                <w:rtl w:val="true"/>
              </w:rPr>
              <w:t>های نفسانی</w:t>
            </w:r>
            <w:r>
              <w:rPr>
                <w:rStyle w:val="IndexLink"/>
                <w:rtl w:val="true"/>
              </w:rPr>
              <w:tab/>
            </w:r>
            <w:r>
              <w:rPr>
                <w:rStyle w:val="IndexLink"/>
              </w:rPr>
              <w:t>189</w:t>
            </w:r>
          </w:hyperlink>
        </w:p>
        <w:p>
          <w:pPr>
            <w:pStyle w:val="Contents4"/>
            <w:tabs>
              <w:tab w:val="clear" w:pos="8176"/>
              <w:tab w:val="right" w:pos="9026" w:leader="dot"/>
            </w:tabs>
            <w:rPr/>
          </w:pPr>
          <w:hyperlink w:anchor="__RefHeading___Toc643745_222507752">
            <w:r>
              <w:rPr>
                <w:webHidden/>
                <w:rStyle w:val="IndexLink"/>
              </w:rPr>
              <w:t>2-11</w:t>
            </w:r>
            <w:r>
              <w:rPr>
                <w:rStyle w:val="IndexLink"/>
                <w:rtl w:val="true"/>
              </w:rPr>
              <w:t xml:space="preserve">. </w:t>
            </w:r>
            <w:r>
              <w:rPr>
                <w:rStyle w:val="IndexLink"/>
                <w:rtl w:val="true"/>
              </w:rPr>
              <w:t>سوءاستفاده از آشفتگی‌های سیاسی و اجتماعی</w:t>
            </w:r>
            <w:r>
              <w:rPr>
                <w:rStyle w:val="IndexLink"/>
                <w:rtl w:val="true"/>
              </w:rPr>
              <w:tab/>
            </w:r>
            <w:r>
              <w:rPr>
                <w:rStyle w:val="IndexLink"/>
              </w:rPr>
              <w:t>189</w:t>
            </w:r>
          </w:hyperlink>
        </w:p>
        <w:p>
          <w:pPr>
            <w:pStyle w:val="Contents4"/>
            <w:tabs>
              <w:tab w:val="clear" w:pos="8176"/>
              <w:tab w:val="right" w:pos="9026" w:leader="dot"/>
            </w:tabs>
            <w:rPr/>
          </w:pPr>
          <w:hyperlink w:anchor="__RefHeading___Toc643747_222507752">
            <w:r>
              <w:rPr>
                <w:webHidden/>
                <w:rStyle w:val="IndexLink"/>
              </w:rPr>
              <w:t>2-12</w:t>
            </w:r>
            <w:r>
              <w:rPr>
                <w:rStyle w:val="IndexLink"/>
                <w:rtl w:val="true"/>
              </w:rPr>
              <w:t xml:space="preserve">. </w:t>
            </w:r>
            <w:r>
              <w:rPr>
                <w:rStyle w:val="IndexLink"/>
                <w:rtl w:val="true"/>
              </w:rPr>
              <w:t>بهره</w:t>
            </w:r>
            <w:r>
              <w:rPr>
                <w:rStyle w:val="IndexLink"/>
                <w:rtl w:val="true"/>
              </w:rPr>
              <w:softHyphen/>
            </w:r>
            <w:r>
              <w:rPr>
                <w:rStyle w:val="IndexLink"/>
                <w:rtl w:val="true"/>
              </w:rPr>
              <w:t>مندی از ویژگی</w:t>
            </w:r>
            <w:r>
              <w:rPr>
                <w:rStyle w:val="IndexLink"/>
                <w:rtl w:val="true"/>
              </w:rPr>
              <w:softHyphen/>
            </w:r>
            <w:r>
              <w:rPr>
                <w:rStyle w:val="IndexLink"/>
                <w:rtl w:val="true"/>
              </w:rPr>
              <w:t>های خاص ظاهری</w:t>
            </w:r>
            <w:r>
              <w:rPr>
                <w:rStyle w:val="IndexLink"/>
                <w:rtl w:val="true"/>
              </w:rPr>
              <w:tab/>
            </w:r>
            <w:r>
              <w:rPr>
                <w:rStyle w:val="IndexLink"/>
              </w:rPr>
              <w:t>190</w:t>
            </w:r>
          </w:hyperlink>
        </w:p>
        <w:p>
          <w:pPr>
            <w:pStyle w:val="Contents4"/>
            <w:tabs>
              <w:tab w:val="clear" w:pos="8176"/>
              <w:tab w:val="right" w:pos="9026" w:leader="dot"/>
            </w:tabs>
            <w:rPr/>
          </w:pPr>
          <w:hyperlink w:anchor="__RefHeading___Toc643749_222507752">
            <w:r>
              <w:rPr>
                <w:webHidden/>
                <w:rStyle w:val="IndexLink"/>
              </w:rPr>
              <w:t>2-13</w:t>
            </w:r>
            <w:r>
              <w:rPr>
                <w:rStyle w:val="IndexLink"/>
                <w:rtl w:val="true"/>
              </w:rPr>
              <w:t xml:space="preserve">. </w:t>
            </w:r>
            <w:r>
              <w:rPr>
                <w:rStyle w:val="IndexLink"/>
                <w:rtl w:val="true"/>
              </w:rPr>
              <w:t>ترویج پندارهای ادعایی عجیب وغریب</w:t>
            </w:r>
            <w:r>
              <w:rPr>
                <w:rStyle w:val="IndexLink"/>
                <w:rtl w:val="true"/>
              </w:rPr>
              <w:tab/>
            </w:r>
            <w:r>
              <w:rPr>
                <w:rStyle w:val="IndexLink"/>
              </w:rPr>
              <w:t>190</w:t>
            </w:r>
          </w:hyperlink>
        </w:p>
        <w:p>
          <w:pPr>
            <w:pStyle w:val="Contents3"/>
            <w:tabs>
              <w:tab w:val="clear" w:pos="8459"/>
              <w:tab w:val="right" w:pos="9026" w:leader="dot"/>
            </w:tabs>
            <w:rPr/>
          </w:pPr>
          <w:hyperlink w:anchor="__RefHeading___Toc643751_222507752">
            <w:r>
              <w:rPr>
                <w:webHidden/>
                <w:rStyle w:val="IndexLink"/>
              </w:rPr>
              <w:t>3</w:t>
            </w:r>
            <w:r>
              <w:rPr>
                <w:rStyle w:val="IndexLink"/>
                <w:rtl w:val="true"/>
              </w:rPr>
              <w:t xml:space="preserve">. </w:t>
            </w:r>
            <w:r>
              <w:rPr>
                <w:rStyle w:val="IndexLink"/>
                <w:rtl w:val="true"/>
              </w:rPr>
              <w:t>پی</w:t>
            </w:r>
            <w:r>
              <w:rPr>
                <w:rStyle w:val="IndexLink"/>
                <w:rtl w:val="true"/>
              </w:rPr>
              <w:softHyphen/>
            </w:r>
            <w:r>
              <w:rPr>
                <w:rStyle w:val="IndexLink"/>
                <w:rtl w:val="true"/>
              </w:rPr>
              <w:t>آمدهای جریان</w:t>
            </w:r>
            <w:r>
              <w:rPr>
                <w:rStyle w:val="IndexLink"/>
                <w:rtl w:val="true"/>
              </w:rPr>
              <w:softHyphen/>
            </w:r>
            <w:r>
              <w:rPr>
                <w:rStyle w:val="IndexLink"/>
                <w:rtl w:val="true"/>
              </w:rPr>
              <w:t>های انحرافی</w:t>
            </w:r>
            <w:r>
              <w:rPr>
                <w:rStyle w:val="IndexLink"/>
                <w:rtl w:val="true"/>
              </w:rPr>
              <w:tab/>
            </w:r>
            <w:r>
              <w:rPr>
                <w:rStyle w:val="IndexLink"/>
              </w:rPr>
              <w:t>190</w:t>
            </w:r>
          </w:hyperlink>
        </w:p>
        <w:p>
          <w:pPr>
            <w:pStyle w:val="Contents4"/>
            <w:tabs>
              <w:tab w:val="clear" w:pos="8176"/>
              <w:tab w:val="right" w:pos="9026" w:leader="dot"/>
            </w:tabs>
            <w:rPr/>
          </w:pPr>
          <w:hyperlink w:anchor="__RefHeading___Toc643753_222507752">
            <w:r>
              <w:rPr>
                <w:webHidden/>
                <w:rStyle w:val="IndexLink"/>
              </w:rPr>
              <w:t>3-1</w:t>
            </w:r>
            <w:r>
              <w:rPr>
                <w:rStyle w:val="IndexLink"/>
                <w:rtl w:val="true"/>
              </w:rPr>
              <w:t xml:space="preserve">. </w:t>
            </w:r>
            <w:r>
              <w:rPr>
                <w:rStyle w:val="IndexLink"/>
                <w:rtl w:val="true"/>
              </w:rPr>
              <w:t>بی‌ثباتی در باورهای دینی</w:t>
            </w:r>
            <w:r>
              <w:rPr>
                <w:rStyle w:val="IndexLink"/>
                <w:rtl w:val="true"/>
              </w:rPr>
              <w:tab/>
            </w:r>
            <w:r>
              <w:rPr>
                <w:rStyle w:val="IndexLink"/>
              </w:rPr>
              <w:t>190</w:t>
            </w:r>
          </w:hyperlink>
        </w:p>
        <w:p>
          <w:pPr>
            <w:pStyle w:val="Contents4"/>
            <w:tabs>
              <w:tab w:val="clear" w:pos="8176"/>
              <w:tab w:val="right" w:pos="9026" w:leader="dot"/>
            </w:tabs>
            <w:rPr/>
          </w:pPr>
          <w:hyperlink w:anchor="__RefHeading___Toc643755_222507752">
            <w:r>
              <w:rPr>
                <w:webHidden/>
                <w:rStyle w:val="IndexLink"/>
              </w:rPr>
              <w:t>3-2</w:t>
            </w:r>
            <w:r>
              <w:rPr>
                <w:rStyle w:val="IndexLink"/>
                <w:rtl w:val="true"/>
              </w:rPr>
              <w:t xml:space="preserve">. </w:t>
            </w:r>
            <w:r>
              <w:rPr>
                <w:rStyle w:val="IndexLink"/>
                <w:rtl w:val="true"/>
              </w:rPr>
              <w:t>از بین بردن سرمایه</w:t>
            </w:r>
            <w:r>
              <w:rPr>
                <w:rStyle w:val="IndexLink"/>
                <w:rtl w:val="true"/>
              </w:rPr>
              <w:softHyphen/>
            </w:r>
            <w:r>
              <w:rPr>
                <w:rStyle w:val="IndexLink"/>
                <w:rtl w:val="true"/>
              </w:rPr>
              <w:t>های فکری</w:t>
            </w:r>
            <w:r>
              <w:rPr>
                <w:rStyle w:val="IndexLink"/>
                <w:rtl w:val="true"/>
              </w:rPr>
              <w:tab/>
            </w:r>
            <w:r>
              <w:rPr>
                <w:rStyle w:val="IndexLink"/>
              </w:rPr>
              <w:t>191</w:t>
            </w:r>
          </w:hyperlink>
        </w:p>
        <w:p>
          <w:pPr>
            <w:pStyle w:val="Contents3"/>
            <w:tabs>
              <w:tab w:val="clear" w:pos="8459"/>
              <w:tab w:val="right" w:pos="9026" w:leader="dot"/>
            </w:tabs>
            <w:rPr/>
          </w:pPr>
          <w:hyperlink w:anchor="__RefHeading___Toc643757_222507752">
            <w:r>
              <w:rPr>
                <w:webHidden/>
                <w:rStyle w:val="IndexLink"/>
                <w:rtl w:val="true"/>
              </w:rPr>
              <w:t>راه</w:t>
            </w:r>
            <w:r>
              <w:rPr>
                <w:rStyle w:val="IndexLink"/>
                <w:rtl w:val="true"/>
              </w:rPr>
              <w:softHyphen/>
            </w:r>
            <w:r>
              <w:rPr>
                <w:rStyle w:val="IndexLink"/>
                <w:rtl w:val="true"/>
              </w:rPr>
              <w:t>برد رودررویی با جریان</w:t>
            </w:r>
            <w:r>
              <w:rPr>
                <w:rStyle w:val="IndexLink"/>
                <w:rtl w:val="true"/>
              </w:rPr>
              <w:softHyphen/>
            </w:r>
            <w:r>
              <w:rPr>
                <w:rStyle w:val="IndexLink"/>
                <w:rtl w:val="true"/>
              </w:rPr>
              <w:t>های انحرافی</w:t>
            </w:r>
            <w:r>
              <w:rPr>
                <w:rStyle w:val="IndexLink"/>
                <w:rtl w:val="true"/>
              </w:rPr>
              <w:tab/>
            </w:r>
            <w:r>
              <w:rPr>
                <w:rStyle w:val="IndexLink"/>
              </w:rPr>
              <w:t>191</w:t>
            </w:r>
          </w:hyperlink>
        </w:p>
        <w:p>
          <w:pPr>
            <w:pStyle w:val="Contents4"/>
            <w:tabs>
              <w:tab w:val="clear" w:pos="8176"/>
              <w:tab w:val="right" w:pos="9026" w:leader="dot"/>
            </w:tabs>
            <w:rPr/>
          </w:pPr>
          <w:hyperlink w:anchor="__RefHeading___Toc643759_222507752">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643761_222507752">
            <w:r>
              <w:rPr>
                <w:webHidden/>
                <w:rStyle w:val="IndexLink"/>
              </w:rPr>
              <w:t>1</w:t>
            </w:r>
            <w:r>
              <w:rPr>
                <w:rStyle w:val="IndexLink"/>
                <w:rtl w:val="true"/>
              </w:rPr>
              <w:t xml:space="preserve">. </w:t>
            </w:r>
            <w:r>
              <w:rPr>
                <w:rStyle w:val="IndexLink"/>
                <w:rtl w:val="true"/>
              </w:rPr>
              <w:t>رفتار</w:t>
            </w:r>
            <w:r>
              <w:rPr>
                <w:rStyle w:val="IndexLink"/>
                <w:rtl w:val="true"/>
              </w:rPr>
              <w:softHyphen/>
            </w:r>
            <w:r>
              <w:rPr>
                <w:rStyle w:val="IndexLink"/>
                <w:rtl w:val="true"/>
              </w:rPr>
              <w:t>های علمی</w:t>
            </w:r>
            <w:r>
              <w:rPr>
                <w:rStyle w:val="IndexLink"/>
                <w:rtl w:val="true"/>
              </w:rPr>
              <w:tab/>
            </w:r>
            <w:r>
              <w:rPr>
                <w:rStyle w:val="IndexLink"/>
              </w:rPr>
              <w:t>191</w:t>
            </w:r>
          </w:hyperlink>
        </w:p>
        <w:p>
          <w:pPr>
            <w:pStyle w:val="Contents5"/>
            <w:tabs>
              <w:tab w:val="clear" w:pos="7892"/>
              <w:tab w:val="right" w:pos="9026" w:leader="dot"/>
            </w:tabs>
            <w:rPr/>
          </w:pPr>
          <w:hyperlink w:anchor="__RefHeading___Toc643763_222507752">
            <w:r>
              <w:rPr>
                <w:webHidden/>
                <w:rStyle w:val="IndexLink"/>
              </w:rPr>
              <w:t>1-1</w:t>
            </w:r>
            <w:r>
              <w:rPr>
                <w:rStyle w:val="IndexLink"/>
                <w:rtl w:val="true"/>
              </w:rPr>
              <w:t xml:space="preserve">. </w:t>
            </w:r>
            <w:r>
              <w:rPr>
                <w:rStyle w:val="IndexLink"/>
                <w:rtl w:val="true"/>
              </w:rPr>
              <w:t>بهره</w:t>
            </w:r>
            <w:r>
              <w:rPr>
                <w:rStyle w:val="IndexLink"/>
                <w:rtl w:val="true"/>
              </w:rPr>
              <w:softHyphen/>
            </w:r>
            <w:r>
              <w:rPr>
                <w:rStyle w:val="IndexLink"/>
                <w:rtl w:val="true"/>
              </w:rPr>
              <w:t>گیری از آگاهی</w:t>
            </w:r>
            <w:r>
              <w:rPr>
                <w:rStyle w:val="IndexLink"/>
                <w:rtl w:val="true"/>
              </w:rPr>
              <w:softHyphen/>
            </w:r>
            <w:r>
              <w:rPr>
                <w:rStyle w:val="IndexLink"/>
                <w:rtl w:val="true"/>
              </w:rPr>
              <w:t>های معتبر</w:t>
            </w:r>
            <w:r>
              <w:rPr>
                <w:rStyle w:val="IndexLink"/>
                <w:rtl w:val="true"/>
              </w:rPr>
              <w:tab/>
            </w:r>
            <w:r>
              <w:rPr>
                <w:rStyle w:val="IndexLink"/>
              </w:rPr>
              <w:t>191</w:t>
            </w:r>
          </w:hyperlink>
        </w:p>
        <w:p>
          <w:pPr>
            <w:pStyle w:val="Contents5"/>
            <w:tabs>
              <w:tab w:val="clear" w:pos="7892"/>
              <w:tab w:val="right" w:pos="9026" w:leader="dot"/>
            </w:tabs>
            <w:rPr/>
          </w:pPr>
          <w:hyperlink w:anchor="__RefHeading___Toc643765_222507752">
            <w:r>
              <w:rPr>
                <w:webHidden/>
                <w:rStyle w:val="IndexLink"/>
              </w:rPr>
              <w:t>1-2</w:t>
            </w:r>
            <w:r>
              <w:rPr>
                <w:rStyle w:val="IndexLink"/>
                <w:rtl w:val="true"/>
              </w:rPr>
              <w:t xml:space="preserve">. </w:t>
            </w:r>
            <w:r>
              <w:rPr>
                <w:rStyle w:val="IndexLink"/>
                <w:rtl w:val="true"/>
              </w:rPr>
              <w:t>طراحی سامانة مهندسی فراگیر مهدویت</w:t>
            </w:r>
            <w:r>
              <w:rPr>
                <w:rStyle w:val="IndexLink"/>
                <w:rtl w:val="true"/>
              </w:rPr>
              <w:tab/>
            </w:r>
            <w:r>
              <w:rPr>
                <w:rStyle w:val="IndexLink"/>
              </w:rPr>
              <w:t>192</w:t>
            </w:r>
          </w:hyperlink>
        </w:p>
        <w:p>
          <w:pPr>
            <w:pStyle w:val="Contents5"/>
            <w:tabs>
              <w:tab w:val="clear" w:pos="7892"/>
              <w:tab w:val="right" w:pos="9026" w:leader="dot"/>
            </w:tabs>
            <w:rPr/>
          </w:pPr>
          <w:hyperlink w:anchor="__RefHeading___Toc643767_222507752">
            <w:r>
              <w:rPr>
                <w:webHidden/>
                <w:rStyle w:val="IndexLink"/>
              </w:rPr>
              <w:t>1-3</w:t>
            </w:r>
            <w:r>
              <w:rPr>
                <w:rStyle w:val="IndexLink"/>
                <w:rtl w:val="true"/>
              </w:rPr>
              <w:t xml:space="preserve">. </w:t>
            </w:r>
            <w:r>
              <w:rPr>
                <w:rStyle w:val="IndexLink"/>
                <w:rtl w:val="true"/>
              </w:rPr>
              <w:t>پافشاری بر خردورزی و پرهیز از خرافات</w:t>
            </w:r>
            <w:r>
              <w:rPr>
                <w:rStyle w:val="IndexLink"/>
                <w:rtl w:val="true"/>
              </w:rPr>
              <w:tab/>
            </w:r>
            <w:r>
              <w:rPr>
                <w:rStyle w:val="IndexLink"/>
              </w:rPr>
              <w:t>192</w:t>
            </w:r>
          </w:hyperlink>
        </w:p>
        <w:p>
          <w:pPr>
            <w:pStyle w:val="Contents4"/>
            <w:tabs>
              <w:tab w:val="clear" w:pos="8176"/>
              <w:tab w:val="right" w:pos="9026" w:leader="dot"/>
            </w:tabs>
            <w:rPr/>
          </w:pPr>
          <w:hyperlink w:anchor="__RefHeading___Toc643769_222507752">
            <w:r>
              <w:rPr>
                <w:webHidden/>
                <w:rStyle w:val="IndexLink"/>
              </w:rPr>
              <w:t>2</w:t>
            </w:r>
            <w:r>
              <w:rPr>
                <w:rStyle w:val="IndexLink"/>
                <w:rtl w:val="true"/>
              </w:rPr>
              <w:t xml:space="preserve">. </w:t>
            </w:r>
            <w:r>
              <w:rPr>
                <w:rStyle w:val="IndexLink"/>
                <w:rtl w:val="true"/>
              </w:rPr>
              <w:t>راه</w:t>
            </w:r>
            <w:r>
              <w:rPr>
                <w:rStyle w:val="IndexLink"/>
                <w:rtl w:val="true"/>
              </w:rPr>
              <w:softHyphen/>
            </w:r>
            <w:r>
              <w:rPr>
                <w:rStyle w:val="IndexLink"/>
                <w:rtl w:val="true"/>
              </w:rPr>
              <w:t>های عملی</w:t>
            </w:r>
            <w:r>
              <w:rPr>
                <w:rStyle w:val="IndexLink"/>
                <w:rtl w:val="true"/>
              </w:rPr>
              <w:tab/>
            </w:r>
            <w:r>
              <w:rPr>
                <w:rStyle w:val="IndexLink"/>
              </w:rPr>
              <w:t>193</w:t>
            </w:r>
          </w:hyperlink>
        </w:p>
        <w:p>
          <w:pPr>
            <w:pStyle w:val="Contents5"/>
            <w:tabs>
              <w:tab w:val="clear" w:pos="7892"/>
              <w:tab w:val="right" w:pos="9026" w:leader="dot"/>
            </w:tabs>
            <w:rPr/>
          </w:pPr>
          <w:hyperlink w:anchor="__RefHeading___Toc643771_222507752">
            <w:r>
              <w:rPr>
                <w:webHidden/>
                <w:rStyle w:val="IndexLink"/>
              </w:rPr>
              <w:t>2-1</w:t>
            </w:r>
            <w:r>
              <w:rPr>
                <w:rStyle w:val="IndexLink"/>
                <w:rtl w:val="true"/>
              </w:rPr>
              <w:t xml:space="preserve">. </w:t>
            </w:r>
            <w:r>
              <w:rPr>
                <w:rStyle w:val="IndexLink"/>
                <w:rtl w:val="true"/>
              </w:rPr>
              <w:t>افشاگری و پدید‌آوردن حساسیت</w:t>
            </w:r>
            <w:r>
              <w:rPr>
                <w:rStyle w:val="IndexLink"/>
                <w:rtl w:val="true"/>
              </w:rPr>
              <w:tab/>
            </w:r>
            <w:r>
              <w:rPr>
                <w:rStyle w:val="IndexLink"/>
              </w:rPr>
              <w:t>193</w:t>
            </w:r>
          </w:hyperlink>
        </w:p>
        <w:p>
          <w:pPr>
            <w:pStyle w:val="Contents5"/>
            <w:tabs>
              <w:tab w:val="clear" w:pos="7892"/>
              <w:tab w:val="right" w:pos="9026" w:leader="dot"/>
            </w:tabs>
            <w:rPr/>
          </w:pPr>
          <w:hyperlink w:anchor="__RefHeading___Toc643773_222507752">
            <w:r>
              <w:rPr>
                <w:webHidden/>
                <w:rStyle w:val="IndexLink"/>
              </w:rPr>
              <w:t>2-2</w:t>
            </w:r>
            <w:r>
              <w:rPr>
                <w:rStyle w:val="IndexLink"/>
                <w:rtl w:val="true"/>
              </w:rPr>
              <w:t xml:space="preserve">. </w:t>
            </w:r>
            <w:r>
              <w:rPr>
                <w:rStyle w:val="IndexLink"/>
                <w:rtl w:val="true"/>
              </w:rPr>
              <w:t>جلوگیری از کارهای</w:t>
            </w:r>
            <w:r>
              <w:rPr>
                <w:rStyle w:val="IndexLink"/>
                <w:rtl w:val="true"/>
              </w:rPr>
              <w:softHyphen/>
              <w:t xml:space="preserve"> </w:t>
            </w:r>
            <w:r>
              <w:rPr>
                <w:rStyle w:val="IndexLink"/>
                <w:rtl w:val="true"/>
              </w:rPr>
              <w:t>تبلیغی جریان</w:t>
            </w:r>
            <w:r>
              <w:rPr>
                <w:rStyle w:val="IndexLink"/>
                <w:rtl w:val="true"/>
              </w:rPr>
              <w:softHyphen/>
            </w:r>
            <w:r>
              <w:rPr>
                <w:rStyle w:val="IndexLink"/>
                <w:rtl w:val="true"/>
              </w:rPr>
              <w:t>ها</w:t>
            </w:r>
            <w:r>
              <w:rPr>
                <w:rStyle w:val="IndexLink"/>
                <w:rtl w:val="true"/>
              </w:rPr>
              <w:tab/>
            </w:r>
            <w:r>
              <w:rPr>
                <w:rStyle w:val="IndexLink"/>
              </w:rPr>
              <w:t>193</w:t>
            </w:r>
          </w:hyperlink>
        </w:p>
        <w:p>
          <w:pPr>
            <w:pStyle w:val="Contents3"/>
            <w:tabs>
              <w:tab w:val="clear" w:pos="8459"/>
              <w:tab w:val="right" w:pos="9026" w:leader="dot"/>
            </w:tabs>
            <w:rPr/>
          </w:pPr>
          <w:hyperlink w:anchor="__RefHeading___Toc643775_222507752">
            <w:r>
              <w:rPr>
                <w:webHidden/>
                <w:rStyle w:val="IndexLink"/>
                <w:rtl w:val="true"/>
              </w:rPr>
              <w:t>خودآزمایی</w:t>
            </w:r>
            <w:r>
              <w:rPr>
                <w:rStyle w:val="IndexLink"/>
                <w:rtl w:val="true"/>
              </w:rPr>
              <w:tab/>
            </w:r>
            <w:r>
              <w:rPr>
                <w:rStyle w:val="IndexLink"/>
              </w:rPr>
              <w:t>194</w:t>
            </w:r>
          </w:hyperlink>
        </w:p>
        <w:p>
          <w:pPr>
            <w:pStyle w:val="Contents3"/>
            <w:tabs>
              <w:tab w:val="clear" w:pos="8459"/>
              <w:tab w:val="right" w:pos="9026" w:leader="dot"/>
            </w:tabs>
            <w:rPr/>
          </w:pPr>
          <w:hyperlink w:anchor="__RefHeading___Toc643777_222507752">
            <w:r>
              <w:rPr>
                <w:webHidden/>
                <w:rStyle w:val="IndexLink"/>
                <w:rtl w:val="true"/>
              </w:rPr>
              <w:t>منابع برای پژوهش</w:t>
            </w:r>
            <w:r>
              <w:rPr>
                <w:rStyle w:val="IndexLink"/>
                <w:rtl w:val="true"/>
              </w:rPr>
              <w:tab/>
            </w:r>
            <w:r>
              <w:rPr>
                <w:rStyle w:val="IndexLink"/>
              </w:rPr>
              <w:t>194</w:t>
            </w:r>
          </w:hyperlink>
        </w:p>
        <w:p>
          <w:pPr>
            <w:pStyle w:val="Contents2"/>
            <w:tabs>
              <w:tab w:val="clear" w:pos="8743"/>
              <w:tab w:val="right" w:pos="9026" w:leader="dot"/>
            </w:tabs>
            <w:rPr/>
          </w:pPr>
          <w:hyperlink w:anchor="__RefHeading___Toc643779_222507752">
            <w:r>
              <w:rPr>
                <w:webHidden/>
                <w:rStyle w:val="IndexLink"/>
                <w:rtl w:val="true"/>
              </w:rPr>
              <w:t>درس یازدهم</w:t>
            </w:r>
            <w:r>
              <w:rPr>
                <w:rStyle w:val="IndexLink"/>
                <w:rtl w:val="true"/>
              </w:rPr>
              <w:t xml:space="preserve">: </w:t>
            </w:r>
            <w:r>
              <w:rPr>
                <w:rStyle w:val="IndexLink"/>
                <w:rtl w:val="true"/>
              </w:rPr>
              <w:t xml:space="preserve">رجعت و رجعت کنندگان </w:t>
            </w:r>
            <w:r>
              <w:rPr>
                <w:rStyle w:val="IndexLink"/>
                <w:rtl w:val="true"/>
              </w:rPr>
              <w:t>(</w:t>
            </w:r>
            <w:r>
              <w:rPr>
                <w:rStyle w:val="IndexLink"/>
                <w:rtl w:val="true"/>
              </w:rPr>
              <w:t>کلیّات</w:t>
            </w:r>
            <w:r>
              <w:rPr>
                <w:rStyle w:val="IndexLink"/>
                <w:rtl w:val="true"/>
              </w:rPr>
              <w:t>)</w:t>
              <w:tab/>
            </w:r>
            <w:r>
              <w:rPr>
                <w:rStyle w:val="IndexLink"/>
              </w:rPr>
              <w:t>195</w:t>
            </w:r>
          </w:hyperlink>
        </w:p>
        <w:p>
          <w:pPr>
            <w:pStyle w:val="Contents3"/>
            <w:tabs>
              <w:tab w:val="clear" w:pos="8459"/>
              <w:tab w:val="right" w:pos="9026" w:leader="dot"/>
            </w:tabs>
            <w:rPr/>
          </w:pPr>
          <w:hyperlink w:anchor="__RefHeading___Toc643781_222507752">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643783_222507752">
            <w:r>
              <w:rPr>
                <w:webHidden/>
                <w:rStyle w:val="IndexLink"/>
                <w:rtl w:val="true"/>
              </w:rPr>
              <w:t>پیش‌درآمد</w:t>
            </w:r>
            <w:r>
              <w:rPr>
                <w:rStyle w:val="IndexLink"/>
                <w:rtl w:val="true"/>
              </w:rPr>
              <w:tab/>
            </w:r>
            <w:r>
              <w:rPr>
                <w:rStyle w:val="IndexLink"/>
              </w:rPr>
              <w:t>196</w:t>
            </w:r>
          </w:hyperlink>
        </w:p>
        <w:p>
          <w:pPr>
            <w:pStyle w:val="Contents3"/>
            <w:tabs>
              <w:tab w:val="clear" w:pos="8459"/>
              <w:tab w:val="right" w:pos="9026" w:leader="dot"/>
            </w:tabs>
            <w:rPr/>
          </w:pPr>
          <w:hyperlink w:anchor="__RefHeading___Toc643785_222507752">
            <w:r>
              <w:rPr>
                <w:webHidden/>
                <w:rStyle w:val="IndexLink"/>
                <w:rtl w:val="true"/>
              </w:rPr>
              <w:t>مفهوم</w:t>
            </w:r>
            <w:r>
              <w:rPr>
                <w:rStyle w:val="IndexLink"/>
                <w:rtl w:val="true"/>
              </w:rPr>
              <w:softHyphen/>
            </w:r>
            <w:r>
              <w:rPr>
                <w:rStyle w:val="IndexLink"/>
                <w:rtl w:val="true"/>
              </w:rPr>
              <w:t>شناسی واژه رجعت</w:t>
            </w:r>
            <w:r>
              <w:rPr>
                <w:rStyle w:val="IndexLink"/>
                <w:rtl w:val="true"/>
              </w:rPr>
              <w:tab/>
            </w:r>
            <w:r>
              <w:rPr>
                <w:rStyle w:val="IndexLink"/>
              </w:rPr>
              <w:t>196</w:t>
            </w:r>
          </w:hyperlink>
        </w:p>
        <w:p>
          <w:pPr>
            <w:pStyle w:val="Contents4"/>
            <w:tabs>
              <w:tab w:val="clear" w:pos="8176"/>
              <w:tab w:val="right" w:pos="9026" w:leader="dot"/>
            </w:tabs>
            <w:rPr/>
          </w:pPr>
          <w:hyperlink w:anchor="__RefHeading___Toc643787_222507752">
            <w:r>
              <w:rPr>
                <w:webHidden/>
                <w:rStyle w:val="IndexLink"/>
                <w:rtl w:val="true"/>
              </w:rPr>
              <w:t>از نگاه لغت</w:t>
            </w:r>
            <w:r>
              <w:rPr>
                <w:rStyle w:val="IndexLink"/>
                <w:rtl w:val="true"/>
              </w:rPr>
              <w:tab/>
            </w:r>
            <w:r>
              <w:rPr>
                <w:rStyle w:val="IndexLink"/>
              </w:rPr>
              <w:t>196</w:t>
            </w:r>
          </w:hyperlink>
        </w:p>
        <w:p>
          <w:pPr>
            <w:pStyle w:val="Contents3"/>
            <w:tabs>
              <w:tab w:val="clear" w:pos="8459"/>
              <w:tab w:val="right" w:pos="9026" w:leader="dot"/>
            </w:tabs>
            <w:rPr/>
          </w:pPr>
          <w:hyperlink w:anchor="__RefHeading___Toc643789_222507752">
            <w:r>
              <w:rPr>
                <w:webHidden/>
                <w:rStyle w:val="IndexLink"/>
                <w:rtl w:val="true"/>
              </w:rPr>
              <w:t>معنای اصطلاحی</w:t>
            </w:r>
            <w:r>
              <w:rPr>
                <w:rStyle w:val="IndexLink"/>
                <w:rtl w:val="true"/>
              </w:rPr>
              <w:tab/>
            </w:r>
            <w:r>
              <w:rPr>
                <w:rStyle w:val="IndexLink"/>
              </w:rPr>
              <w:t>197</w:t>
            </w:r>
          </w:hyperlink>
        </w:p>
        <w:p>
          <w:pPr>
            <w:pStyle w:val="Contents3"/>
            <w:tabs>
              <w:tab w:val="clear" w:pos="8459"/>
              <w:tab w:val="right" w:pos="9026" w:leader="dot"/>
            </w:tabs>
            <w:rPr/>
          </w:pPr>
          <w:hyperlink w:anchor="__RefHeading___Toc643791_222507752">
            <w:r>
              <w:rPr>
                <w:webHidden/>
                <w:rStyle w:val="IndexLink"/>
                <w:rtl w:val="true"/>
              </w:rPr>
              <w:t>چیستی و چگونگی رجعت</w:t>
            </w:r>
            <w:r>
              <w:rPr>
                <w:rStyle w:val="IndexLink"/>
                <w:rtl w:val="true"/>
              </w:rPr>
              <w:tab/>
            </w:r>
            <w:r>
              <w:rPr>
                <w:rStyle w:val="IndexLink"/>
              </w:rPr>
              <w:t>200</w:t>
            </w:r>
          </w:hyperlink>
        </w:p>
        <w:p>
          <w:pPr>
            <w:pStyle w:val="Contents3"/>
            <w:tabs>
              <w:tab w:val="clear" w:pos="8459"/>
              <w:tab w:val="right" w:pos="9026" w:leader="dot"/>
            </w:tabs>
            <w:rPr/>
          </w:pPr>
          <w:hyperlink w:anchor="__RefHeading___Toc643793_222507752">
            <w:r>
              <w:rPr>
                <w:webHidden/>
                <w:rStyle w:val="IndexLink"/>
                <w:rtl w:val="true"/>
              </w:rPr>
              <w:t>جایگاه رجعت در اعتقادات شیعه</w:t>
            </w:r>
            <w:r>
              <w:rPr>
                <w:rStyle w:val="IndexLink"/>
                <w:rtl w:val="true"/>
              </w:rPr>
              <w:tab/>
            </w:r>
            <w:r>
              <w:rPr>
                <w:rStyle w:val="IndexLink"/>
              </w:rPr>
              <w:t>201</w:t>
            </w:r>
          </w:hyperlink>
        </w:p>
        <w:p>
          <w:pPr>
            <w:pStyle w:val="Contents3"/>
            <w:tabs>
              <w:tab w:val="clear" w:pos="8459"/>
              <w:tab w:val="right" w:pos="9026" w:leader="dot"/>
            </w:tabs>
            <w:rPr/>
          </w:pPr>
          <w:hyperlink w:anchor="__RefHeading___Toc643795_222507752">
            <w:r>
              <w:rPr>
                <w:webHidden/>
                <w:rStyle w:val="IndexLink"/>
                <w:rtl w:val="true"/>
              </w:rPr>
              <w:t>رجعت از نگاه اهل سنت</w:t>
            </w:r>
            <w:r>
              <w:rPr>
                <w:rStyle w:val="IndexLink"/>
                <w:rtl w:val="true"/>
              </w:rPr>
              <w:tab/>
            </w:r>
            <w:r>
              <w:rPr>
                <w:rStyle w:val="IndexLink"/>
              </w:rPr>
              <w:t>203</w:t>
            </w:r>
          </w:hyperlink>
        </w:p>
        <w:p>
          <w:pPr>
            <w:pStyle w:val="Contents3"/>
            <w:tabs>
              <w:tab w:val="clear" w:pos="8459"/>
              <w:tab w:val="right" w:pos="9026" w:leader="dot"/>
            </w:tabs>
            <w:rPr/>
          </w:pPr>
          <w:hyperlink w:anchor="__RefHeading___Toc643797_222507752">
            <w:r>
              <w:rPr>
                <w:webHidden/>
                <w:rStyle w:val="IndexLink"/>
                <w:rtl w:val="true"/>
              </w:rPr>
              <w:t>آثار تربیتی اعتقاد به رجعت</w:t>
            </w:r>
            <w:r>
              <w:rPr>
                <w:rStyle w:val="IndexLink"/>
                <w:rtl w:val="true"/>
              </w:rPr>
              <w:tab/>
            </w:r>
            <w:r>
              <w:rPr>
                <w:rStyle w:val="IndexLink"/>
              </w:rPr>
              <w:t>205</w:t>
            </w:r>
          </w:hyperlink>
        </w:p>
        <w:p>
          <w:pPr>
            <w:pStyle w:val="Contents3"/>
            <w:tabs>
              <w:tab w:val="clear" w:pos="8459"/>
              <w:tab w:val="right" w:pos="9026" w:leader="dot"/>
            </w:tabs>
            <w:rPr/>
          </w:pPr>
          <w:hyperlink w:anchor="__RefHeading___Toc643799_222507752">
            <w:r>
              <w:rPr>
                <w:webHidden/>
                <w:rStyle w:val="IndexLink"/>
                <w:rtl w:val="true"/>
              </w:rPr>
              <w:t>زمان رجعت</w:t>
            </w:r>
            <w:r>
              <w:rPr>
                <w:rStyle w:val="IndexLink"/>
                <w:rtl w:val="true"/>
              </w:rPr>
              <w:tab/>
            </w:r>
            <w:r>
              <w:rPr>
                <w:rStyle w:val="IndexLink"/>
              </w:rPr>
              <w:t>205</w:t>
            </w:r>
          </w:hyperlink>
        </w:p>
        <w:p>
          <w:pPr>
            <w:pStyle w:val="Contents3"/>
            <w:tabs>
              <w:tab w:val="clear" w:pos="8459"/>
              <w:tab w:val="right" w:pos="9026" w:leader="dot"/>
            </w:tabs>
            <w:rPr/>
          </w:pPr>
          <w:hyperlink w:anchor="__RefHeading___Toc643801_222507752">
            <w:r>
              <w:rPr>
                <w:webHidden/>
                <w:rStyle w:val="IndexLink"/>
                <w:rtl w:val="true"/>
              </w:rPr>
              <w:t>امکان رجعت</w:t>
            </w:r>
            <w:r>
              <w:rPr>
                <w:rStyle w:val="IndexLink"/>
                <w:rtl w:val="true"/>
              </w:rPr>
              <w:tab/>
            </w:r>
            <w:r>
              <w:rPr>
                <w:rStyle w:val="IndexLink"/>
              </w:rPr>
              <w:t>206</w:t>
            </w:r>
          </w:hyperlink>
        </w:p>
        <w:p>
          <w:pPr>
            <w:pStyle w:val="Contents3"/>
            <w:tabs>
              <w:tab w:val="clear" w:pos="8459"/>
              <w:tab w:val="right" w:pos="9026" w:leader="dot"/>
            </w:tabs>
            <w:rPr/>
          </w:pPr>
          <w:hyperlink w:anchor="__RefHeading___Toc643803_222507752">
            <w:r>
              <w:rPr>
                <w:webHidden/>
                <w:rStyle w:val="IndexLink"/>
                <w:rtl w:val="true"/>
              </w:rPr>
              <w:t>گزارش رجعت در امت‌های پیشین</w:t>
            </w:r>
            <w:r>
              <w:rPr>
                <w:rStyle w:val="IndexLink"/>
                <w:rtl w:val="true"/>
              </w:rPr>
              <w:tab/>
            </w:r>
            <w:r>
              <w:rPr>
                <w:rStyle w:val="IndexLink"/>
              </w:rPr>
              <w:t>207</w:t>
            </w:r>
          </w:hyperlink>
        </w:p>
        <w:p>
          <w:pPr>
            <w:pStyle w:val="Contents3"/>
            <w:tabs>
              <w:tab w:val="clear" w:pos="8459"/>
              <w:tab w:val="right" w:pos="9026" w:leader="dot"/>
            </w:tabs>
            <w:rPr/>
          </w:pPr>
          <w:hyperlink w:anchor="__RefHeading___Toc643805_222507752">
            <w:r>
              <w:rPr>
                <w:webHidden/>
                <w:rStyle w:val="IndexLink"/>
                <w:rtl w:val="true"/>
              </w:rPr>
              <w:t>خودآزمایی</w:t>
            </w:r>
            <w:r>
              <w:rPr>
                <w:rStyle w:val="IndexLink"/>
                <w:rtl w:val="true"/>
              </w:rPr>
              <w:tab/>
            </w:r>
            <w:r>
              <w:rPr>
                <w:rStyle w:val="IndexLink"/>
              </w:rPr>
              <w:t>209</w:t>
            </w:r>
          </w:hyperlink>
        </w:p>
        <w:p>
          <w:pPr>
            <w:pStyle w:val="Contents3"/>
            <w:tabs>
              <w:tab w:val="clear" w:pos="8459"/>
              <w:tab w:val="right" w:pos="9026" w:leader="dot"/>
            </w:tabs>
            <w:rPr/>
          </w:pPr>
          <w:hyperlink w:anchor="__RefHeading___Toc643807_222507752">
            <w:r>
              <w:rPr>
                <w:webHidden/>
                <w:rStyle w:val="IndexLink"/>
                <w:rtl w:val="true"/>
              </w:rPr>
              <w:t>منابع برای پژوهش</w:t>
            </w:r>
            <w:r>
              <w:rPr>
                <w:rStyle w:val="IndexLink"/>
                <w:rtl w:val="true"/>
              </w:rPr>
              <w:tab/>
            </w:r>
            <w:r>
              <w:rPr>
                <w:rStyle w:val="IndexLink"/>
              </w:rPr>
              <w:t>209</w:t>
            </w:r>
          </w:hyperlink>
        </w:p>
        <w:p>
          <w:pPr>
            <w:pStyle w:val="Contents2"/>
            <w:tabs>
              <w:tab w:val="clear" w:pos="8743"/>
              <w:tab w:val="right" w:pos="9026" w:leader="dot"/>
            </w:tabs>
            <w:rPr/>
          </w:pPr>
          <w:hyperlink w:anchor="__RefHeading___Toc643809_222507752">
            <w:r>
              <w:rPr>
                <w:webHidden/>
                <w:rStyle w:val="IndexLink"/>
                <w:rtl w:val="true"/>
              </w:rPr>
              <w:t>درس دوازدهم</w:t>
            </w:r>
            <w:r>
              <w:rPr>
                <w:rStyle w:val="IndexLink"/>
                <w:rtl w:val="true"/>
              </w:rPr>
              <w:t xml:space="preserve">: </w:t>
            </w:r>
            <w:r>
              <w:rPr>
                <w:rStyle w:val="IndexLink"/>
                <w:rtl w:val="true"/>
              </w:rPr>
              <w:t xml:space="preserve">رجعت و رجعت کنندگان </w:t>
            </w:r>
            <w:r>
              <w:rPr>
                <w:rStyle w:val="IndexLink"/>
                <w:rtl w:val="true"/>
              </w:rPr>
              <w:t>(</w:t>
            </w:r>
            <w:r>
              <w:rPr>
                <w:rStyle w:val="IndexLink"/>
                <w:rtl w:val="true"/>
              </w:rPr>
              <w:t>درآخرالزمان</w:t>
            </w:r>
            <w:r>
              <w:rPr>
                <w:rStyle w:val="IndexLink"/>
                <w:rtl w:val="true"/>
              </w:rPr>
              <w:t>)</w:t>
              <w:tab/>
            </w:r>
            <w:r>
              <w:rPr>
                <w:rStyle w:val="IndexLink"/>
              </w:rPr>
              <w:t>211</w:t>
            </w:r>
          </w:hyperlink>
        </w:p>
        <w:p>
          <w:pPr>
            <w:pStyle w:val="Contents3"/>
            <w:tabs>
              <w:tab w:val="clear" w:pos="8459"/>
              <w:tab w:val="right" w:pos="9026" w:leader="dot"/>
            </w:tabs>
            <w:rPr/>
          </w:pPr>
          <w:hyperlink w:anchor="__RefHeading___Toc643811_222507752">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643813_222507752">
            <w:r>
              <w:rPr>
                <w:webHidden/>
                <w:rStyle w:val="IndexLink"/>
                <w:rtl w:val="true"/>
              </w:rPr>
              <w:t>پیش‌درآمد</w:t>
            </w:r>
            <w:r>
              <w:rPr>
                <w:rStyle w:val="IndexLink"/>
                <w:rtl w:val="true"/>
              </w:rPr>
              <w:tab/>
            </w:r>
            <w:r>
              <w:rPr>
                <w:rStyle w:val="IndexLink"/>
              </w:rPr>
              <w:t>212</w:t>
            </w:r>
          </w:hyperlink>
        </w:p>
        <w:p>
          <w:pPr>
            <w:pStyle w:val="Contents3"/>
            <w:tabs>
              <w:tab w:val="clear" w:pos="8459"/>
              <w:tab w:val="right" w:pos="9026" w:leader="dot"/>
            </w:tabs>
            <w:rPr/>
          </w:pPr>
          <w:hyperlink w:anchor="__RefHeading___Toc643815_222507752">
            <w:r>
              <w:rPr>
                <w:webHidden/>
                <w:rStyle w:val="IndexLink"/>
                <w:rtl w:val="true"/>
              </w:rPr>
              <w:t>رجعت در آخر الزمان</w:t>
            </w:r>
            <w:r>
              <w:rPr>
                <w:rStyle w:val="IndexLink"/>
                <w:rtl w:val="true"/>
              </w:rPr>
              <w:tab/>
            </w:r>
            <w:r>
              <w:rPr>
                <w:rStyle w:val="IndexLink"/>
              </w:rPr>
              <w:t>212</w:t>
            </w:r>
          </w:hyperlink>
        </w:p>
        <w:p>
          <w:pPr>
            <w:pStyle w:val="Contents4"/>
            <w:tabs>
              <w:tab w:val="clear" w:pos="8176"/>
              <w:tab w:val="right" w:pos="9026" w:leader="dot"/>
            </w:tabs>
            <w:rPr/>
          </w:pPr>
          <w:hyperlink w:anchor="__RefHeading___Toc643817_222507752">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643819_222507752">
            <w:r>
              <w:rPr>
                <w:webHidden/>
                <w:rStyle w:val="IndexLink"/>
                <w:rtl w:val="true"/>
              </w:rPr>
              <w:t>ـ خروج دابة الارض</w:t>
            </w:r>
            <w:r>
              <w:rPr>
                <w:rStyle w:val="IndexLink"/>
                <w:rtl w:val="true"/>
              </w:rPr>
              <w:tab/>
            </w:r>
            <w:r>
              <w:rPr>
                <w:rStyle w:val="IndexLink"/>
              </w:rPr>
              <w:t>212</w:t>
            </w:r>
          </w:hyperlink>
        </w:p>
        <w:p>
          <w:pPr>
            <w:pStyle w:val="Contents4"/>
            <w:tabs>
              <w:tab w:val="clear" w:pos="8176"/>
              <w:tab w:val="right" w:pos="9026" w:leader="dot"/>
            </w:tabs>
            <w:rPr/>
          </w:pPr>
          <w:hyperlink w:anchor="__RefHeading___Toc643821_222507752">
            <w:r>
              <w:rPr>
                <w:webHidden/>
                <w:rStyle w:val="IndexLink"/>
                <w:rtl w:val="true"/>
              </w:rPr>
              <w:t>ـ زنده‌شدن برخی مردگان</w:t>
            </w:r>
            <w:r>
              <w:rPr>
                <w:rStyle w:val="IndexLink"/>
                <w:rtl w:val="true"/>
              </w:rPr>
              <w:tab/>
            </w:r>
            <w:r>
              <w:rPr>
                <w:rStyle w:val="IndexLink"/>
              </w:rPr>
              <w:t>214</w:t>
            </w:r>
          </w:hyperlink>
        </w:p>
        <w:p>
          <w:pPr>
            <w:pStyle w:val="Contents4"/>
            <w:tabs>
              <w:tab w:val="clear" w:pos="8176"/>
              <w:tab w:val="right" w:pos="9026" w:leader="dot"/>
            </w:tabs>
            <w:rPr/>
          </w:pPr>
          <w:hyperlink w:anchor="__RefHeading___Toc643823_222507752">
            <w:r>
              <w:rPr>
                <w:webHidden/>
                <w:rStyle w:val="IndexLink"/>
                <w:rtl w:val="true"/>
              </w:rPr>
              <w:t>ـ پیمان انبیا بر یاری پیامبر صلی الله علیه و آله</w:t>
            </w:r>
            <w:r>
              <w:rPr>
                <w:rStyle w:val="IndexLink"/>
                <w:rtl w:val="true"/>
              </w:rPr>
              <w:tab/>
            </w:r>
            <w:r>
              <w:rPr>
                <w:rStyle w:val="IndexLink"/>
              </w:rPr>
              <w:t>216</w:t>
            </w:r>
          </w:hyperlink>
        </w:p>
        <w:p>
          <w:pPr>
            <w:pStyle w:val="Contents4"/>
            <w:tabs>
              <w:tab w:val="clear" w:pos="8176"/>
              <w:tab w:val="right" w:pos="9026" w:leader="dot"/>
            </w:tabs>
            <w:rPr/>
          </w:pPr>
          <w:hyperlink w:anchor="__RefHeading___Toc643825_222507752">
            <w:r>
              <w:rPr>
                <w:webHidden/>
                <w:rStyle w:val="IndexLink"/>
                <w:rtl w:val="true"/>
              </w:rPr>
              <w:t>ـ دو بار زنده‌شدن و دو بار مردن</w:t>
            </w:r>
            <w:r>
              <w:rPr>
                <w:rStyle w:val="IndexLink"/>
                <w:rtl w:val="true"/>
              </w:rPr>
              <w:tab/>
            </w:r>
            <w:r>
              <w:rPr>
                <w:rStyle w:val="IndexLink"/>
              </w:rPr>
              <w:t>217</w:t>
            </w:r>
          </w:hyperlink>
        </w:p>
        <w:p>
          <w:pPr>
            <w:pStyle w:val="Contents4"/>
            <w:tabs>
              <w:tab w:val="clear" w:pos="8176"/>
              <w:tab w:val="right" w:pos="9026" w:leader="dot"/>
            </w:tabs>
            <w:rPr/>
          </w:pPr>
          <w:hyperlink w:anchor="__RefHeading___Toc643827_222507752">
            <w:r>
              <w:rPr>
                <w:webHidden/>
                <w:rStyle w:val="IndexLink"/>
                <w:rtl w:val="true"/>
              </w:rPr>
              <w:t>ـ سوگند دشمنان اهل بیت بر زنده‌نشدن مردگان</w:t>
            </w:r>
            <w:r>
              <w:rPr>
                <w:rStyle w:val="IndexLink"/>
                <w:rtl w:val="true"/>
              </w:rPr>
              <w:tab/>
            </w:r>
            <w:r>
              <w:rPr>
                <w:rStyle w:val="IndexLink"/>
              </w:rPr>
              <w:t>217</w:t>
            </w:r>
          </w:hyperlink>
        </w:p>
        <w:p>
          <w:pPr>
            <w:pStyle w:val="Contents3"/>
            <w:tabs>
              <w:tab w:val="clear" w:pos="8459"/>
              <w:tab w:val="right" w:pos="9026" w:leader="dot"/>
            </w:tabs>
            <w:rPr/>
          </w:pPr>
          <w:hyperlink w:anchor="__RefHeading___Toc643829_222507752">
            <w:r>
              <w:rPr>
                <w:webHidden/>
                <w:rStyle w:val="IndexLink"/>
                <w:rtl w:val="true"/>
              </w:rPr>
              <w:t>رجعت‌کنندگان</w:t>
            </w:r>
            <w:r>
              <w:rPr>
                <w:rStyle w:val="IndexLink"/>
                <w:rtl w:val="true"/>
              </w:rPr>
              <w:tab/>
            </w:r>
            <w:r>
              <w:rPr>
                <w:rStyle w:val="IndexLink"/>
              </w:rPr>
              <w:t>219</w:t>
            </w:r>
          </w:hyperlink>
        </w:p>
        <w:p>
          <w:pPr>
            <w:pStyle w:val="Contents4"/>
            <w:tabs>
              <w:tab w:val="clear" w:pos="8176"/>
              <w:tab w:val="right" w:pos="9026" w:leader="dot"/>
            </w:tabs>
            <w:rPr/>
          </w:pPr>
          <w:hyperlink w:anchor="__RefHeading___Toc643831_222507752">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643833_222507752">
            <w:r>
              <w:rPr>
                <w:webHidden/>
                <w:rStyle w:val="IndexLink"/>
              </w:rPr>
              <w:t>1</w:t>
            </w:r>
            <w:r>
              <w:rPr>
                <w:rStyle w:val="IndexLink"/>
                <w:rtl w:val="true"/>
              </w:rPr>
              <w:t xml:space="preserve">. </w:t>
            </w:r>
            <w:r>
              <w:rPr>
                <w:rStyle w:val="IndexLink"/>
                <w:rtl w:val="true"/>
              </w:rPr>
              <w:t>رجعت پیامبر اکرم صلی الله علیه وآله</w:t>
            </w:r>
            <w:r>
              <w:rPr>
                <w:rStyle w:val="IndexLink"/>
                <w:rtl w:val="true"/>
              </w:rPr>
              <w:tab/>
            </w:r>
            <w:r>
              <w:rPr>
                <w:rStyle w:val="IndexLink"/>
              </w:rPr>
              <w:t>220</w:t>
            </w:r>
          </w:hyperlink>
        </w:p>
        <w:p>
          <w:pPr>
            <w:pStyle w:val="Contents4"/>
            <w:tabs>
              <w:tab w:val="clear" w:pos="8176"/>
              <w:tab w:val="right" w:pos="9026" w:leader="dot"/>
            </w:tabs>
            <w:rPr/>
          </w:pPr>
          <w:hyperlink w:anchor="__RefHeading___Toc643835_222507752">
            <w:r>
              <w:rPr>
                <w:webHidden/>
                <w:rStyle w:val="IndexLink"/>
              </w:rPr>
              <w:t>2</w:t>
            </w:r>
            <w:r>
              <w:rPr>
                <w:rStyle w:val="IndexLink"/>
                <w:rtl w:val="true"/>
              </w:rPr>
              <w:t xml:space="preserve">. </w:t>
            </w:r>
            <w:r>
              <w:rPr>
                <w:rStyle w:val="IndexLink"/>
                <w:rtl w:val="true"/>
              </w:rPr>
              <w:t>رجعت علی‌علیه‌السلام</w:t>
            </w:r>
            <w:r>
              <w:rPr>
                <w:rStyle w:val="IndexLink"/>
                <w:rtl w:val="true"/>
              </w:rPr>
              <w:tab/>
            </w:r>
            <w:r>
              <w:rPr>
                <w:rStyle w:val="IndexLink"/>
              </w:rPr>
              <w:t>220</w:t>
            </w:r>
          </w:hyperlink>
        </w:p>
        <w:p>
          <w:pPr>
            <w:pStyle w:val="Contents4"/>
            <w:tabs>
              <w:tab w:val="clear" w:pos="8176"/>
              <w:tab w:val="right" w:pos="9026" w:leader="dot"/>
            </w:tabs>
            <w:rPr/>
          </w:pPr>
          <w:hyperlink w:anchor="__RefHeading___Toc643837_222507752">
            <w:r>
              <w:rPr>
                <w:webHidden/>
                <w:rStyle w:val="IndexLink"/>
              </w:rPr>
              <w:t>3</w:t>
            </w:r>
            <w:r>
              <w:rPr>
                <w:rStyle w:val="IndexLink"/>
                <w:rtl w:val="true"/>
              </w:rPr>
              <w:t xml:space="preserve">. </w:t>
            </w:r>
            <w:r>
              <w:rPr>
                <w:rStyle w:val="IndexLink"/>
                <w:rtl w:val="true"/>
              </w:rPr>
              <w:t>امام حسین علیه‌السلام، اولین رجعت‌کننده</w:t>
            </w:r>
            <w:r>
              <w:rPr>
                <w:rStyle w:val="IndexLink"/>
                <w:rtl w:val="true"/>
              </w:rPr>
              <w:tab/>
            </w:r>
            <w:r>
              <w:rPr>
                <w:rStyle w:val="IndexLink"/>
              </w:rPr>
              <w:t>221</w:t>
            </w:r>
          </w:hyperlink>
        </w:p>
        <w:p>
          <w:pPr>
            <w:pStyle w:val="Contents4"/>
            <w:tabs>
              <w:tab w:val="clear" w:pos="8176"/>
              <w:tab w:val="right" w:pos="9026" w:leader="dot"/>
            </w:tabs>
            <w:rPr/>
          </w:pPr>
          <w:hyperlink w:anchor="__RefHeading___Toc643839_222507752">
            <w:r>
              <w:rPr>
                <w:webHidden/>
                <w:rStyle w:val="IndexLink"/>
              </w:rPr>
              <w:t>4</w:t>
            </w:r>
            <w:r>
              <w:rPr>
                <w:rStyle w:val="IndexLink"/>
                <w:rtl w:val="true"/>
              </w:rPr>
              <w:t xml:space="preserve">. </w:t>
            </w:r>
            <w:r>
              <w:rPr>
                <w:rStyle w:val="IndexLink"/>
                <w:rtl w:val="true"/>
              </w:rPr>
              <w:t>رجعت معصومین‌علیهم‌السلام</w:t>
            </w:r>
            <w:r>
              <w:rPr>
                <w:rStyle w:val="IndexLink"/>
                <w:rtl w:val="true"/>
              </w:rPr>
              <w:tab/>
            </w:r>
            <w:r>
              <w:rPr>
                <w:rStyle w:val="IndexLink"/>
              </w:rPr>
              <w:t>222</w:t>
            </w:r>
          </w:hyperlink>
        </w:p>
        <w:p>
          <w:pPr>
            <w:pStyle w:val="Contents4"/>
            <w:tabs>
              <w:tab w:val="clear" w:pos="8176"/>
              <w:tab w:val="right" w:pos="9026" w:leader="dot"/>
            </w:tabs>
            <w:rPr/>
          </w:pPr>
          <w:hyperlink w:anchor="__RefHeading___Toc643841_222507752">
            <w:r>
              <w:rPr>
                <w:webHidden/>
                <w:rStyle w:val="IndexLink"/>
              </w:rPr>
              <w:t>5</w:t>
            </w:r>
            <w:r>
              <w:rPr>
                <w:rStyle w:val="IndexLink"/>
                <w:rtl w:val="true"/>
              </w:rPr>
              <w:t xml:space="preserve">. </w:t>
            </w:r>
            <w:r>
              <w:rPr>
                <w:rStyle w:val="IndexLink"/>
                <w:rtl w:val="true"/>
              </w:rPr>
              <w:t>رجعت پیامبران پیشین</w:t>
            </w:r>
            <w:r>
              <w:rPr>
                <w:rStyle w:val="IndexLink"/>
                <w:rtl w:val="true"/>
              </w:rPr>
              <w:tab/>
            </w:r>
            <w:r>
              <w:rPr>
                <w:rStyle w:val="IndexLink"/>
              </w:rPr>
              <w:t>223</w:t>
            </w:r>
          </w:hyperlink>
        </w:p>
        <w:p>
          <w:pPr>
            <w:pStyle w:val="Contents3"/>
            <w:tabs>
              <w:tab w:val="clear" w:pos="8459"/>
              <w:tab w:val="right" w:pos="9026" w:leader="dot"/>
            </w:tabs>
            <w:rPr/>
          </w:pPr>
          <w:hyperlink w:anchor="__RefHeading___Toc643843_222507752">
            <w:r>
              <w:rPr>
                <w:webHidden/>
                <w:rStyle w:val="IndexLink"/>
                <w:rtl w:val="true"/>
              </w:rPr>
              <w:t>خودآزمایی</w:t>
            </w:r>
            <w:r>
              <w:rPr>
                <w:rStyle w:val="IndexLink"/>
                <w:rtl w:val="true"/>
              </w:rPr>
              <w:tab/>
            </w:r>
            <w:r>
              <w:rPr>
                <w:rStyle w:val="IndexLink"/>
              </w:rPr>
              <w:t>224</w:t>
            </w:r>
          </w:hyperlink>
        </w:p>
        <w:p>
          <w:pPr>
            <w:pStyle w:val="Contents3"/>
            <w:tabs>
              <w:tab w:val="clear" w:pos="8459"/>
              <w:tab w:val="right" w:pos="9026" w:leader="dot"/>
            </w:tabs>
            <w:rPr/>
          </w:pPr>
          <w:hyperlink w:anchor="__RefHeading___Toc643845_222507752">
            <w:r>
              <w:rPr>
                <w:webHidden/>
                <w:rStyle w:val="IndexLink"/>
                <w:rtl w:val="true"/>
              </w:rPr>
              <w:t>منابع برای پژوهش</w:t>
            </w:r>
            <w:r>
              <w:rPr>
                <w:rStyle w:val="IndexLink"/>
                <w:rtl w:val="true"/>
              </w:rPr>
              <w:tab/>
            </w:r>
            <w:r>
              <w:rPr>
                <w:rStyle w:val="IndexLink"/>
              </w:rPr>
              <w:t>224</w:t>
            </w:r>
          </w:hyperlink>
        </w:p>
        <w:p>
          <w:pPr>
            <w:pStyle w:val="Contents2"/>
            <w:tabs>
              <w:tab w:val="clear" w:pos="8743"/>
              <w:tab w:val="right" w:pos="9026" w:leader="dot"/>
            </w:tabs>
            <w:rPr/>
          </w:pPr>
          <w:hyperlink w:anchor="__RefHeading___Toc643847_222507752">
            <w:r>
              <w:rPr>
                <w:webHidden/>
                <w:rStyle w:val="IndexLink"/>
                <w:rtl w:val="true"/>
              </w:rPr>
              <w:t>درس سیزدهم</w:t>
            </w:r>
            <w:r>
              <w:rPr>
                <w:rStyle w:val="IndexLink"/>
                <w:rtl w:val="true"/>
              </w:rPr>
              <w:t xml:space="preserve">: </w:t>
            </w:r>
            <w:r>
              <w:rPr>
                <w:rStyle w:val="IndexLink"/>
                <w:rtl w:val="true"/>
              </w:rPr>
              <w:t>رجعت، پرسش</w:t>
            </w:r>
            <w:r>
              <w:rPr>
                <w:rStyle w:val="IndexLink"/>
                <w:rtl w:val="true"/>
              </w:rPr>
              <w:softHyphen/>
            </w:r>
            <w:r>
              <w:rPr>
                <w:rStyle w:val="IndexLink"/>
                <w:rtl w:val="true"/>
              </w:rPr>
              <w:t>ها و پاسخ</w:t>
            </w:r>
            <w:r>
              <w:rPr>
                <w:rStyle w:val="IndexLink"/>
                <w:rtl w:val="true"/>
              </w:rPr>
              <w:softHyphen/>
            </w:r>
            <w:r>
              <w:rPr>
                <w:rStyle w:val="IndexLink"/>
                <w:rtl w:val="true"/>
              </w:rPr>
              <w:t>ها</w:t>
            </w:r>
            <w:r>
              <w:rPr>
                <w:rStyle w:val="IndexLink"/>
                <w:rtl w:val="true"/>
              </w:rPr>
              <w:tab/>
            </w:r>
            <w:r>
              <w:rPr>
                <w:rStyle w:val="IndexLink"/>
              </w:rPr>
              <w:t>225</w:t>
            </w:r>
          </w:hyperlink>
        </w:p>
        <w:p>
          <w:pPr>
            <w:pStyle w:val="Contents3"/>
            <w:tabs>
              <w:tab w:val="clear" w:pos="8459"/>
              <w:tab w:val="right" w:pos="9026" w:leader="dot"/>
            </w:tabs>
            <w:rPr/>
          </w:pPr>
          <w:hyperlink w:anchor="__RefHeading___Toc643849_222507752">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643851_222507752">
            <w:r>
              <w:rPr>
                <w:webHidden/>
                <w:rStyle w:val="IndexLink"/>
                <w:rtl w:val="true"/>
              </w:rPr>
              <w:t>پیش‌درآمد</w:t>
            </w:r>
            <w:r>
              <w:rPr>
                <w:rStyle w:val="IndexLink"/>
                <w:rtl w:val="true"/>
              </w:rPr>
              <w:tab/>
            </w:r>
            <w:r>
              <w:rPr>
                <w:rStyle w:val="IndexLink"/>
              </w:rPr>
              <w:t>226</w:t>
            </w:r>
          </w:hyperlink>
        </w:p>
        <w:p>
          <w:pPr>
            <w:pStyle w:val="Contents3"/>
            <w:tabs>
              <w:tab w:val="clear" w:pos="8459"/>
              <w:tab w:val="right" w:pos="9026" w:leader="dot"/>
            </w:tabs>
            <w:rPr/>
          </w:pPr>
          <w:hyperlink w:anchor="__RefHeading___Toc643853_222507752">
            <w:r>
              <w:rPr>
                <w:webHidden/>
                <w:rStyle w:val="IndexLink"/>
              </w:rPr>
              <w:t>1</w:t>
            </w:r>
            <w:r>
              <w:rPr>
                <w:rStyle w:val="IndexLink"/>
                <w:rtl w:val="true"/>
              </w:rPr>
              <w:t xml:space="preserve">. </w:t>
            </w:r>
            <w:r>
              <w:rPr>
                <w:rStyle w:val="IndexLink"/>
                <w:rtl w:val="true"/>
              </w:rPr>
              <w:t>رجعت، سبب بازگشت از فعلیت</w:t>
            </w:r>
            <w:r>
              <w:rPr>
                <w:rStyle w:val="IndexLink"/>
                <w:rtl w:val="true"/>
              </w:rPr>
              <w:tab/>
            </w:r>
            <w:r>
              <w:rPr>
                <w:rStyle w:val="IndexLink"/>
              </w:rPr>
              <w:t>226</w:t>
            </w:r>
          </w:hyperlink>
        </w:p>
        <w:p>
          <w:pPr>
            <w:pStyle w:val="Contents3"/>
            <w:tabs>
              <w:tab w:val="clear" w:pos="8459"/>
              <w:tab w:val="right" w:pos="9026" w:leader="dot"/>
            </w:tabs>
            <w:rPr/>
          </w:pPr>
          <w:hyperlink w:anchor="__RefHeading___Toc643855_222507752">
            <w:r>
              <w:rPr>
                <w:webHidden/>
                <w:rStyle w:val="IndexLink"/>
              </w:rPr>
              <w:t>2</w:t>
            </w:r>
            <w:r>
              <w:rPr>
                <w:rStyle w:val="IndexLink"/>
                <w:rtl w:val="true"/>
              </w:rPr>
              <w:t xml:space="preserve">. </w:t>
            </w:r>
            <w:r>
              <w:rPr>
                <w:rStyle w:val="IndexLink"/>
                <w:rtl w:val="true"/>
              </w:rPr>
              <w:t>رجعت، همان تناسخ</w:t>
            </w:r>
            <w:r>
              <w:rPr>
                <w:rStyle w:val="IndexLink"/>
                <w:rtl w:val="true"/>
              </w:rPr>
              <w:tab/>
            </w:r>
            <w:r>
              <w:rPr>
                <w:rStyle w:val="IndexLink"/>
              </w:rPr>
              <w:t>229</w:t>
            </w:r>
          </w:hyperlink>
        </w:p>
        <w:p>
          <w:pPr>
            <w:pStyle w:val="Contents3"/>
            <w:tabs>
              <w:tab w:val="clear" w:pos="8459"/>
              <w:tab w:val="right" w:pos="9026" w:leader="dot"/>
            </w:tabs>
            <w:rPr/>
          </w:pPr>
          <w:hyperlink w:anchor="__RefHeading___Toc643857_222507752">
            <w:r>
              <w:rPr>
                <w:webHidden/>
                <w:rStyle w:val="IndexLink"/>
                <w:rtl w:val="true"/>
              </w:rPr>
              <w:t>تفاوت رجعت با تناسخ</w:t>
            </w:r>
            <w:r>
              <w:rPr>
                <w:rStyle w:val="IndexLink"/>
                <w:rtl w:val="true"/>
              </w:rPr>
              <w:tab/>
            </w:r>
            <w:r>
              <w:rPr>
                <w:rStyle w:val="IndexLink"/>
              </w:rPr>
              <w:t>231</w:t>
            </w:r>
          </w:hyperlink>
        </w:p>
        <w:p>
          <w:pPr>
            <w:pStyle w:val="Contents3"/>
            <w:tabs>
              <w:tab w:val="clear" w:pos="8459"/>
              <w:tab w:val="right" w:pos="9026" w:leader="dot"/>
            </w:tabs>
            <w:rPr/>
          </w:pPr>
          <w:hyperlink w:anchor="__RefHeading___Toc643859_222507752">
            <w:r>
              <w:rPr>
                <w:webHidden/>
                <w:rStyle w:val="IndexLink"/>
              </w:rPr>
              <w:t>3</w:t>
            </w:r>
            <w:r>
              <w:rPr>
                <w:rStyle w:val="IndexLink"/>
                <w:rtl w:val="true"/>
              </w:rPr>
              <w:t xml:space="preserve">. </w:t>
            </w:r>
            <w:r>
              <w:rPr>
                <w:rStyle w:val="IndexLink"/>
                <w:rtl w:val="true"/>
              </w:rPr>
              <w:t>بازگشت کفار و مجرمین از اعمال بدشان</w:t>
            </w:r>
            <w:r>
              <w:rPr>
                <w:rStyle w:val="IndexLink"/>
                <w:rtl w:val="true"/>
              </w:rPr>
              <w:tab/>
            </w:r>
            <w:r>
              <w:rPr>
                <w:rStyle w:val="IndexLink"/>
              </w:rPr>
              <w:t>231</w:t>
            </w:r>
          </w:hyperlink>
        </w:p>
        <w:p>
          <w:pPr>
            <w:pStyle w:val="Contents3"/>
            <w:tabs>
              <w:tab w:val="clear" w:pos="8459"/>
              <w:tab w:val="right" w:pos="9026" w:leader="dot"/>
            </w:tabs>
            <w:rPr/>
          </w:pPr>
          <w:hyperlink w:anchor="__RefHeading___Toc643861_222507752">
            <w:r>
              <w:rPr>
                <w:webHidden/>
                <w:rStyle w:val="IndexLink"/>
              </w:rPr>
              <w:t>4</w:t>
            </w:r>
            <w:r>
              <w:rPr>
                <w:rStyle w:val="IndexLink"/>
                <w:rtl w:val="true"/>
              </w:rPr>
              <w:t xml:space="preserve">. </w:t>
            </w:r>
            <w:r>
              <w:rPr>
                <w:rStyle w:val="IndexLink"/>
                <w:rtl w:val="true"/>
              </w:rPr>
              <w:t>کیفر در رجعت و ناسازگاری با دنیا</w:t>
            </w:r>
            <w:r>
              <w:rPr>
                <w:rStyle w:val="IndexLink"/>
                <w:rtl w:val="true"/>
              </w:rPr>
              <w:tab/>
            </w:r>
            <w:r>
              <w:rPr>
                <w:rStyle w:val="IndexLink"/>
              </w:rPr>
              <w:t>232</w:t>
            </w:r>
          </w:hyperlink>
        </w:p>
        <w:p>
          <w:pPr>
            <w:pStyle w:val="Contents3"/>
            <w:tabs>
              <w:tab w:val="clear" w:pos="8459"/>
              <w:tab w:val="right" w:pos="9026" w:leader="dot"/>
            </w:tabs>
            <w:rPr/>
          </w:pPr>
          <w:hyperlink w:anchor="__RefHeading___Toc643863_222507752">
            <w:r>
              <w:rPr>
                <w:webHidden/>
                <w:rStyle w:val="IndexLink"/>
              </w:rPr>
              <w:t>5</w:t>
            </w:r>
            <w:r>
              <w:rPr>
                <w:rStyle w:val="IndexLink"/>
                <w:rtl w:val="true"/>
              </w:rPr>
              <w:t xml:space="preserve">. </w:t>
            </w:r>
            <w:r>
              <w:rPr>
                <w:rStyle w:val="IndexLink"/>
                <w:rtl w:val="true"/>
              </w:rPr>
              <w:t>تعارض رجعت با فلسفه معاد</w:t>
            </w:r>
            <w:r>
              <w:rPr>
                <w:rStyle w:val="IndexLink"/>
                <w:rtl w:val="true"/>
              </w:rPr>
              <w:tab/>
            </w:r>
            <w:r>
              <w:rPr>
                <w:rStyle w:val="IndexLink"/>
              </w:rPr>
              <w:t>233</w:t>
            </w:r>
          </w:hyperlink>
        </w:p>
        <w:p>
          <w:pPr>
            <w:pStyle w:val="Contents3"/>
            <w:tabs>
              <w:tab w:val="clear" w:pos="8459"/>
              <w:tab w:val="right" w:pos="9026" w:leader="dot"/>
            </w:tabs>
            <w:rPr/>
          </w:pPr>
          <w:hyperlink w:anchor="__RefHeading___Toc643865_222507752">
            <w:r>
              <w:rPr>
                <w:webHidden/>
                <w:rStyle w:val="IndexLink"/>
              </w:rPr>
              <w:t>6</w:t>
            </w:r>
            <w:r>
              <w:rPr>
                <w:rStyle w:val="IndexLink"/>
                <w:rtl w:val="true"/>
              </w:rPr>
              <w:t xml:space="preserve">. </w:t>
            </w:r>
            <w:r>
              <w:rPr>
                <w:rStyle w:val="IndexLink"/>
                <w:rtl w:val="true"/>
              </w:rPr>
              <w:t>رجعت از عقاید یهودی</w:t>
            </w:r>
            <w:r>
              <w:rPr>
                <w:rStyle w:val="IndexLink"/>
                <w:rtl w:val="true"/>
              </w:rPr>
              <w:tab/>
            </w:r>
            <w:r>
              <w:rPr>
                <w:rStyle w:val="IndexLink"/>
              </w:rPr>
              <w:t>234</w:t>
            </w:r>
          </w:hyperlink>
        </w:p>
        <w:p>
          <w:pPr>
            <w:pStyle w:val="Contents3"/>
            <w:tabs>
              <w:tab w:val="clear" w:pos="8459"/>
              <w:tab w:val="right" w:pos="9026" w:leader="dot"/>
            </w:tabs>
            <w:rPr/>
          </w:pPr>
          <w:hyperlink w:anchor="__RefHeading___Toc643867_222507752">
            <w:r>
              <w:rPr>
                <w:webHidden/>
                <w:rStyle w:val="IndexLink"/>
              </w:rPr>
              <w:t>7</w:t>
            </w:r>
            <w:r>
              <w:rPr>
                <w:rStyle w:val="IndexLink"/>
                <w:rtl w:val="true"/>
              </w:rPr>
              <w:t xml:space="preserve">. </w:t>
            </w:r>
            <w:r>
              <w:rPr>
                <w:rStyle w:val="IndexLink"/>
                <w:rtl w:val="true"/>
              </w:rPr>
              <w:t>منافات رجعت با تلقین میت</w:t>
            </w:r>
            <w:r>
              <w:rPr>
                <w:rStyle w:val="IndexLink"/>
                <w:rtl w:val="true"/>
              </w:rPr>
              <w:tab/>
            </w:r>
            <w:r>
              <w:rPr>
                <w:rStyle w:val="IndexLink"/>
              </w:rPr>
              <w:t>235</w:t>
            </w:r>
          </w:hyperlink>
        </w:p>
        <w:p>
          <w:pPr>
            <w:pStyle w:val="Contents3"/>
            <w:tabs>
              <w:tab w:val="clear" w:pos="8459"/>
              <w:tab w:val="right" w:pos="9026" w:leader="dot"/>
            </w:tabs>
            <w:rPr/>
          </w:pPr>
          <w:hyperlink w:anchor="__RefHeading___Toc643869_222507752">
            <w:r>
              <w:rPr>
                <w:webHidden/>
                <w:rStyle w:val="IndexLink"/>
              </w:rPr>
              <w:t>8</w:t>
            </w:r>
            <w:r>
              <w:rPr>
                <w:rStyle w:val="IndexLink"/>
                <w:rtl w:val="true"/>
              </w:rPr>
              <w:t xml:space="preserve">. </w:t>
            </w:r>
            <w:r>
              <w:rPr>
                <w:rStyle w:val="IndexLink"/>
                <w:rtl w:val="true"/>
              </w:rPr>
              <w:t>تکلیف در زمان رجعت</w:t>
            </w:r>
            <w:r>
              <w:rPr>
                <w:rStyle w:val="IndexLink"/>
                <w:rtl w:val="true"/>
              </w:rPr>
              <w:tab/>
            </w:r>
            <w:r>
              <w:rPr>
                <w:rStyle w:val="IndexLink"/>
              </w:rPr>
              <w:t>236</w:t>
            </w:r>
          </w:hyperlink>
        </w:p>
        <w:p>
          <w:pPr>
            <w:pStyle w:val="Contents3"/>
            <w:tabs>
              <w:tab w:val="clear" w:pos="8459"/>
              <w:tab w:val="right" w:pos="9026" w:leader="dot"/>
            </w:tabs>
            <w:rPr/>
          </w:pPr>
          <w:hyperlink w:anchor="__RefHeading___Toc643871_222507752">
            <w:r>
              <w:rPr>
                <w:webHidden/>
                <w:rStyle w:val="IndexLink"/>
                <w:rtl w:val="true"/>
              </w:rPr>
              <w:t>خودآزمایی</w:t>
            </w:r>
            <w:r>
              <w:rPr>
                <w:rStyle w:val="IndexLink"/>
                <w:rtl w:val="true"/>
              </w:rPr>
              <w:tab/>
            </w:r>
            <w:r>
              <w:rPr>
                <w:rStyle w:val="IndexLink"/>
              </w:rPr>
              <w:t>239</w:t>
            </w:r>
          </w:hyperlink>
        </w:p>
        <w:p>
          <w:pPr>
            <w:pStyle w:val="Contents3"/>
            <w:tabs>
              <w:tab w:val="clear" w:pos="8459"/>
              <w:tab w:val="right" w:pos="9026" w:leader="dot"/>
            </w:tabs>
            <w:rPr/>
          </w:pPr>
          <w:hyperlink w:anchor="__RefHeading___Toc643873_222507752">
            <w:r>
              <w:rPr>
                <w:webHidden/>
                <w:rStyle w:val="IndexLink"/>
                <w:rtl w:val="true"/>
              </w:rPr>
              <w:t>منابع برای پژوهش</w:t>
            </w:r>
            <w:r>
              <w:rPr>
                <w:rStyle w:val="IndexLink"/>
                <w:rtl w:val="true"/>
              </w:rPr>
              <w:tab/>
            </w:r>
            <w:r>
              <w:rPr>
                <w:rStyle w:val="IndexLink"/>
              </w:rPr>
              <w:t>239</w:t>
            </w:r>
          </w:hyperlink>
        </w:p>
        <w:p>
          <w:pPr>
            <w:pStyle w:val="Contents2"/>
            <w:tabs>
              <w:tab w:val="clear" w:pos="8743"/>
              <w:tab w:val="right" w:pos="9026" w:leader="dot"/>
            </w:tabs>
            <w:rPr/>
          </w:pPr>
          <w:hyperlink w:anchor="__RefHeading___Toc643875_222507752">
            <w:r>
              <w:rPr>
                <w:webHidden/>
                <w:rStyle w:val="IndexLink"/>
                <w:rtl w:val="true"/>
              </w:rPr>
              <w:t>درس چهاردهم</w:t>
            </w:r>
            <w:r>
              <w:rPr>
                <w:rStyle w:val="IndexLink"/>
                <w:rtl w:val="true"/>
              </w:rPr>
              <w:t>:  </w:t>
            </w:r>
            <w:r>
              <w:rPr>
                <w:rStyle w:val="IndexLink"/>
                <w:rtl w:val="true"/>
              </w:rPr>
              <w:t>فرجام حضرت مهدی علیه‌السلام و زندگی در دنیا</w:t>
            </w:r>
            <w:r>
              <w:rPr>
                <w:rStyle w:val="IndexLink"/>
                <w:rtl w:val="true"/>
              </w:rPr>
              <w:tab/>
            </w:r>
            <w:r>
              <w:rPr>
                <w:rStyle w:val="IndexLink"/>
              </w:rPr>
              <w:t>241</w:t>
            </w:r>
          </w:hyperlink>
        </w:p>
        <w:p>
          <w:pPr>
            <w:pStyle w:val="Contents3"/>
            <w:tabs>
              <w:tab w:val="clear" w:pos="8459"/>
              <w:tab w:val="right" w:pos="9026" w:leader="dot"/>
            </w:tabs>
            <w:rPr/>
          </w:pPr>
          <w:hyperlink w:anchor="__RefHeading___Toc643877_222507752">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643879_222507752">
            <w:r>
              <w:rPr>
                <w:webHidden/>
                <w:rStyle w:val="IndexLink"/>
                <w:rtl w:val="true"/>
              </w:rPr>
              <w:t>پیش‌درآمد</w:t>
            </w:r>
            <w:r>
              <w:rPr>
                <w:rStyle w:val="IndexLink"/>
                <w:rtl w:val="true"/>
              </w:rPr>
              <w:tab/>
            </w:r>
            <w:r>
              <w:rPr>
                <w:rStyle w:val="IndexLink"/>
              </w:rPr>
              <w:t>242</w:t>
            </w:r>
          </w:hyperlink>
        </w:p>
        <w:p>
          <w:pPr>
            <w:pStyle w:val="Contents3"/>
            <w:tabs>
              <w:tab w:val="clear" w:pos="8459"/>
              <w:tab w:val="right" w:pos="9026" w:leader="dot"/>
            </w:tabs>
            <w:rPr/>
          </w:pPr>
          <w:hyperlink w:anchor="__RefHeading___Toc643881_222507752">
            <w:r>
              <w:rPr>
                <w:webHidden/>
                <w:rStyle w:val="IndexLink"/>
                <w:rtl w:val="true"/>
              </w:rPr>
              <w:t>طول عمر حضرت مهدی علیه‌السلام</w:t>
            </w:r>
            <w:r>
              <w:rPr>
                <w:rStyle w:val="IndexLink"/>
                <w:rtl w:val="true"/>
              </w:rPr>
              <w:tab/>
            </w:r>
            <w:r>
              <w:rPr>
                <w:rStyle w:val="IndexLink"/>
              </w:rPr>
              <w:t>242</w:t>
            </w:r>
          </w:hyperlink>
        </w:p>
        <w:p>
          <w:pPr>
            <w:pStyle w:val="Contents4"/>
            <w:tabs>
              <w:tab w:val="clear" w:pos="8176"/>
              <w:tab w:val="right" w:pos="9026" w:leader="dot"/>
            </w:tabs>
            <w:rPr/>
          </w:pPr>
          <w:hyperlink w:anchor="__RefHeading___Toc643883_222507752">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643885_222507752">
            <w:r>
              <w:rPr>
                <w:webHidden/>
                <w:rStyle w:val="IndexLink"/>
                <w:rtl w:val="true"/>
              </w:rPr>
              <w:t>یک</w:t>
            </w:r>
            <w:r>
              <w:rPr>
                <w:rStyle w:val="IndexLink"/>
                <w:rtl w:val="true"/>
              </w:rPr>
              <w:t xml:space="preserve">. </w:t>
            </w:r>
            <w:r>
              <w:rPr>
                <w:rStyle w:val="IndexLink"/>
                <w:rtl w:val="true"/>
              </w:rPr>
              <w:t>طول عمر از نگاه قرآن کریم</w:t>
            </w:r>
            <w:r>
              <w:rPr>
                <w:rStyle w:val="IndexLink"/>
                <w:rtl w:val="true"/>
              </w:rPr>
              <w:tab/>
            </w:r>
            <w:r>
              <w:rPr>
                <w:rStyle w:val="IndexLink"/>
              </w:rPr>
              <w:t>243</w:t>
            </w:r>
          </w:hyperlink>
        </w:p>
        <w:p>
          <w:pPr>
            <w:pStyle w:val="Contents5"/>
            <w:tabs>
              <w:tab w:val="clear" w:pos="7892"/>
              <w:tab w:val="right" w:pos="9026" w:leader="dot"/>
            </w:tabs>
            <w:rPr/>
          </w:pPr>
          <w:hyperlink w:anchor="__RefHeading___Toc643887_222507752">
            <w:r>
              <w:rPr>
                <w:webHidden/>
                <w:rStyle w:val="IndexLink"/>
                <w:rtl w:val="true"/>
              </w:rPr>
              <w:t>اشاره</w:t>
            </w:r>
            <w:r>
              <w:rPr>
                <w:rStyle w:val="IndexLink"/>
                <w:rtl w:val="true"/>
              </w:rPr>
              <w:tab/>
            </w:r>
            <w:r>
              <w:rPr>
                <w:rStyle w:val="IndexLink"/>
              </w:rPr>
              <w:t>243</w:t>
            </w:r>
          </w:hyperlink>
        </w:p>
        <w:p>
          <w:pPr>
            <w:pStyle w:val="Contents5"/>
            <w:tabs>
              <w:tab w:val="clear" w:pos="7892"/>
              <w:tab w:val="right" w:pos="9026" w:leader="dot"/>
            </w:tabs>
            <w:rPr/>
          </w:pPr>
          <w:hyperlink w:anchor="__RefHeading___Toc643889_222507752">
            <w:r>
              <w:rPr>
                <w:webHidden/>
                <w:rStyle w:val="IndexLink"/>
              </w:rPr>
              <w:t>1</w:t>
            </w:r>
            <w:r>
              <w:rPr>
                <w:rStyle w:val="IndexLink"/>
                <w:rtl w:val="true"/>
              </w:rPr>
              <w:t xml:space="preserve">. </w:t>
            </w:r>
            <w:r>
              <w:rPr>
                <w:rStyle w:val="IndexLink"/>
                <w:rtl w:val="true"/>
              </w:rPr>
              <w:t>حضرت نوح علیه‌السلام</w:t>
            </w:r>
            <w:r>
              <w:rPr>
                <w:rStyle w:val="IndexLink"/>
                <w:rtl w:val="true"/>
              </w:rPr>
              <w:tab/>
            </w:r>
            <w:r>
              <w:rPr>
                <w:rStyle w:val="IndexLink"/>
              </w:rPr>
              <w:t>243</w:t>
            </w:r>
          </w:hyperlink>
        </w:p>
        <w:p>
          <w:pPr>
            <w:pStyle w:val="Contents5"/>
            <w:tabs>
              <w:tab w:val="clear" w:pos="7892"/>
              <w:tab w:val="right" w:pos="9026" w:leader="dot"/>
            </w:tabs>
            <w:rPr/>
          </w:pPr>
          <w:hyperlink w:anchor="__RefHeading___Toc643891_222507752">
            <w:r>
              <w:rPr>
                <w:webHidden/>
                <w:rStyle w:val="IndexLink"/>
              </w:rPr>
              <w:t>2</w:t>
            </w:r>
            <w:r>
              <w:rPr>
                <w:rStyle w:val="IndexLink"/>
                <w:rtl w:val="true"/>
              </w:rPr>
              <w:t xml:space="preserve">. </w:t>
            </w:r>
            <w:r>
              <w:rPr>
                <w:rStyle w:val="IndexLink"/>
                <w:rtl w:val="true"/>
              </w:rPr>
              <w:t>عیسی بن مریم علیهما السلام</w:t>
            </w:r>
            <w:r>
              <w:rPr>
                <w:rStyle w:val="IndexLink"/>
                <w:rtl w:val="true"/>
              </w:rPr>
              <w:tab/>
            </w:r>
            <w:r>
              <w:rPr>
                <w:rStyle w:val="IndexLink"/>
              </w:rPr>
              <w:t>244</w:t>
            </w:r>
          </w:hyperlink>
        </w:p>
        <w:p>
          <w:pPr>
            <w:pStyle w:val="Contents5"/>
            <w:tabs>
              <w:tab w:val="clear" w:pos="7892"/>
              <w:tab w:val="right" w:pos="9026" w:leader="dot"/>
            </w:tabs>
            <w:rPr/>
          </w:pPr>
          <w:hyperlink w:anchor="__RefHeading___Toc643893_222507752">
            <w:r>
              <w:rPr>
                <w:webHidden/>
                <w:rStyle w:val="IndexLink"/>
              </w:rPr>
              <w:t>3</w:t>
            </w:r>
            <w:r>
              <w:rPr>
                <w:rStyle w:val="IndexLink"/>
                <w:rtl w:val="true"/>
              </w:rPr>
              <w:t xml:space="preserve">. </w:t>
            </w:r>
            <w:r>
              <w:rPr>
                <w:rStyle w:val="IndexLink"/>
                <w:rtl w:val="true"/>
              </w:rPr>
              <w:t>حضرت خضر علیه‌السلام</w:t>
            </w:r>
            <w:r>
              <w:rPr>
                <w:rStyle w:val="IndexLink"/>
                <w:rtl w:val="true"/>
              </w:rPr>
              <w:tab/>
            </w:r>
            <w:r>
              <w:rPr>
                <w:rStyle w:val="IndexLink"/>
              </w:rPr>
              <w:t>245</w:t>
            </w:r>
          </w:hyperlink>
        </w:p>
        <w:p>
          <w:pPr>
            <w:pStyle w:val="Contents5"/>
            <w:tabs>
              <w:tab w:val="clear" w:pos="7892"/>
              <w:tab w:val="right" w:pos="9026" w:leader="dot"/>
            </w:tabs>
            <w:rPr/>
          </w:pPr>
          <w:hyperlink w:anchor="__RefHeading___Toc643895_222507752">
            <w:r>
              <w:rPr>
                <w:webHidden/>
                <w:rStyle w:val="IndexLink"/>
              </w:rPr>
              <w:t>4</w:t>
            </w:r>
            <w:r>
              <w:rPr>
                <w:rStyle w:val="IndexLink"/>
                <w:rtl w:val="true"/>
              </w:rPr>
              <w:t xml:space="preserve">. </w:t>
            </w:r>
            <w:r>
              <w:rPr>
                <w:rStyle w:val="IndexLink"/>
                <w:rtl w:val="true"/>
              </w:rPr>
              <w:t>اصحاب کهف</w:t>
            </w:r>
            <w:r>
              <w:rPr>
                <w:rStyle w:val="IndexLink"/>
                <w:rtl w:val="true"/>
              </w:rPr>
              <w:tab/>
            </w:r>
            <w:r>
              <w:rPr>
                <w:rStyle w:val="IndexLink"/>
              </w:rPr>
              <w:t>245</w:t>
            </w:r>
          </w:hyperlink>
        </w:p>
        <w:p>
          <w:pPr>
            <w:pStyle w:val="Contents4"/>
            <w:tabs>
              <w:tab w:val="clear" w:pos="8176"/>
              <w:tab w:val="right" w:pos="9026" w:leader="dot"/>
            </w:tabs>
            <w:rPr/>
          </w:pPr>
          <w:hyperlink w:anchor="__RefHeading___Toc643897_222507752">
            <w:r>
              <w:rPr>
                <w:webHidden/>
                <w:rStyle w:val="IndexLink"/>
                <w:rtl w:val="true"/>
              </w:rPr>
              <w:t>دو</w:t>
            </w:r>
            <w:r>
              <w:rPr>
                <w:rStyle w:val="IndexLink"/>
                <w:rtl w:val="true"/>
              </w:rPr>
              <w:t xml:space="preserve">. </w:t>
            </w:r>
            <w:r>
              <w:rPr>
                <w:rStyle w:val="IndexLink"/>
                <w:rtl w:val="true"/>
              </w:rPr>
              <w:t>طول عمر از نگاه روایات</w:t>
            </w:r>
            <w:r>
              <w:rPr>
                <w:rStyle w:val="IndexLink"/>
                <w:rtl w:val="true"/>
              </w:rPr>
              <w:tab/>
            </w:r>
            <w:r>
              <w:rPr>
                <w:rStyle w:val="IndexLink"/>
              </w:rPr>
              <w:t>245</w:t>
            </w:r>
          </w:hyperlink>
        </w:p>
        <w:p>
          <w:pPr>
            <w:pStyle w:val="Contents4"/>
            <w:tabs>
              <w:tab w:val="clear" w:pos="8176"/>
              <w:tab w:val="right" w:pos="9026" w:leader="dot"/>
            </w:tabs>
            <w:rPr/>
          </w:pPr>
          <w:hyperlink w:anchor="__RefHeading___Toc643899_222507752">
            <w:r>
              <w:rPr>
                <w:webHidden/>
                <w:rStyle w:val="IndexLink"/>
                <w:rtl w:val="true"/>
              </w:rPr>
              <w:t>سه</w:t>
            </w:r>
            <w:r>
              <w:rPr>
                <w:rStyle w:val="IndexLink"/>
                <w:rtl w:val="true"/>
              </w:rPr>
              <w:t xml:space="preserve">. </w:t>
            </w:r>
            <w:r>
              <w:rPr>
                <w:rStyle w:val="IndexLink"/>
                <w:rtl w:val="true"/>
              </w:rPr>
              <w:t>از نگاه عقل</w:t>
            </w:r>
            <w:r>
              <w:rPr>
                <w:rStyle w:val="IndexLink"/>
                <w:rtl w:val="true"/>
              </w:rPr>
              <w:tab/>
            </w:r>
            <w:r>
              <w:rPr>
                <w:rStyle w:val="IndexLink"/>
              </w:rPr>
              <w:t>245</w:t>
            </w:r>
          </w:hyperlink>
        </w:p>
        <w:p>
          <w:pPr>
            <w:pStyle w:val="Contents3"/>
            <w:tabs>
              <w:tab w:val="clear" w:pos="8459"/>
              <w:tab w:val="right" w:pos="9026" w:leader="dot"/>
            </w:tabs>
            <w:rPr/>
          </w:pPr>
          <w:hyperlink w:anchor="__RefHeading___Toc643901_222507752">
            <w:r>
              <w:rPr>
                <w:webHidden/>
                <w:rStyle w:val="IndexLink"/>
                <w:rtl w:val="true"/>
              </w:rPr>
              <w:t>فرجام زندگی حضرت مهدی علیه‌السلام</w:t>
            </w:r>
            <w:r>
              <w:rPr>
                <w:rStyle w:val="IndexLink"/>
                <w:rtl w:val="true"/>
              </w:rPr>
              <w:tab/>
            </w:r>
            <w:r>
              <w:rPr>
                <w:rStyle w:val="IndexLink"/>
              </w:rPr>
              <w:t>247</w:t>
            </w:r>
          </w:hyperlink>
        </w:p>
        <w:p>
          <w:pPr>
            <w:pStyle w:val="Contents4"/>
            <w:tabs>
              <w:tab w:val="clear" w:pos="8176"/>
              <w:tab w:val="right" w:pos="9026" w:leader="dot"/>
            </w:tabs>
            <w:rPr/>
          </w:pPr>
          <w:hyperlink w:anchor="__RefHeading___Toc643903_222507752">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643905_222507752">
            <w:r>
              <w:rPr>
                <w:webHidden/>
                <w:rStyle w:val="IndexLink"/>
                <w:rtl w:val="true"/>
              </w:rPr>
              <w:t>یک</w:t>
            </w:r>
            <w:r>
              <w:rPr>
                <w:rStyle w:val="IndexLink"/>
                <w:rtl w:val="true"/>
              </w:rPr>
              <w:t xml:space="preserve">. </w:t>
            </w:r>
            <w:r>
              <w:rPr>
                <w:rStyle w:val="IndexLink"/>
                <w:rtl w:val="true"/>
              </w:rPr>
              <w:t>شهادت امام مهدی علیه‌السلام</w:t>
            </w:r>
            <w:r>
              <w:rPr>
                <w:rStyle w:val="IndexLink"/>
                <w:rtl w:val="true"/>
              </w:rPr>
              <w:tab/>
            </w:r>
            <w:r>
              <w:rPr>
                <w:rStyle w:val="IndexLink"/>
              </w:rPr>
              <w:t>247</w:t>
            </w:r>
          </w:hyperlink>
        </w:p>
        <w:p>
          <w:pPr>
            <w:pStyle w:val="Contents4"/>
            <w:tabs>
              <w:tab w:val="clear" w:pos="8176"/>
              <w:tab w:val="right" w:pos="9026" w:leader="dot"/>
            </w:tabs>
            <w:rPr/>
          </w:pPr>
          <w:hyperlink w:anchor="__RefHeading___Toc643907_222507752">
            <w:r>
              <w:rPr>
                <w:webHidden/>
                <w:rStyle w:val="IndexLink"/>
                <w:rtl w:val="true"/>
              </w:rPr>
              <w:t>دو</w:t>
            </w:r>
            <w:r>
              <w:rPr>
                <w:rStyle w:val="IndexLink"/>
                <w:rtl w:val="true"/>
              </w:rPr>
              <w:t xml:space="preserve">. </w:t>
            </w:r>
            <w:r>
              <w:rPr>
                <w:rStyle w:val="IndexLink"/>
                <w:rtl w:val="true"/>
              </w:rPr>
              <w:t>رحلت به مرگ طبیعی</w:t>
            </w:r>
            <w:r>
              <w:rPr>
                <w:rStyle w:val="IndexLink"/>
                <w:rtl w:val="true"/>
              </w:rPr>
              <w:tab/>
            </w:r>
            <w:r>
              <w:rPr>
                <w:rStyle w:val="IndexLink"/>
              </w:rPr>
              <w:t>249</w:t>
            </w:r>
          </w:hyperlink>
        </w:p>
        <w:p>
          <w:pPr>
            <w:pStyle w:val="Contents3"/>
            <w:tabs>
              <w:tab w:val="clear" w:pos="8459"/>
              <w:tab w:val="right" w:pos="9026" w:leader="dot"/>
            </w:tabs>
            <w:rPr/>
          </w:pPr>
          <w:hyperlink w:anchor="__RefHeading___Toc643909_222507752">
            <w:r>
              <w:rPr>
                <w:webHidden/>
                <w:rStyle w:val="IndexLink"/>
                <w:rtl w:val="true"/>
              </w:rPr>
              <w:t>جهان پس از حضرت مهدی علیه‌السلام</w:t>
            </w:r>
            <w:r>
              <w:rPr>
                <w:rStyle w:val="IndexLink"/>
                <w:rtl w:val="true"/>
              </w:rPr>
              <w:tab/>
            </w:r>
            <w:r>
              <w:rPr>
                <w:rStyle w:val="IndexLink"/>
              </w:rPr>
              <w:t>251</w:t>
            </w:r>
          </w:hyperlink>
        </w:p>
        <w:p>
          <w:pPr>
            <w:pStyle w:val="Contents4"/>
            <w:tabs>
              <w:tab w:val="clear" w:pos="8176"/>
              <w:tab w:val="right" w:pos="9026" w:leader="dot"/>
            </w:tabs>
            <w:rPr/>
          </w:pPr>
          <w:hyperlink w:anchor="__RefHeading___Toc643911_222507752">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643913_222507752">
            <w:r>
              <w:rPr>
                <w:webHidden/>
                <w:rStyle w:val="IndexLink"/>
                <w:rtl w:val="true"/>
              </w:rPr>
              <w:t>یک</w:t>
            </w:r>
            <w:r>
              <w:rPr>
                <w:rStyle w:val="IndexLink"/>
                <w:rtl w:val="true"/>
              </w:rPr>
              <w:t xml:space="preserve">. </w:t>
            </w:r>
            <w:r>
              <w:rPr>
                <w:rStyle w:val="IndexLink"/>
                <w:rtl w:val="true"/>
              </w:rPr>
              <w:t>دیدگاه پیروان مکتب اهل بیت علیهم‌السلام</w:t>
            </w:r>
            <w:r>
              <w:rPr>
                <w:rStyle w:val="IndexLink"/>
                <w:rtl w:val="true"/>
              </w:rPr>
              <w:tab/>
            </w:r>
            <w:r>
              <w:rPr>
                <w:rStyle w:val="IndexLink"/>
              </w:rPr>
              <w:t>252</w:t>
            </w:r>
          </w:hyperlink>
        </w:p>
        <w:p>
          <w:pPr>
            <w:pStyle w:val="Contents4"/>
            <w:tabs>
              <w:tab w:val="clear" w:pos="8176"/>
              <w:tab w:val="right" w:pos="9026" w:leader="dot"/>
            </w:tabs>
            <w:rPr/>
          </w:pPr>
          <w:hyperlink w:anchor="__RefHeading___Toc643915_222507752">
            <w:r>
              <w:rPr>
                <w:webHidden/>
                <w:rStyle w:val="IndexLink"/>
                <w:rtl w:val="true"/>
              </w:rPr>
              <w:t>دو</w:t>
            </w:r>
            <w:r>
              <w:rPr>
                <w:rStyle w:val="IndexLink"/>
                <w:rtl w:val="true"/>
              </w:rPr>
              <w:t xml:space="preserve">. </w:t>
            </w:r>
            <w:r>
              <w:rPr>
                <w:rStyle w:val="IndexLink"/>
                <w:rtl w:val="true"/>
              </w:rPr>
              <w:t>دیدگاه اهل سنّت</w:t>
            </w:r>
            <w:r>
              <w:rPr>
                <w:rStyle w:val="IndexLink"/>
                <w:rtl w:val="true"/>
              </w:rPr>
              <w:tab/>
            </w:r>
            <w:r>
              <w:rPr>
                <w:rStyle w:val="IndexLink"/>
              </w:rPr>
              <w:t>254</w:t>
            </w:r>
          </w:hyperlink>
        </w:p>
        <w:p>
          <w:pPr>
            <w:pStyle w:val="Contents3"/>
            <w:tabs>
              <w:tab w:val="clear" w:pos="8459"/>
              <w:tab w:val="right" w:pos="9026" w:leader="dot"/>
            </w:tabs>
            <w:rPr/>
          </w:pPr>
          <w:hyperlink w:anchor="__RefHeading___Toc643917_222507752">
            <w:r>
              <w:rPr>
                <w:webHidden/>
                <w:rStyle w:val="IndexLink"/>
                <w:rtl w:val="true"/>
              </w:rPr>
              <w:t>خودآزمایی</w:t>
            </w:r>
            <w:r>
              <w:rPr>
                <w:rStyle w:val="IndexLink"/>
                <w:rtl w:val="true"/>
              </w:rPr>
              <w:tab/>
            </w:r>
            <w:r>
              <w:rPr>
                <w:rStyle w:val="IndexLink"/>
              </w:rPr>
              <w:t>256</w:t>
            </w:r>
          </w:hyperlink>
        </w:p>
        <w:p>
          <w:pPr>
            <w:pStyle w:val="Contents3"/>
            <w:tabs>
              <w:tab w:val="clear" w:pos="8459"/>
              <w:tab w:val="right" w:pos="9026" w:leader="dot"/>
            </w:tabs>
            <w:rPr/>
          </w:pPr>
          <w:hyperlink w:anchor="__RefHeading___Toc643919_222507752">
            <w:r>
              <w:rPr>
                <w:webHidden/>
                <w:rStyle w:val="IndexLink"/>
                <w:rtl w:val="true"/>
              </w:rPr>
              <w:t>منابع برای پژوهش</w:t>
            </w:r>
            <w:r>
              <w:rPr>
                <w:rStyle w:val="IndexLink"/>
                <w:rtl w:val="true"/>
              </w:rPr>
              <w:tab/>
            </w:r>
            <w:r>
              <w:rPr>
                <w:rStyle w:val="IndexLink"/>
              </w:rPr>
              <w:t>256</w:t>
            </w:r>
          </w:hyperlink>
        </w:p>
        <w:p>
          <w:pPr>
            <w:pStyle w:val="Contents2"/>
            <w:tabs>
              <w:tab w:val="clear" w:pos="8743"/>
              <w:tab w:val="right" w:pos="9026" w:leader="dot"/>
            </w:tabs>
            <w:rPr/>
          </w:pPr>
          <w:hyperlink w:anchor="__RefHeading___Toc643921_222507752">
            <w:r>
              <w:rPr>
                <w:webHidden/>
                <w:rStyle w:val="IndexLink"/>
                <w:rtl w:val="true"/>
              </w:rPr>
              <w:t>درس پانزدهم</w:t>
            </w:r>
            <w:r>
              <w:rPr>
                <w:rStyle w:val="IndexLink"/>
                <w:rtl w:val="true"/>
              </w:rPr>
              <w:t xml:space="preserve">: </w:t>
            </w:r>
            <w:r>
              <w:rPr>
                <w:rStyle w:val="IndexLink"/>
                <w:rtl w:val="true"/>
              </w:rPr>
              <w:t xml:space="preserve">کتاب‌شناسی مهدویّت </w:t>
            </w:r>
            <w:r>
              <w:rPr>
                <w:rStyle w:val="IndexLink"/>
                <w:rtl w:val="true"/>
              </w:rPr>
              <w:t>(</w:t>
            </w:r>
            <w:r>
              <w:rPr>
                <w:rStyle w:val="IndexLink"/>
              </w:rPr>
              <w:t>4</w:t>
            </w:r>
            <w:r>
              <w:rPr>
                <w:rStyle w:val="IndexLink"/>
                <w:rtl w:val="true"/>
              </w:rPr>
              <w:t>)</w:t>
              <w:tab/>
            </w:r>
            <w:r>
              <w:rPr>
                <w:rStyle w:val="IndexLink"/>
              </w:rPr>
              <w:t>257</w:t>
            </w:r>
          </w:hyperlink>
        </w:p>
        <w:p>
          <w:pPr>
            <w:pStyle w:val="Contents3"/>
            <w:tabs>
              <w:tab w:val="clear" w:pos="8459"/>
              <w:tab w:val="right" w:pos="9026" w:leader="dot"/>
            </w:tabs>
            <w:rPr/>
          </w:pPr>
          <w:hyperlink w:anchor="__RefHeading___Toc643923_222507752">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643925_222507752">
            <w:r>
              <w:rPr>
                <w:webHidden/>
                <w:rStyle w:val="IndexLink"/>
                <w:rtl w:val="true"/>
              </w:rPr>
              <w:t>پیش‌درآمد</w:t>
            </w:r>
            <w:r>
              <w:rPr>
                <w:rStyle w:val="IndexLink"/>
                <w:rtl w:val="true"/>
              </w:rPr>
              <w:tab/>
            </w:r>
            <w:r>
              <w:rPr>
                <w:rStyle w:val="IndexLink"/>
              </w:rPr>
              <w:t>258</w:t>
            </w:r>
          </w:hyperlink>
        </w:p>
        <w:p>
          <w:pPr>
            <w:pStyle w:val="Contents3"/>
            <w:tabs>
              <w:tab w:val="clear" w:pos="8459"/>
              <w:tab w:val="right" w:pos="9026" w:leader="dot"/>
            </w:tabs>
            <w:rPr/>
          </w:pPr>
          <w:hyperlink w:anchor="__RefHeading___Toc643927_222507752">
            <w:r>
              <w:rPr>
                <w:webHidden/>
                <w:rStyle w:val="IndexLink"/>
                <w:rtl w:val="true"/>
              </w:rPr>
              <w:t>آفتاب ولایت</w:t>
            </w:r>
            <w:r>
              <w:rPr>
                <w:rStyle w:val="IndexLink"/>
                <w:rtl w:val="true"/>
              </w:rPr>
              <w:tab/>
            </w:r>
            <w:r>
              <w:rPr>
                <w:rStyle w:val="IndexLink"/>
              </w:rPr>
              <w:t>259</w:t>
            </w:r>
          </w:hyperlink>
        </w:p>
        <w:p>
          <w:pPr>
            <w:pStyle w:val="Contents3"/>
            <w:tabs>
              <w:tab w:val="clear" w:pos="8459"/>
              <w:tab w:val="right" w:pos="9026" w:leader="dot"/>
            </w:tabs>
            <w:rPr/>
          </w:pPr>
          <w:hyperlink w:anchor="__RefHeading___Toc643929_222507752">
            <w:r>
              <w:rPr>
                <w:webHidden/>
                <w:rStyle w:val="IndexLink"/>
                <w:rtl w:val="true"/>
              </w:rPr>
              <w:t xml:space="preserve">شبهات و ردود </w:t>
            </w:r>
            <w:r>
              <w:rPr>
                <w:rStyle w:val="IndexLink"/>
                <w:rtl w:val="true"/>
              </w:rPr>
              <w:t>(</w:t>
            </w:r>
            <w:r>
              <w:rPr>
                <w:rStyle w:val="IndexLink"/>
                <w:rtl w:val="true"/>
              </w:rPr>
              <w:t>پاسخ به شبهات احمد الکاتب</w:t>
            </w:r>
            <w:r>
              <w:rPr>
                <w:rStyle w:val="IndexLink"/>
                <w:rtl w:val="true"/>
              </w:rPr>
              <w:t>)</w:t>
              <w:tab/>
            </w:r>
            <w:r>
              <w:rPr>
                <w:rStyle w:val="IndexLink"/>
              </w:rPr>
              <w:t>261</w:t>
            </w:r>
          </w:hyperlink>
        </w:p>
        <w:p>
          <w:pPr>
            <w:pStyle w:val="Contents3"/>
            <w:tabs>
              <w:tab w:val="clear" w:pos="8459"/>
              <w:tab w:val="right" w:pos="9026" w:leader="dot"/>
            </w:tabs>
            <w:rPr/>
          </w:pPr>
          <w:hyperlink w:anchor="__RefHeading___Toc643931_222507752">
            <w:r>
              <w:rPr>
                <w:webHidden/>
                <w:rStyle w:val="IndexLink"/>
                <w:rtl w:val="true"/>
              </w:rPr>
              <w:t>مهدی عجل‌الله‌فرجه، ده انقلاب در یک انقلاب</w:t>
            </w:r>
            <w:r>
              <w:rPr>
                <w:rStyle w:val="IndexLink"/>
                <w:rtl w:val="true"/>
              </w:rPr>
              <w:tab/>
            </w:r>
            <w:r>
              <w:rPr>
                <w:rStyle w:val="IndexLink"/>
              </w:rPr>
              <w:t>263</w:t>
            </w:r>
          </w:hyperlink>
        </w:p>
        <w:p>
          <w:pPr>
            <w:pStyle w:val="Contents3"/>
            <w:tabs>
              <w:tab w:val="clear" w:pos="8459"/>
              <w:tab w:val="right" w:pos="9026" w:leader="dot"/>
            </w:tabs>
            <w:rPr/>
          </w:pPr>
          <w:hyperlink w:anchor="__RefHeading___Toc643933_222507752">
            <w:r>
              <w:rPr>
                <w:webHidden/>
                <w:rStyle w:val="IndexLink"/>
                <w:rtl w:val="true"/>
              </w:rPr>
              <w:t>خط امان</w:t>
            </w:r>
            <w:r>
              <w:rPr>
                <w:rStyle w:val="IndexLink"/>
                <w:rtl w:val="true"/>
              </w:rPr>
              <w:tab/>
            </w:r>
            <w:r>
              <w:rPr>
                <w:rStyle w:val="IndexLink"/>
              </w:rPr>
              <w:t>264</w:t>
            </w:r>
          </w:hyperlink>
        </w:p>
        <w:p>
          <w:pPr>
            <w:pStyle w:val="Contents3"/>
            <w:tabs>
              <w:tab w:val="clear" w:pos="8459"/>
              <w:tab w:val="right" w:pos="9026" w:leader="dot"/>
            </w:tabs>
            <w:rPr/>
          </w:pPr>
          <w:hyperlink w:anchor="__RefHeading___Toc643935_222507752">
            <w:r>
              <w:rPr>
                <w:webHidden/>
                <w:rStyle w:val="IndexLink"/>
                <w:rtl w:val="true"/>
              </w:rPr>
              <w:t>گونه‌شناسی اندیشة منجی موعود در ادیان</w:t>
            </w:r>
            <w:r>
              <w:rPr>
                <w:rStyle w:val="IndexLink"/>
                <w:rtl w:val="true"/>
              </w:rPr>
              <w:tab/>
            </w:r>
            <w:r>
              <w:rPr>
                <w:rStyle w:val="IndexLink"/>
              </w:rPr>
              <w:t>266</w:t>
            </w:r>
          </w:hyperlink>
        </w:p>
        <w:p>
          <w:pPr>
            <w:pStyle w:val="Contents3"/>
            <w:tabs>
              <w:tab w:val="clear" w:pos="8459"/>
              <w:tab w:val="right" w:pos="9026" w:leader="dot"/>
            </w:tabs>
            <w:rPr/>
          </w:pPr>
          <w:hyperlink w:anchor="__RefHeading___Toc643937_222507752">
            <w:r>
              <w:rPr>
                <w:webHidden/>
                <w:rStyle w:val="IndexLink"/>
                <w:rtl w:val="true"/>
              </w:rPr>
              <w:t xml:space="preserve">آیندة جهان </w:t>
            </w:r>
            <w:r>
              <w:rPr>
                <w:rStyle w:val="IndexLink"/>
                <w:rtl w:val="true"/>
              </w:rPr>
              <w:t>(</w:t>
            </w:r>
            <w:r>
              <w:rPr>
                <w:rStyle w:val="IndexLink"/>
                <w:rtl w:val="true"/>
              </w:rPr>
              <w:t>دولت و سیاست در اندیشة مهدویت</w:t>
            </w:r>
            <w:r>
              <w:rPr>
                <w:rStyle w:val="IndexLink"/>
                <w:rtl w:val="true"/>
              </w:rPr>
              <w:t>)</w:t>
              <w:tab/>
            </w:r>
            <w:r>
              <w:rPr>
                <w:rStyle w:val="IndexLink"/>
              </w:rPr>
              <w:t>268</w:t>
            </w:r>
          </w:hyperlink>
        </w:p>
        <w:p>
          <w:pPr>
            <w:pStyle w:val="Contents3"/>
            <w:tabs>
              <w:tab w:val="clear" w:pos="8459"/>
              <w:tab w:val="right" w:pos="9026" w:leader="dot"/>
            </w:tabs>
            <w:rPr/>
          </w:pPr>
          <w:hyperlink w:anchor="__RefHeading___Toc643939_222507752">
            <w:r>
              <w:rPr>
                <w:webHidden/>
                <w:rStyle w:val="IndexLink"/>
                <w:rtl w:val="true"/>
              </w:rPr>
              <w:t>شناخت امام، یا راه رهایی از مرگ جاهلی</w:t>
            </w:r>
            <w:r>
              <w:rPr>
                <w:rStyle w:val="IndexLink"/>
                <w:rtl w:val="true"/>
              </w:rPr>
              <w:tab/>
            </w:r>
            <w:r>
              <w:rPr>
                <w:rStyle w:val="IndexLink"/>
              </w:rPr>
              <w:t>269</w:t>
            </w:r>
          </w:hyperlink>
        </w:p>
        <w:p>
          <w:pPr>
            <w:pStyle w:val="Contents3"/>
            <w:tabs>
              <w:tab w:val="clear" w:pos="8459"/>
              <w:tab w:val="right" w:pos="9026" w:leader="dot"/>
            </w:tabs>
            <w:rPr/>
          </w:pPr>
          <w:hyperlink w:anchor="__RefHeading___Toc643941_222507752">
            <w:r>
              <w:rPr>
                <w:webHidden/>
                <w:rStyle w:val="IndexLink"/>
                <w:rtl w:val="true"/>
              </w:rPr>
              <w:t>در جستجوی قائم علیه‌السلام</w:t>
            </w:r>
            <w:r>
              <w:rPr>
                <w:rStyle w:val="IndexLink"/>
                <w:rtl w:val="true"/>
              </w:rPr>
              <w:tab/>
            </w:r>
            <w:r>
              <w:rPr>
                <w:rStyle w:val="IndexLink"/>
              </w:rPr>
              <w:t>270</w:t>
            </w:r>
          </w:hyperlink>
        </w:p>
        <w:p>
          <w:pPr>
            <w:pStyle w:val="Contents3"/>
            <w:tabs>
              <w:tab w:val="clear" w:pos="8459"/>
              <w:tab w:val="right" w:pos="9026" w:leader="dot"/>
            </w:tabs>
            <w:rPr/>
          </w:pPr>
          <w:hyperlink w:anchor="__RefHeading___Toc643943_222507752">
            <w:r>
              <w:rPr>
                <w:webHidden/>
                <w:rStyle w:val="IndexLink"/>
                <w:rtl w:val="true"/>
              </w:rPr>
              <w:t>امام مهدی علیه‌السلام در آینة قلم</w:t>
            </w:r>
            <w:r>
              <w:rPr>
                <w:rStyle w:val="IndexLink"/>
                <w:rtl w:val="true"/>
              </w:rPr>
              <w:tab/>
            </w:r>
            <w:r>
              <w:rPr>
                <w:rStyle w:val="IndexLink"/>
              </w:rPr>
              <w:t>271</w:t>
            </w:r>
          </w:hyperlink>
        </w:p>
        <w:p>
          <w:pPr>
            <w:pStyle w:val="Contents2"/>
            <w:tabs>
              <w:tab w:val="clear" w:pos="8743"/>
              <w:tab w:val="right" w:pos="9026" w:leader="dot"/>
            </w:tabs>
            <w:rPr/>
          </w:pPr>
          <w:hyperlink w:anchor="__RefHeading___Toc643945_222507752">
            <w:r>
              <w:rPr>
                <w:webHidden/>
                <w:rStyle w:val="IndexLink"/>
                <w:rtl w:val="true"/>
              </w:rPr>
              <w:t>منابع و مآخذ</w:t>
            </w:r>
            <w:r>
              <w:rPr>
                <w:rStyle w:val="IndexLink"/>
                <w:rtl w:val="true"/>
              </w:rPr>
              <w:tab/>
            </w:r>
            <w:r>
              <w:rPr>
                <w:rStyle w:val="IndexLink"/>
              </w:rPr>
              <w:t>273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58_166587"/>
      <w:bookmarkStart w:id="1" w:name="pg12658_166587"/>
      <w:bookmarkEnd w:id="1"/>
    </w:p>
    <w:p>
      <w:pPr>
        <w:pStyle w:val="Heading2"/>
        <w:numPr>
          <w:ilvl w:val="1"/>
          <w:numId w:val="1"/>
        </w:numPr>
        <w:rPr/>
      </w:pPr>
      <w:bookmarkStart w:id="2" w:name="pg12658_166587"/>
      <w:bookmarkStart w:id="3" w:name="__RefHeading___Toc643257_2225077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سلیمیان، خدامراد،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درسنامه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خدامراد سلیمیان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علیه‌السلام، مرکز تخصصی مهدویت،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تا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جهانی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۱۱۴۶۲۴۹</w:t>
      </w:r>
    </w:p>
    <w:p>
      <w:pPr>
        <w:pStyle w:val="Heading2"/>
        <w:numPr>
          <w:ilvl w:val="1"/>
          <w:numId w:val="1"/>
        </w:numPr>
        <w:rPr/>
      </w:pPr>
      <w:bookmarkStart w:id="5" w:name="__RefHeading___Toc643259_2225077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درسنامه مهدویّت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عجل‌الله‌فرجه و حکومت جهانی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خدامراد سلیمیان </w:t>
      </w:r>
    </w:p>
    <w:p>
      <w:pPr>
        <w:pStyle w:val="BookText"/>
        <w:rPr/>
      </w:pPr>
      <w:r>
        <w:rPr>
          <w:rFonts w:ascii="IRNazanin" w:hAnsi="IRNazanin" w:eastAsia="IRNazanin"/>
          <w:color w:val="111111"/>
          <w:sz w:val="28"/>
          <w:sz w:val="28"/>
          <w:szCs w:val="28"/>
          <w:rtl w:val="true"/>
          <w:lang w:bidi="fa-IR"/>
        </w:rPr>
        <w:t xml:space="preserve">درسنامة مهدویّت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خدامراد سلیمیان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ـ تابستان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 عجل‌الله‌فرجه،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عجل‌الله‌فرجه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www.mahdi313.com</w:t>
      </w:r>
    </w:p>
    <w:p>
      <w:pPr>
        <w:pStyle w:val="BookText"/>
        <w:rPr/>
      </w:pPr>
      <w:r>
        <w:rPr>
          <w:rFonts w:ascii="IRNazanin" w:hAnsi="IRNazanin" w:eastAsia="IRNazanin"/>
          <w:color w:val="111111"/>
          <w:sz w:val="28"/>
          <w:sz w:val="28"/>
          <w:szCs w:val="28"/>
          <w:rtl w:val="true"/>
          <w:lang w:bidi="fa-IR"/>
        </w:rPr>
        <w:t>با قدردانی و تشکر از همکارانی که در تولید این اثر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محترم شورای کتاب حجج اسلام مجتبی کلباسی، محمدصابر جعفری، مهدی یوسفیان، محمدرضا فؤادیان و آقایان احمد مسعودیان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دانش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 کسانی که ما را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 انتشارات بنیاد فرهنگی حضرت مهدی موعود عجل‌الله‌فرجه  حسین احمدی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 فایل</w:t>
      </w:r>
      <w:r>
        <w:rPr>
          <w:rFonts w:eastAsia="IRNazanin" w:cs="IRNazanin"/>
          <w:color w:val="111111"/>
          <w:sz w:val="28"/>
          <w:szCs w:val="28"/>
          <w:rtl w:val="true"/>
          <w:lang w:bidi="fa-IR"/>
        </w:rPr>
        <w:t xml:space="preserve">: </w:t>
      </w:r>
      <w:r>
        <w:rPr>
          <w:rFonts w:eastAsia="IRNazanin" w:cs="IRNazanin"/>
          <w:color w:val="111111"/>
          <w:sz w:val="28"/>
          <w:szCs w:val="28"/>
          <w:lang w:bidi="fa-IR"/>
        </w:rPr>
        <w:t>09260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2658_166593"/>
    </w:p>
    <w:p>
      <w:pPr>
        <w:pStyle w:val="Heading2"/>
        <w:numPr>
          <w:ilvl w:val="1"/>
          <w:numId w:val="1"/>
        </w:numPr>
        <w:rPr/>
      </w:pPr>
      <w:bookmarkStart w:id="8" w:name="__RefHeading___Toc643261_22250775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درس اول</w:t>
      </w:r>
    </w:p>
    <w:p>
      <w:pPr>
        <w:pStyle w:val="BookText"/>
        <w:rPr/>
      </w:pPr>
      <w:r>
        <w:rPr>
          <w:rFonts w:ascii="IRNazanin" w:hAnsi="IRNazanin" w:eastAsia="IRNazanin"/>
          <w:color w:val="111111"/>
          <w:sz w:val="28"/>
          <w:sz w:val="28"/>
          <w:szCs w:val="28"/>
          <w:rtl w:val="true"/>
          <w:lang w:bidi="fa-IR"/>
        </w:rPr>
        <w:t xml:space="preserve">حکومت حضرت مهدی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معناشناسی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از نگاه لغت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از نگاه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واژگان حکومت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حکومت حضرت مهدی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بودن حکومت حضرت مهدی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حکومت حضرت مهدی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حکومت حضرت مهدی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برای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دوم</w:t>
      </w:r>
    </w:p>
    <w:p>
      <w:pPr>
        <w:pStyle w:val="BookText"/>
        <w:rPr/>
      </w:pPr>
      <w:r>
        <w:rPr>
          <w:rFonts w:ascii="IRNazanin" w:hAnsi="IRNazanin" w:eastAsia="IRNazanin"/>
          <w:color w:val="111111"/>
          <w:sz w:val="28"/>
          <w:sz w:val="28"/>
          <w:szCs w:val="28"/>
          <w:rtl w:val="true"/>
          <w:lang w:bidi="fa-IR"/>
        </w:rPr>
        <w:t>گسترة حکومت حضرت مهدی علیه‌السلام</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ادلة جهانی‌بودن حکومت مهدی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معصومان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نسبت جهانی‌شدن و حکومت جهانی حضرت مهدی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حکومت واحد جهانی حضرت مهدی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مقایسه‌و تمایز</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امتیازات حکومت جهانی مهدوی بر جهانی‌شدن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منابع برای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درس سوم</w:t>
      </w:r>
    </w:p>
    <w:p>
      <w:pPr>
        <w:pStyle w:val="BookText"/>
        <w:rPr/>
      </w:pPr>
      <w:r>
        <w:rPr>
          <w:rFonts w:ascii="IRNazanin" w:hAnsi="IRNazanin" w:eastAsia="IRNazanin"/>
          <w:color w:val="111111"/>
          <w:sz w:val="28"/>
          <w:sz w:val="28"/>
          <w:szCs w:val="28"/>
          <w:rtl w:val="true"/>
          <w:lang w:bidi="fa-IR"/>
        </w:rPr>
        <w:t>نظام اعتقادی حکومت مهدی علیه‌السلام</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اسلام برای همه و همیشه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دین در عصر ظهور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دستورالعمل‌های نوین در عصر ظهور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پیروان دیگر ادیان در عصر ظهور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دیدگاه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پیروان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 جزیه اهل کتاب</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داوری میان اهل کتاب با کتاب آنها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شباهت سیرة مهدی  با سیره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پیروان ادیان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برای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چهارم</w:t>
      </w:r>
    </w:p>
    <w:p>
      <w:pPr>
        <w:pStyle w:val="BookText"/>
        <w:rPr/>
      </w:pPr>
      <w:r>
        <w:rPr>
          <w:rFonts w:ascii="IRNazanin" w:hAnsi="IRNazanin" w:eastAsia="IRNazanin"/>
          <w:color w:val="111111"/>
          <w:sz w:val="28"/>
          <w:sz w:val="28"/>
          <w:szCs w:val="28"/>
          <w:rtl w:val="true"/>
          <w:lang w:bidi="fa-IR"/>
        </w:rPr>
        <w:t>حکومت حضرت مهدی علیه‌السلام و عدالت</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مفهوم شناسی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عدالت در آموزه‌های دینی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عدالت در دولت مهدی موعود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راهبردهای عدالت‌گستری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افزایش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گسترش انفاق</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توزیع دادگرانه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برداشتن افزون‌خواهی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احساس بی‌نیازی در مردم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گسترة عدالت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گسترة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گسترة جغرافیایی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گسترة مصداقی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داوری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عرصه اقتصاد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عرصه سیاست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عرصه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آثار و برکات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برای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پنجم</w:t>
      </w:r>
    </w:p>
    <w:p>
      <w:pPr>
        <w:pStyle w:val="BookText"/>
        <w:rPr/>
      </w:pPr>
      <w:r>
        <w:rPr>
          <w:rFonts w:ascii="IRNazanin" w:hAnsi="IRNazanin" w:eastAsia="IRNazanin"/>
          <w:color w:val="111111"/>
          <w:sz w:val="28"/>
          <w:sz w:val="28"/>
          <w:szCs w:val="28"/>
          <w:rtl w:val="true"/>
          <w:lang w:bidi="fa-IR"/>
        </w:rPr>
        <w:t>نظام امنیتی حکومت امام مهدی علیه‌السلام</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از نگاه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زمینه‌های ترس، دلهره و ناامنی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نقش امام در امنیت روانی و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حکومت مهدوی و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گسترة امنیت در حکومت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فردی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عقیدتی ـ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داوری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هم‌زیستی مسالمت‌آمیز</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منابع برای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درس ششم</w:t>
      </w:r>
    </w:p>
    <w:p>
      <w:pPr>
        <w:pStyle w:val="BookText"/>
        <w:rPr/>
      </w:pPr>
      <w:r>
        <w:rPr>
          <w:rFonts w:ascii="IRNazanin" w:hAnsi="IRNazanin" w:eastAsia="IRNazanin"/>
          <w:color w:val="111111"/>
          <w:sz w:val="28"/>
          <w:sz w:val="28"/>
          <w:szCs w:val="28"/>
          <w:rtl w:val="true"/>
          <w:lang w:bidi="fa-IR"/>
        </w:rPr>
        <w:t xml:space="preserve">نظام سیاسی حکومت امام مهدی علیه‌السلام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مفهوم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لغت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تفاوت مشروعیت در عرف سیاسی با مشروعیت در اندیشه سیاسی اسلام </w:t>
      </w:r>
      <w:r>
        <w:rPr>
          <w:rFonts w:eastAsia="IRNazanin" w:cs="IRNazanin"/>
          <w:color w:val="111111"/>
          <w:sz w:val="28"/>
          <w:szCs w:val="28"/>
          <w:lang w:bidi="fa-IR"/>
        </w:rPr>
        <w:t>106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مشروعیت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الهی از جنبه هستی شناختی و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الهی از جنبه انسان شناختی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امام مهدی علیه‌السلام؛ مشروعیت الهی، مقبولیت مردمی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پذیرش حاکمیت، اجابت درخواست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همکاری همگانی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ولی و مولی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مردم بر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حضرت بر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نقش مدیریتی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کارگزاران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گروه‌های کارگزاران از نگاه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منابع برای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درس هفتم</w:t>
      </w:r>
    </w:p>
    <w:p>
      <w:pPr>
        <w:pStyle w:val="BookText"/>
        <w:rPr/>
      </w:pPr>
      <w:r>
        <w:rPr>
          <w:rFonts w:ascii="IRNazanin" w:hAnsi="IRNazanin" w:eastAsia="IRNazanin"/>
          <w:color w:val="111111"/>
          <w:sz w:val="28"/>
          <w:sz w:val="28"/>
          <w:szCs w:val="28"/>
          <w:rtl w:val="true"/>
          <w:lang w:bidi="fa-IR"/>
        </w:rPr>
        <w:t xml:space="preserve">نظام سیاسی حکومت امام مهدی علیه‌السلام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مردم و حکومت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بیعت، مهم‌ترین سازوکار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پایه‌های بیعت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چگونگی و چیستی بیعت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بیعت ورأی‌دادن، شباهت‌ها و تفاوت‌ها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آثار بیعت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ابراز آمادگی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پایبندی به وظیفه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پافشاری بر وفاداری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بیعت با امام مهدی علیه‌السلام، از نگاه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بیعت‌کنندگان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جبرئیل فرشتة وحی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یاران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سیزده نفر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بیعت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 و مفاد بیعت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یک بررسی کوتاه در مفاد بیعت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منابع برای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درس هشتم</w:t>
      </w:r>
    </w:p>
    <w:p>
      <w:pPr>
        <w:pStyle w:val="BookText"/>
        <w:rPr/>
      </w:pPr>
      <w:r>
        <w:rPr>
          <w:rFonts w:ascii="IRNazanin" w:hAnsi="IRNazanin" w:eastAsia="IRNazanin"/>
          <w:color w:val="111111"/>
          <w:sz w:val="28"/>
          <w:sz w:val="28"/>
          <w:szCs w:val="28"/>
          <w:rtl w:val="true"/>
          <w:lang w:bidi="fa-IR"/>
        </w:rPr>
        <w:t>نظام تعلیم و تربیت در حکومت مهدی علیه‌السلام</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درآمدی بر نظام تعلیم و تربیت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گسترش خردورزی در عصر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عقل از نگاه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عقل از نگاه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سازوکارهای تعلیم و تربیت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شکوفاسازی عقول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فرهنگ‌سازی جامع</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پالایش ناپاکی‌های درونی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شکوفایی سرشت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و تثبیت ارزش‌های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و نظارت فراگیر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باورهای اعتقادی و ایمانی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غنای واقعی در بشر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به‌سازی اخلاق کارگزاران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اندیشة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وحدت و الفت انسان‌ها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فراگیری و همگانی‌شدن تعلیم و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برای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نهم</w:t>
      </w:r>
    </w:p>
    <w:p>
      <w:pPr>
        <w:pStyle w:val="BookText"/>
        <w:rPr/>
      </w:pPr>
      <w:r>
        <w:rPr>
          <w:rFonts w:ascii="IRNazanin" w:hAnsi="IRNazanin" w:eastAsia="IRNazanin"/>
          <w:color w:val="111111"/>
          <w:sz w:val="28"/>
          <w:sz w:val="28"/>
          <w:szCs w:val="28"/>
          <w:rtl w:val="true"/>
          <w:lang w:bidi="fa-IR"/>
        </w:rPr>
        <w:t>مهدویّت و مستشرقان</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تعاریف متفاوت از واژة شرق</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شرق‌شناسی در فرهنگ لغت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تعریف اصطلاحی شرق‌شناسی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تقسیم بندی مستشرقین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اسلام‌شناسان غربی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برخی زمینه‌های ورود مستشرقین به موضوع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فرهنگ و تمدن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استعماری و تبشیری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اندیشمندانه به آموزه‌های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نهضت‌های اصلاح‌طلبانه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کلان به موضوع منجی و جامعة آرمانی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جنبه‌های مثبت و منفی در پژوهش مستشرقان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عرصه‌های مهدویت‌پژوهی در نزد مستشرقان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منابع برای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درس دهم</w:t>
      </w:r>
    </w:p>
    <w:p>
      <w:pPr>
        <w:pStyle w:val="BookText"/>
        <w:rPr/>
      </w:pPr>
      <w:r>
        <w:rPr>
          <w:rFonts w:ascii="IRNazanin" w:hAnsi="IRNazanin" w:eastAsia="IRNazanin"/>
          <w:color w:val="111111"/>
          <w:sz w:val="28"/>
          <w:sz w:val="28"/>
          <w:szCs w:val="28"/>
          <w:rtl w:val="true"/>
          <w:lang w:bidi="fa-IR"/>
        </w:rPr>
        <w:t>زمینه‌شناسی جریانهای انحرافی  در مهدویت</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پیدایش جریان‌های انحرافی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پدیدآورنده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توده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آشفتگی‌های اجتماعی و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خواهی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نابسامانی و اعتبار کم برخی متون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استمراربخش</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اباحی‌گری و تکلیف‌گریزی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برخی خواص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برخی خواص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حکایات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جریان‌های انحرافی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گریزی و اهتمام افراطی به امور احساسی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درآمیختن حق و باطل</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دورکردن مردم از مرجعیت و روحانیت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خرافه پردازی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عوامزدگی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خودمرکزی و مریدپروری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از سخنان چندپهلو</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دادن شأن و جایگاه دروغین به هوادارن خود</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بی‌ثباتی در باورها و پندارها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خواسته‌های نفسانی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سوءاستفاده از آشفتگی‌های سیاسی و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ویژگی‌های خاص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پندارهای ادعایی عجیب وغریب</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پی‌آمدهای جریان‌های انحرافی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بی‌ثباتی در باورهای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سرمایه‌های فکری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راهبرد رودررویی با جریان‌های انحرافی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رفتارهای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آگاهی‌های 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سامانة مهندسی فراگیر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بر خردورزی و پرهیز از خرافات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 عملی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افشاگری و پدید‌آوردن حساسیت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کارهای تبلیغی جریان‌ها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برای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یازدهم</w:t>
      </w:r>
    </w:p>
    <w:p>
      <w:pPr>
        <w:pStyle w:val="BookText"/>
        <w:rPr/>
      </w:pPr>
      <w:r>
        <w:rPr>
          <w:rFonts w:ascii="IRNazanin" w:hAnsi="IRNazanin" w:eastAsia="IRNazanin"/>
          <w:color w:val="111111"/>
          <w:sz w:val="28"/>
          <w:sz w:val="28"/>
          <w:szCs w:val="28"/>
          <w:rtl w:val="true"/>
          <w:lang w:bidi="fa-IR"/>
        </w:rPr>
        <w:t xml:space="preserve">رجعت و رجعت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مفهوم‌شناسی واژه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از نگاه لغت</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معنای اصطلاحی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چیستی و چگونگی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جایگاه رجعت در اعتقادات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رجعت از نگاه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آثار تربیتی اعتقاد به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زمان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امکان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گزارش رجعت در امت‌های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منابع برای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درس دوازدهم</w:t>
      </w:r>
    </w:p>
    <w:p>
      <w:pPr>
        <w:pStyle w:val="BookText"/>
        <w:rPr/>
      </w:pPr>
      <w:r>
        <w:rPr>
          <w:rFonts w:ascii="IRNazanin" w:hAnsi="IRNazanin" w:eastAsia="IRNazanin"/>
          <w:color w:val="111111"/>
          <w:sz w:val="28"/>
          <w:sz w:val="28"/>
          <w:szCs w:val="28"/>
          <w:rtl w:val="true"/>
          <w:lang w:bidi="fa-IR"/>
        </w:rPr>
        <w:t xml:space="preserve">رجعت و رجعت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درآخرالزمان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رجعت در آخر 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ـ خروج دابة الارض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ـ زنده‌شدن برخی مردگان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ـ پیمان انبیا بر یاری پیامبر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ـ دو بار زنده‌شدن و دو بار مردن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ـ سوگند دشمنان اهل بیت بر زنده‌نشدن مردگان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رجعت‌کنندگان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پیامبر اکرم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علی‌علیه‌السلام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علیه‌السلام، اولین رجعت‌کننده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معصومین‌علیهم‌السلام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پیامبران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رجعت کننده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منابع برای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درس سیزدهم</w:t>
      </w:r>
    </w:p>
    <w:p>
      <w:pPr>
        <w:pStyle w:val="BookText"/>
        <w:rPr/>
      </w:pPr>
      <w:r>
        <w:rPr>
          <w:rFonts w:ascii="IRNazanin" w:hAnsi="IRNazanin" w:eastAsia="IRNazanin"/>
          <w:color w:val="111111"/>
          <w:sz w:val="28"/>
          <w:sz w:val="28"/>
          <w:szCs w:val="28"/>
          <w:rtl w:val="true"/>
          <w:lang w:bidi="fa-IR"/>
        </w:rPr>
        <w:t>رجعت، پرسشها و پاسخها</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سبب بازگشت از فعلیت</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همان تناسخ</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تفاوت رجعت با تناسخ</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کفار و مجرمین از اعمال بدشان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کیفر در رجعت و ناسازگاری با دنیا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رجعت با فلسفه معاد</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از عقاید یهودی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منافات رجعت با تلقین میت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در زمان رجعت</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منابع برای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درس چهاردهم</w:t>
      </w:r>
    </w:p>
    <w:p>
      <w:pPr>
        <w:pStyle w:val="BookText"/>
        <w:rPr/>
      </w:pPr>
      <w:r>
        <w:rPr>
          <w:rFonts w:ascii="IRNazanin" w:hAnsi="IRNazanin" w:eastAsia="IRNazanin"/>
          <w:color w:val="111111"/>
          <w:sz w:val="28"/>
          <w:sz w:val="28"/>
          <w:szCs w:val="28"/>
          <w:rtl w:val="true"/>
          <w:lang w:bidi="fa-IR"/>
        </w:rPr>
        <w:t>فرجام حضرت مهدی علیه‌السلام  و زندگی در دنیا</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طول عمر حضرت مهدی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از نگاه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نوح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بن مریم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خضر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از نگاه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عقل</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فرجام زندگی حضرت مهدی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مهدی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به مرگ طبیعی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جهان پس از حضرت مهدی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پیروان مکتب اهل بیت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منابع برای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درس پانزدهم</w:t>
      </w:r>
    </w:p>
    <w:p>
      <w:pPr>
        <w:pStyle w:val="BookText"/>
        <w:rPr/>
      </w:pPr>
      <w:r>
        <w:rPr>
          <w:rFonts w:ascii="IRNazanin" w:hAnsi="IRNazanin" w:eastAsia="IRNazanin"/>
          <w:color w:val="111111"/>
          <w:sz w:val="28"/>
          <w:sz w:val="28"/>
          <w:szCs w:val="28"/>
          <w:rtl w:val="true"/>
          <w:lang w:bidi="fa-IR"/>
        </w:rPr>
        <w:t xml:space="preserve">کتاب‌شناسی مهدویّت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آفتاب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شبهات و ردود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شبهات احمد الکاتب</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مهدی عجل‌الله‌فرجه، ده انقلاب در یک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خط امان</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گونه‌شناسی اندیشة منجی موعود در ادیان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آیندة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سیاست در اندیشة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شناخت امام، یا راه رهایی از مرگ جاهلی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در جستجوی قائم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امام مهدی علیه‌السلام در آینة قلم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bookmarkStart w:id="10" w:name="pg12658_166614"/>
    </w:p>
    <w:p>
      <w:pPr>
        <w:pStyle w:val="Heading2"/>
        <w:numPr>
          <w:ilvl w:val="1"/>
          <w:numId w:val="1"/>
        </w:numPr>
        <w:rPr/>
      </w:pPr>
      <w:bookmarkStart w:id="11" w:name="__RefHeading___Toc643263_222507752"/>
      <w:bookmarkStart w:id="12" w:name="_Toc4"/>
      <w:bookmarkEnd w:id="10"/>
      <w:bookmarkEnd w:id="11"/>
      <w:r>
        <w:rPr>
          <w:rtl w:val="true"/>
        </w:rPr>
        <w:t>پیشگفتار</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کَتَبْنَا فی الزَّبُورِ مِن بَعْدِ الذِّکْرِ أَنَّ الْأَرْضَ یَرِثُهَا عِبَادِی الصَّلِحُونَ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حقیقت، در زبور پس از تورات نوشتیم که زمین را بندگان شایسته ما به ارث خواهند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جهانی واحد از دیرباز یکی از آرمان‌های انسان‌ها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با ارائة فراگیرترین الگو از این حکومت، در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در سخنان معصومان علیه‌السلام، این نیاز را به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شکل،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آرمان‌هایی چون عدل جهانی و حکومت جهانی، دیرینه‌ای به درازای تاریخ دارد؛ اما در سده گذشته به سبب برخی پدیده‌های ویژة سیاسی، فرهنگی و اجتماعی ـ به‌ویژه گسترش فن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ارتباطات ـ آرمان جهانی‌شدن، فراگیر و تقــویت شده و هر چه بیشتر عملی‌تــر بــه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جنبش‌های اسلامی امروزین نیز، بار دیگر آرمان دیرین جهانی‌شدن دین و چیره‌شدن اسلام با توان تمام مطرح شده و مفاهیمی چون دین جهانی، عدل جهانی، حکومت جهانی یا بین‌الملل اسلامی و مانند آن گسترش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آرمان‌های یادشده در میان مسلمانان و پیروان اهل بیت علیهم‌السلام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در سطح گسترده‌تر مطرح و تقویت شده و اکنون در دوران پس از پیروزی انقلاب اسلامی و برپایی جمهوری اسلامی در ایران، از آن آرمان‌ها ـ از جمله حکومت واحد جهانی ـ تبلیغ می‌شود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موضوعاتی که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در دوران معاصر نیازمند بررسی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آگاهانه و کارشناسانة بیشتری است، بحث از حکومت جهانی حضرت مهدی علیه‌السلام و مباحث </w:t>
      </w:r>
    </w:p>
    <w:p>
      <w:pPr>
        <w:pStyle w:val="BookText"/>
        <w:rPr/>
      </w:pPr>
      <w:r>
        <w:rPr>
          <w:rFonts w:ascii="IRNazanin" w:hAnsi="IRNazanin" w:eastAsia="IRNazanin"/>
          <w:color w:val="111111"/>
          <w:sz w:val="28"/>
          <w:sz w:val="28"/>
          <w:szCs w:val="28"/>
          <w:rtl w:val="true"/>
          <w:lang w:bidi="fa-IR"/>
        </w:rPr>
        <w:t>مربوط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بازشناخت ویژگی‌ها و شاخصه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باور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ما را در نشان‌دادن این اعتقاد سترگ به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مندان مشتاق در جهان کنونی،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گذشتة تاریخ این بحث، افراد فراوانی با کوشش و پشتکار بدان پرداخته‌اند، اما همچنان جای سخن و پژوهش در 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بررسی‌های ژرف در سخنان ارزشمند پیشوایان معصوم علیهم‌السلام، می‌تواند افق‌های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را فراروی مشتاقان و پژوهندگان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نیز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تلاش‌های شایسته در این گستره، آثار گرانسنگی را به دست داده است، ولی یکی از کاستی‌های این بحث، متنی آموزشی فراگیر برای انسجام‌بخشی به بررسی‌های موضوعی این مباحث است که جای آن بسی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اینک پیش روی شما خوانندة گرامی است، بخش پایانی از مجموعة چهارجلدی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درسنامة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علیه‌السلام و حکومت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مباحث مربوط به نورانی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پرنشاط‌ترین فصل زندگی انسان روی کرة خاکی به بحث و بررسی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که همة پیامبران بزرگ خداوند به آن نوید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یاری خداوند پیش از این در جلد نخست،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علیه‌السلام از ولادت تا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بحث و بررسی مهدویّت از آغاز پدیدارشدن، تا شروع امامت حضرت مهدی علیه‌السلام، و در جلد دوم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علیه‌السلام و دوران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بحث در بارة موضوعات مربوط به دوران غیبت حضرت مهدی علیه‌السلام و در جلد سوم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علیه‌السلام از ظهور تا حکومت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بحث‌های مربوط، پرداختم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در اینجا بر خود بایسته می‌دانم سپاسگزاری خود را از همة اساتید بزرگواری که با راهنمایی‌ها و همراهی خود، این کمترین را یاری دادند، به‌ویژه از دکتر سید رضی موسوی گیلانی و حجج اسلام و المسلمین حمید سعادت، جواد اسحاقیان، عباس خادمیان، رحیم کارگر، علی مصلحی و محمد رضا نصوری اعلام کرده، از همة گرامیان در بنیاد ارزشمند فرهنگی حضرت مهدی موعود علیه‌السلام ـ که از خدمات ماندگار </w:t>
      </w:r>
    </w:p>
    <w:p>
      <w:pPr>
        <w:pStyle w:val="BookText"/>
        <w:rPr/>
      </w:pPr>
      <w:r>
        <w:rPr>
          <w:rFonts w:ascii="IRNazanin" w:hAnsi="IRNazanin" w:eastAsia="IRNazanin"/>
          <w:color w:val="111111"/>
          <w:sz w:val="28"/>
          <w:sz w:val="28"/>
          <w:szCs w:val="28"/>
          <w:rtl w:val="true"/>
          <w:lang w:bidi="fa-IR"/>
        </w:rPr>
        <w:t>حجة الاسلام و المسلمین قرائتی و دوستانشان است ـ و نیز مرکز تخصصی مهدویّت ـ به ویژه حضرت حجة الاسلام و المسلمین کلباسی ـ قدردانی نمایم که این کتاب را در جهت خدمت به ساحت ارزشمند مهدویت پذیرفته و به شایستگی آن را چاپ و منتشر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آنکه این تلاش اندک، مورد پذیرش خداوند بزرگ و خشنودی آن پیشوای پنهان قرار گرفته، در جهت شناختن فرهنگ و آموزه‌های مهدویّت فائده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توفیق از خداوند است</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خدامراد سلیمیان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2658_166622"/>
      <w:bookmarkStart w:id="14" w:name="pg12658_166622"/>
      <w:bookmarkEnd w:id="14"/>
    </w:p>
    <w:p>
      <w:pPr>
        <w:pStyle w:val="BookText"/>
        <w:rPr/>
      </w:pPr>
      <w:bookmarkStart w:id="15" w:name="pg12658_166622"/>
      <w:bookmarkEnd w:id="15"/>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6" w:name="__RefHeading___Toc643265_222507752"/>
      <w:bookmarkStart w:id="17" w:name="_Toc5"/>
      <w:bookmarkEnd w:id="16"/>
      <w:r>
        <w:rPr>
          <w:rtl w:val="true"/>
        </w:rPr>
        <w:t>درس اول</w:t>
      </w:r>
      <w:r>
        <w:rPr>
          <w:rtl w:val="true"/>
        </w:rPr>
        <w:t xml:space="preserve">: </w:t>
      </w:r>
      <w:r>
        <w:rPr>
          <w:rtl w:val="true"/>
        </w:rPr>
        <w:t xml:space="preserve">حکومت حضرت مهدی علیه‌السلام </w:t>
      </w:r>
      <w:r>
        <w:rPr>
          <w:rtl w:val="true"/>
        </w:rPr>
        <w:t>(</w:t>
      </w:r>
      <w:r>
        <w:rPr>
          <w:rtl w:val="true"/>
        </w:rPr>
        <w:t>کلیّات</w:t>
      </w:r>
      <w:r>
        <w:rPr>
          <w:rtl w:val="true"/>
        </w:rPr>
        <w:t>)</w:t>
      </w:r>
      <w:bookmarkEnd w:id="17"/>
    </w:p>
    <w:p>
      <w:pPr>
        <w:pStyle w:val="Heading3"/>
        <w:numPr>
          <w:ilvl w:val="2"/>
          <w:numId w:val="1"/>
        </w:numPr>
        <w:rPr/>
      </w:pPr>
      <w:bookmarkStart w:id="18" w:name="__RefHeading___Toc643267_222507752"/>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معناشناسی حکومت حضرت مهدی علیه‌السلام</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حکومت حضرت مهدی علیه‌السلام</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حتمی‌بودن حکومت حضرت مهدی علیه‌السلام</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حکومت حضرت مهدی علیه‌السلام</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حکومت حضرت مهدی علیه‌السلام </w:t>
      </w:r>
      <w:bookmarkStart w:id="20" w:name="pg12658_166624"/>
    </w:p>
    <w:p>
      <w:pPr>
        <w:pStyle w:val="Heading3"/>
        <w:numPr>
          <w:ilvl w:val="2"/>
          <w:numId w:val="1"/>
        </w:numPr>
        <w:rPr/>
      </w:pPr>
      <w:bookmarkStart w:id="21" w:name="__RefHeading___Toc643269_222507752"/>
      <w:bookmarkStart w:id="22" w:name="_Toc7"/>
      <w:bookmarkEnd w:id="20"/>
      <w:bookmarkEnd w:id="21"/>
      <w:r>
        <w:rPr>
          <w:rtl w:val="true"/>
        </w:rPr>
        <w:t>پیش‌درآمد</w:t>
      </w:r>
      <w:bookmarkEnd w:id="22"/>
    </w:p>
    <w:p>
      <w:pPr>
        <w:pStyle w:val="BookText"/>
        <w:rPr/>
      </w:pPr>
      <w:r>
        <w:rPr>
          <w:rFonts w:ascii="IRNazanin" w:hAnsi="IRNazanin" w:eastAsia="IRNazanin"/>
          <w:color w:val="111111"/>
          <w:sz w:val="28"/>
          <w:sz w:val="28"/>
          <w:szCs w:val="28"/>
          <w:rtl w:val="true"/>
          <w:lang w:bidi="fa-IR"/>
        </w:rPr>
        <w:t>دین اسلام، در کنار پافشاری بر برپایی حکومت به عنوان یک نیاز و بایستة اجتماعی، بیشترین سفارش خود را بر شکل‌گیری حاکمیت انسان‌های شایسته بر پایة دین و دین‌داری، متمرکز کرده است؛ چرا که حاکم نیکوکار است که مردم جامعه را به نیکی‌ها و رستگاری رهبری و هدایت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روشنی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حکومت موعود منجی ـ که در اسلام از آن به نام دولت مهدی موعود علیه‌السلام یاد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است، ـ والا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حکومت روی زمین خواهد بود که در آن همة عناصر بایسته به خوبی در جایگاه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آرمان بلند همة پیامبران الهی و شایستگان زمین را پدید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ـ که در حقیقت آغازی برای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 رو است ـ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به برخی مباحث عمومی در بارة آن دوران نورانی اشاره شود</w:t>
      </w:r>
      <w:r>
        <w:rPr>
          <w:rFonts w:eastAsia="IRNazanin" w:cs="IRNazanin"/>
          <w:color w:val="111111"/>
          <w:sz w:val="28"/>
          <w:szCs w:val="28"/>
          <w:rtl w:val="true"/>
          <w:lang w:bidi="fa-IR"/>
        </w:rPr>
        <w:t>.</w:t>
      </w:r>
    </w:p>
    <w:p>
      <w:pPr>
        <w:pStyle w:val="Heading3"/>
        <w:numPr>
          <w:ilvl w:val="2"/>
          <w:numId w:val="1"/>
        </w:numPr>
        <w:rPr/>
      </w:pPr>
      <w:bookmarkStart w:id="23" w:name="__RefHeading___Toc643271_222507752"/>
      <w:bookmarkStart w:id="24" w:name="_Toc8"/>
      <w:bookmarkEnd w:id="23"/>
      <w:r>
        <w:rPr>
          <w:rtl w:val="true"/>
        </w:rPr>
        <w:t>یک</w:t>
      </w:r>
      <w:r>
        <w:rPr>
          <w:rtl w:val="true"/>
        </w:rPr>
        <w:t xml:space="preserve">. </w:t>
      </w:r>
      <w:r>
        <w:rPr>
          <w:rtl w:val="true"/>
        </w:rPr>
        <w:t>معناشناسی حکومت</w:t>
      </w:r>
      <w:bookmarkEnd w:id="24"/>
    </w:p>
    <w:p>
      <w:pPr>
        <w:pStyle w:val="Heading4"/>
        <w:numPr>
          <w:ilvl w:val="3"/>
          <w:numId w:val="1"/>
        </w:numPr>
        <w:rPr/>
      </w:pPr>
      <w:bookmarkStart w:id="25" w:name="__RefHeading___Toc643273_222507752"/>
      <w:bookmarkStart w:id="26" w:name="_Toc9"/>
      <w:bookmarkEnd w:id="25"/>
      <w:r>
        <w:rPr>
          <w:rtl w:val="true"/>
        </w:rPr>
        <w:t>از نگاه لغت</w:t>
      </w:r>
      <w:bookmarkEnd w:id="2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در لغت، بیشتر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معانی دیگری نیز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فرمان‌دادن، امرکردن،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پادشاهی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نیز به کار رفته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معنای جلوگیری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را حُکم گویند؛ زیرا از ستم و بی‌داد جلوگیری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همچنان که افسار حیوانات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bookmarkStart w:id="27" w:name="pg12658_166626"/>
    </w:p>
    <w:p>
      <w:pPr>
        <w:pStyle w:val="BookText"/>
        <w:rPr/>
      </w:pPr>
      <w:bookmarkEnd w:id="27"/>
      <w:r>
        <w:rPr>
          <w:rFonts w:ascii="IRNazanin" w:hAnsi="IRNazanin" w:eastAsia="IRNazanin"/>
          <w:color w:val="111111"/>
          <w:sz w:val="28"/>
          <w:sz w:val="28"/>
          <w:szCs w:val="28"/>
          <w:rtl w:val="true"/>
          <w:lang w:bidi="fa-IR"/>
        </w:rPr>
        <w:t>چون حیوان را از حرکت و سرکشی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 نیز حکمت خوانند؛ چون دارندة خود را از نادانی و رفتار نابخردانه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28" w:name="__RefHeading___Toc643275_222507752"/>
      <w:bookmarkStart w:id="29" w:name="_Toc10"/>
      <w:bookmarkEnd w:id="28"/>
      <w:r>
        <w:rPr>
          <w:rtl w:val="true"/>
        </w:rPr>
        <w:t>از نگاه اصطلاح</w:t>
      </w:r>
      <w:bookmarkEnd w:id="29"/>
    </w:p>
    <w:p>
      <w:pPr>
        <w:pStyle w:val="BookText"/>
        <w:rPr/>
      </w:pPr>
      <w:r>
        <w:rPr>
          <w:rFonts w:ascii="IRNazanin" w:hAnsi="IRNazanin" w:eastAsia="IRNazanin"/>
          <w:color w:val="111111"/>
          <w:sz w:val="28"/>
          <w:sz w:val="28"/>
          <w:szCs w:val="28"/>
          <w:rtl w:val="true"/>
          <w:lang w:bidi="fa-IR"/>
        </w:rPr>
        <w:t>حکومت، در اصطلاح سیاسی، تعریف‌های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یا نظام سیاسی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که برای تأمین روابط طبقات اجتماعی و حفظ انتظام جامعه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وجود می‌آیند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یا حکومت به معنای کوششی است که برای تحت قاعدة مشخص درآوردن و تبیین نحوة پیوند عناصر یک نظام سیاسی خاص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سیاسی را همچنین مجموعة محسوس نهادها و انگیزه‌هایی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ساخت قدرت را ممکن می‌سازد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یا اینکه گفته شده، حکومت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یک شخص و یا یک هیئت حاکمه یا هیئت‌های مختلف، بر جامعه به منظور تنظیم و اصلاح امور اجتماعی و انتظام امر معاش آن جامعه</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یکی از اساتید معاصر پس از اشاره به این نکته که تعریف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گوناگونی از این واژه در کتب علوم سیاسی گفته شده است، در بیان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حکومت را ارگانی رسمی دانسته که بر رفتارهای اجتماعی افراد جامعه، نظارت داشته، و سعی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رفتارهای اجتماعی مردم جهت ببخشد</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30" w:name="__RefHeading___Toc643277_222507752"/>
      <w:bookmarkStart w:id="31" w:name="_Toc11"/>
      <w:bookmarkEnd w:id="30"/>
      <w:r>
        <w:rPr>
          <w:rtl w:val="true"/>
        </w:rPr>
        <w:t>واژگان حکومت مهدوی</w:t>
      </w:r>
      <w:bookmarkEnd w:id="31"/>
    </w:p>
    <w:p>
      <w:pPr>
        <w:pStyle w:val="Heading5"/>
        <w:numPr>
          <w:ilvl w:val="4"/>
          <w:numId w:val="1"/>
        </w:numPr>
        <w:rPr/>
      </w:pPr>
      <w:bookmarkStart w:id="32" w:name="__RefHeading___Toc643279_222507752"/>
      <w:bookmarkStart w:id="33" w:name="_Toc12"/>
      <w:bookmarkEnd w:id="32"/>
      <w:r>
        <w:rPr>
          <w:rtl w:val="true"/>
        </w:rPr>
        <w:t>اشاره</w:t>
      </w:r>
      <w:bookmarkEnd w:id="3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واژگان حکومت در بارة چیرگی حضرت مهدی علیه‌السلام پس از قیام، بر کرة زمین، ـ در بحث‌های مربوط ـ بسیار به کار رفته و شناخته‌شده است، اما بررسی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سخنان بزرگان دین، گویای آن است که این واژگان در هیچ متن عربی روایتی آنگاه که به این دوره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کار نرفته است و اگر برخی مشتقات آن در روایتی به کار رفته، مقصود حکومت نیست، بلکه داوری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bookmarkStart w:id="34" w:name="pg12658_166628"/>
    </w:p>
    <w:p>
      <w:pPr>
        <w:pStyle w:val="BookText"/>
        <w:rPr/>
      </w:pPr>
      <w:bookmarkEnd w:id="34"/>
      <w:r>
        <w:rPr>
          <w:rFonts w:ascii="Amiri" w:hAnsi="Amiri" w:eastAsia="Amiri" w:cs="Amiri"/>
          <w:color w:val="111111"/>
          <w:sz w:val="28"/>
          <w:sz w:val="28"/>
          <w:szCs w:val="28"/>
          <w:rtl w:val="true"/>
          <w:lang w:bidi="ar-SA"/>
        </w:rPr>
        <w:t>إِذَا قَامَ قَائِمُ آلِ مُحَمَّدٍ صلی الله علیه وآله حَکَمَ بِحُکْمِ دَاوُدَ وَ سُلَیْمَانَ لَا یَسْأَلُ بَیِّنَةً؛</w:t>
      </w:r>
      <w:r>
        <w:rPr>
          <w:rStyle w:val="FootnoteAnchor"/>
          <w:rtl w:val="true"/>
        </w:rPr>
        <w:footnoteReference w:id="8"/>
      </w:r>
      <w:r>
        <w:rPr>
          <w:rFonts w:ascii="IRNazanin" w:hAnsi="IRNazanin" w:eastAsia="IRNazanin"/>
          <w:color w:val="111111"/>
          <w:sz w:val="28"/>
          <w:sz w:val="28"/>
          <w:szCs w:val="28"/>
          <w:rtl w:val="true"/>
          <w:lang w:bidi="fa-IR"/>
        </w:rPr>
        <w:t>آنگاه که قائم آل محمد به پا خیزد به داوری داود و سلیمان داوری خواهد کرد و بینه‌ای طلب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تعبیرهایی که برای اشاره به دوران حکومت آن حضرت از آن بهره برده شده از این قرارند</w:t>
      </w:r>
      <w:r>
        <w:rPr>
          <w:rFonts w:eastAsia="IRNazanin" w:cs="IRNazanin"/>
          <w:color w:val="111111"/>
          <w:sz w:val="28"/>
          <w:szCs w:val="28"/>
          <w:rtl w:val="true"/>
          <w:lang w:bidi="fa-IR"/>
        </w:rPr>
        <w:t>:</w:t>
      </w:r>
    </w:p>
    <w:p>
      <w:pPr>
        <w:pStyle w:val="Heading5"/>
        <w:numPr>
          <w:ilvl w:val="4"/>
          <w:numId w:val="1"/>
        </w:numPr>
        <w:rPr/>
      </w:pPr>
      <w:bookmarkStart w:id="35" w:name="__RefHeading___Toc643281_222507752"/>
      <w:bookmarkStart w:id="36" w:name="_Toc13"/>
      <w:bookmarkEnd w:id="35"/>
      <w:r>
        <w:rPr/>
        <w:t>1</w:t>
      </w:r>
      <w:r>
        <w:rPr>
          <w:rtl w:val="true"/>
        </w:rPr>
        <w:t xml:space="preserve">. </w:t>
      </w:r>
      <w:r>
        <w:rPr>
          <w:rtl w:val="true"/>
        </w:rPr>
        <w:t>مُلک</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چیرگی بر چیزی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اختیار آن به دست او باشد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 مَلِک کسی را گویند که امر و نهی در دست اوست و این ویژگی سیاست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روایات از دوران حکومت حضرت با عنوان ملک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تعبیرهایی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اشاره به حتمی‌بودن دارد، ـ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یملک القائم علیه‌السلام تسع عشرة سنة و أشهرا؛ </w:t>
      </w:r>
      <w:r>
        <w:rPr>
          <w:rStyle w:val="FootnoteAnchor"/>
          <w:rtl w:val="true"/>
        </w:rPr>
        <w:footnoteReference w:id="11"/>
      </w:r>
      <w:r>
        <w:rPr>
          <w:rFonts w:ascii="IRNazanin" w:hAnsi="IRNazanin" w:eastAsia="IRNazanin"/>
          <w:color w:val="111111"/>
          <w:sz w:val="28"/>
          <w:sz w:val="28"/>
          <w:szCs w:val="28"/>
          <w:rtl w:val="true"/>
          <w:lang w:bidi="fa-IR"/>
        </w:rPr>
        <w:t>قائم نوزده سال و چند ماه پادشاهی خواهد کرد</w:t>
      </w:r>
      <w:r>
        <w:rPr>
          <w:rFonts w:eastAsia="IRNazanin" w:cs="IRNazanin"/>
          <w:color w:val="111111"/>
          <w:sz w:val="28"/>
          <w:szCs w:val="28"/>
          <w:rtl w:val="true"/>
          <w:lang w:bidi="fa-IR"/>
        </w:rPr>
        <w:t>.»</w:t>
      </w:r>
    </w:p>
    <w:p>
      <w:pPr>
        <w:pStyle w:val="Heading5"/>
        <w:numPr>
          <w:ilvl w:val="4"/>
          <w:numId w:val="1"/>
        </w:numPr>
        <w:rPr/>
      </w:pPr>
      <w:bookmarkStart w:id="37" w:name="__RefHeading___Toc643283_222507752"/>
      <w:bookmarkStart w:id="38" w:name="_Toc14"/>
      <w:bookmarkEnd w:id="37"/>
      <w:r>
        <w:rPr/>
        <w:t>2</w:t>
      </w:r>
      <w:r>
        <w:rPr>
          <w:rtl w:val="true"/>
        </w:rPr>
        <w:t xml:space="preserve">. </w:t>
      </w:r>
      <w:r>
        <w:rPr>
          <w:rtl w:val="true"/>
        </w:rPr>
        <w:t>خلافت</w:t>
      </w:r>
      <w:bookmarkEnd w:id="38"/>
    </w:p>
    <w:p>
      <w:pPr>
        <w:pStyle w:val="BookText"/>
        <w:rPr/>
      </w:pPr>
      <w:r>
        <w:rPr>
          <w:rFonts w:ascii="IRNazanin" w:hAnsi="IRNazanin" w:eastAsia="IRNazanin"/>
          <w:color w:val="111111"/>
          <w:sz w:val="28"/>
          <w:sz w:val="28"/>
          <w:szCs w:val="28"/>
          <w:rtl w:val="true"/>
          <w:lang w:bidi="fa-IR"/>
        </w:rPr>
        <w:t>خلافت در لغت به معنای جانشینی و کسی که پس از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را خلیفه گویند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این جانشینی در بارة حضرت مهدی علیه‌السلام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معنای جانشینی از رسول گرامی اسلام صلی‌الله‌علیه‌وآله و یا از پدران بزرگوار خود امامان معصوم علیهم‌السلام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از این دوران با واژة خلافت نام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المهدی من ولدی… یرضی بخلافته أهل السماء و الطیر فی الجو یملک </w:t>
      </w:r>
      <w:bookmarkStart w:id="39" w:name="pg12658_166630"/>
    </w:p>
    <w:p>
      <w:pPr>
        <w:pStyle w:val="BookText"/>
        <w:rPr/>
      </w:pPr>
      <w:bookmarkEnd w:id="39"/>
      <w:r>
        <w:rPr>
          <w:rFonts w:ascii="IRNazanin" w:hAnsi="IRNazanin" w:eastAsia="IRNazanin"/>
          <w:color w:val="111111"/>
          <w:sz w:val="28"/>
          <w:sz w:val="28"/>
          <w:szCs w:val="28"/>
          <w:rtl w:val="true"/>
          <w:lang w:bidi="fa-IR"/>
        </w:rPr>
        <w:t>عشرین سنة؛</w:t>
      </w:r>
      <w:r>
        <w:rPr>
          <w:rStyle w:val="FootnoteAnchor"/>
          <w:rtl w:val="true"/>
        </w:rPr>
        <w:footnoteReference w:id="13"/>
      </w:r>
      <w:r>
        <w:rPr>
          <w:rFonts w:ascii="IRNazanin" w:hAnsi="IRNazanin" w:eastAsia="IRNazanin"/>
          <w:color w:val="111111"/>
          <w:sz w:val="28"/>
          <w:sz w:val="28"/>
          <w:szCs w:val="28"/>
          <w:rtl w:val="true"/>
          <w:lang w:bidi="fa-IR"/>
        </w:rPr>
        <w:t>مهدی ار فرزندان من است… اهل آسمان و پرندگان نیز از خلافت او خرسند خواهند شد و بیست سال پادشاهی خواهد کرد</w:t>
      </w:r>
      <w:r>
        <w:rPr>
          <w:rFonts w:eastAsia="IRNazanin" w:cs="IRNazanin"/>
          <w:color w:val="111111"/>
          <w:sz w:val="28"/>
          <w:szCs w:val="28"/>
          <w:rtl w:val="true"/>
          <w:lang w:bidi="fa-IR"/>
        </w:rPr>
        <w:t>.</w:t>
      </w:r>
    </w:p>
    <w:p>
      <w:pPr>
        <w:pStyle w:val="Heading5"/>
        <w:numPr>
          <w:ilvl w:val="4"/>
          <w:numId w:val="1"/>
        </w:numPr>
        <w:rPr/>
      </w:pPr>
      <w:bookmarkStart w:id="40" w:name="__RefHeading___Toc643285_222507752"/>
      <w:bookmarkStart w:id="41" w:name="_Toc15"/>
      <w:bookmarkEnd w:id="40"/>
      <w:r>
        <w:rPr/>
        <w:t>3</w:t>
      </w:r>
      <w:r>
        <w:rPr>
          <w:rtl w:val="true"/>
        </w:rPr>
        <w:t xml:space="preserve">. </w:t>
      </w:r>
      <w:r>
        <w:rPr>
          <w:rtl w:val="true"/>
        </w:rPr>
        <w:t>دولت</w:t>
      </w:r>
      <w:bookmarkEnd w:id="41"/>
    </w:p>
    <w:p>
      <w:pPr>
        <w:pStyle w:val="BookText"/>
        <w:rPr/>
      </w:pPr>
      <w:r>
        <w:rPr>
          <w:rFonts w:ascii="IRNazanin" w:hAnsi="IRNazanin" w:eastAsia="IRNazanin"/>
          <w:color w:val="111111"/>
          <w:sz w:val="28"/>
          <w:sz w:val="28"/>
          <w:szCs w:val="28"/>
          <w:rtl w:val="true"/>
          <w:lang w:bidi="fa-IR"/>
        </w:rPr>
        <w:t>دولت در لغت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 از حالی به حالی، گردش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بختی و پیروزی از شخصی به دیگری، اقبال،</w:t>
      </w:r>
      <w:r>
        <w:rPr>
          <w:rStyle w:val="FootnoteAnchor"/>
          <w:rtl w:val="true"/>
        </w:rPr>
        <w:footnoteReference w:id="14"/>
      </w:r>
      <w:r>
        <w:rPr>
          <w:rFonts w:ascii="IRNazanin" w:hAnsi="IRNazanin" w:eastAsia="IRNazanin"/>
          <w:color w:val="111111"/>
          <w:sz w:val="28"/>
          <w:sz w:val="28"/>
          <w:szCs w:val="28"/>
          <w:rtl w:val="true"/>
          <w:lang w:bidi="fa-IR"/>
        </w:rPr>
        <w:t>امری است که از کسی به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و نیز به معنای گذر از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شدّت به آرامش و آسایش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از تعبیرهایی که کم و بیش در برخی روایات و نیز دعاها در آرزوی حضور در حکومت حضرت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لَنَا دَوْلَةً إِذَا شَاءَ اللَّهُ جَاءَ بِهَا؛</w:t>
      </w:r>
      <w:r>
        <w:rPr>
          <w:rStyle w:val="FootnoteAnchor"/>
          <w:rtl w:val="true"/>
        </w:rPr>
        <w:footnoteReference w:id="17"/>
      </w:r>
      <w:r>
        <w:rPr>
          <w:rFonts w:ascii="IRNazanin" w:hAnsi="IRNazanin" w:eastAsia="IRNazanin"/>
          <w:color w:val="111111"/>
          <w:sz w:val="28"/>
          <w:sz w:val="28"/>
          <w:szCs w:val="28"/>
          <w:rtl w:val="true"/>
          <w:lang w:bidi="fa-IR"/>
        </w:rPr>
        <w:t> پس همانا برای ما دولتی است که آنگاه که خدا بخواهد آن را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فراگیر کلمه عبارت است از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در آن قدرت سیاسی بر پایة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 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محدودتر، دولت عبارت است از قدرتی که سرنوشت جامعه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همگانی، دولت به معنای مجموعة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اجرایی است که توان ادارة جامعه به آن واگذار شده است</w:t>
      </w:r>
      <w:r>
        <w:rPr>
          <w:rFonts w:eastAsia="IRNazanin" w:cs="IRNazanin"/>
          <w:color w:val="111111"/>
          <w:sz w:val="28"/>
          <w:szCs w:val="28"/>
          <w:rtl w:val="true"/>
          <w:lang w:bidi="fa-IR"/>
        </w:rPr>
        <w:t>.</w:t>
      </w:r>
      <w:r>
        <w:rPr>
          <w:rStyle w:val="FootnoteAnchor"/>
          <w:rtl w:val="true"/>
        </w:rPr>
        <w:footnoteReference w:id="18"/>
      </w:r>
    </w:p>
    <w:p>
      <w:pPr>
        <w:pStyle w:val="Heading5"/>
        <w:numPr>
          <w:ilvl w:val="4"/>
          <w:numId w:val="1"/>
        </w:numPr>
        <w:rPr/>
      </w:pPr>
      <w:bookmarkStart w:id="42" w:name="__RefHeading___Toc643287_222507752"/>
      <w:bookmarkStart w:id="43" w:name="_Toc16"/>
      <w:bookmarkEnd w:id="42"/>
      <w:r>
        <w:rPr/>
        <w:t>4</w:t>
      </w:r>
      <w:r>
        <w:rPr>
          <w:rtl w:val="true"/>
        </w:rPr>
        <w:t xml:space="preserve">. </w:t>
      </w:r>
      <w:r>
        <w:rPr>
          <w:rtl w:val="true"/>
        </w:rPr>
        <w:t>سلطنت</w:t>
      </w:r>
      <w:bookmarkEnd w:id="4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سلطنت به معنای پادشاهی و حکومت، یکی دیگر از تعبیرهایی است که برخی روایات برای اشاره به دوران حاکمیت حضرت مهدی علیه‌السلام به کار رفته است</w:t>
      </w:r>
      <w:r>
        <w:rPr>
          <w:rFonts w:eastAsia="IRNazanin" w:cs="IRNazanin"/>
          <w:color w:val="111111"/>
          <w:sz w:val="28"/>
          <w:szCs w:val="28"/>
          <w:rtl w:val="true"/>
          <w:lang w:bidi="fa-IR"/>
        </w:rPr>
        <w:t>.</w:t>
      </w:r>
      <w:r>
        <w:rPr>
          <w:rStyle w:val="FootnoteAnchor"/>
          <w:rtl w:val="true"/>
        </w:rPr>
        <w:footnoteReference w:id="19"/>
      </w:r>
      <w:bookmarkStart w:id="44" w:name="pg12658_166632"/>
    </w:p>
    <w:p>
      <w:pPr>
        <w:pStyle w:val="Heading5"/>
        <w:numPr>
          <w:ilvl w:val="4"/>
          <w:numId w:val="1"/>
        </w:numPr>
        <w:rPr/>
      </w:pPr>
      <w:bookmarkStart w:id="45" w:name="__RefHeading___Toc643289_222507752"/>
      <w:bookmarkStart w:id="46" w:name="_Toc17"/>
      <w:bookmarkEnd w:id="44"/>
      <w:bookmarkEnd w:id="45"/>
      <w:r>
        <w:rPr/>
        <w:t>5</w:t>
      </w:r>
      <w:r>
        <w:rPr>
          <w:rtl w:val="true"/>
        </w:rPr>
        <w:t xml:space="preserve">. </w:t>
      </w:r>
      <w:r>
        <w:rPr>
          <w:rtl w:val="true"/>
        </w:rPr>
        <w:t>ولایت</w:t>
      </w:r>
      <w:bookmarkEnd w:id="46"/>
    </w:p>
    <w:p>
      <w:pPr>
        <w:pStyle w:val="BookText"/>
        <w:rPr/>
      </w:pPr>
      <w:r>
        <w:rPr>
          <w:rFonts w:ascii="IRNazanin" w:hAnsi="IRNazanin" w:eastAsia="IRNazanin"/>
          <w:color w:val="111111"/>
          <w:sz w:val="28"/>
          <w:sz w:val="28"/>
          <w:szCs w:val="28"/>
          <w:rtl w:val="true"/>
          <w:lang w:bidi="fa-IR"/>
        </w:rPr>
        <w:t xml:space="preserve">اگرچه همة پیشوایان معصوم علیهم‌السلام دارای ولایت هستند، اما در برخی روایات برای اشاره به دوران حکومت واپسین حجت الهی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تذهب الدنیا حتی یلی أمتی رجل من أهل بیتی یقال له المهدی؛</w:t>
      </w:r>
      <w:r>
        <w:rPr>
          <w:rStyle w:val="FootnoteAnchor"/>
          <w:rtl w:val="true"/>
        </w:rPr>
        <w:footnoteReference w:id="20"/>
      </w:r>
      <w:r>
        <w:rPr>
          <w:rFonts w:ascii="IRNazanin" w:hAnsi="IRNazanin" w:eastAsia="IRNazanin"/>
          <w:color w:val="111111"/>
          <w:sz w:val="28"/>
          <w:sz w:val="28"/>
          <w:szCs w:val="28"/>
          <w:rtl w:val="true"/>
          <w:lang w:bidi="fa-IR"/>
        </w:rPr>
        <w:t>دنیا به پایان نرسد تا آنکه ولایت امتم را مردی از اهل بیتم بر عهده گیرد که به او مهدی گفته می‌شود</w:t>
      </w:r>
      <w:r>
        <w:rPr>
          <w:rFonts w:eastAsia="IRNazanin" w:cs="IRNazanin"/>
          <w:color w:val="111111"/>
          <w:sz w:val="28"/>
          <w:szCs w:val="28"/>
          <w:rtl w:val="true"/>
          <w:lang w:bidi="fa-IR"/>
        </w:rPr>
        <w:t>.</w:t>
      </w:r>
    </w:p>
    <w:p>
      <w:pPr>
        <w:pStyle w:val="Heading3"/>
        <w:numPr>
          <w:ilvl w:val="2"/>
          <w:numId w:val="1"/>
        </w:numPr>
        <w:rPr/>
      </w:pPr>
      <w:bookmarkStart w:id="47" w:name="__RefHeading___Toc643291_222507752"/>
      <w:bookmarkStart w:id="48" w:name="_Toc18"/>
      <w:bookmarkEnd w:id="47"/>
      <w:r>
        <w:rPr>
          <w:rtl w:val="true"/>
        </w:rPr>
        <w:t>دو</w:t>
      </w:r>
      <w:r>
        <w:rPr>
          <w:rtl w:val="true"/>
        </w:rPr>
        <w:t xml:space="preserve">. </w:t>
      </w:r>
      <w:r>
        <w:rPr>
          <w:rtl w:val="true"/>
        </w:rPr>
        <w:t>بشارت به حکومت حضرت مهدی علیه‌السلام</w:t>
      </w:r>
      <w:bookmarkEnd w:id="48"/>
    </w:p>
    <w:p>
      <w:pPr>
        <w:pStyle w:val="BookText"/>
        <w:rPr/>
      </w:pPr>
      <w:r>
        <w:rPr>
          <w:rFonts w:ascii="IRNazanin" w:hAnsi="IRNazanin" w:eastAsia="IRNazanin"/>
          <w:color w:val="111111"/>
          <w:sz w:val="28"/>
          <w:sz w:val="28"/>
          <w:szCs w:val="28"/>
          <w:rtl w:val="true"/>
          <w:lang w:bidi="fa-IR"/>
        </w:rPr>
        <w:t>از آغاز آفرینش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زمین، همواره پیامبران بشارت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برپایی حکومت شایستگان را داده‌اند که برخی از آنها در بحث مهدویّت در قرآن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مقدس و سخنان پیامبران الهی این نوید در سخنان پیشوایان معصوم علیهم‌السلام نیز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آیاتی چند به انسان‌های شایسته وعده داده که حکومت زمین به آن‌ها خواهد رسید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لایشْرِکُونَ بی شَیئاً وَ مَنْ کَفَرَ بَعْدَ ذلِکَ فَأُولئِکَ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 گونه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دینی را که برایشان پسندیده است، به سودشان مستقر کند و بیمشان را به ایمنی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کنند و چیزی را با من شریک نگردانند و هر کس پس از آن به کفر گراید؛ آنانند که نافرمانند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آیه، خداوند وعدة حکومت روی زمین، برتری دین و آیین و امنیت فراگیر را به مؤمنان و شایستگان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این‌که منظور از این گروه چه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میان مفسران 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آن را اشاره به حکومت مهدی علیه‌السلام می‌دانند که شرق و غرب گیتی، در زیر پرچم حکومت آن حضرت قرار می‌گیرد، آیین حق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نفوذ می‌کند، ناامنی، ترس و جنگ از زمین بر‌چیده می‌شود و بندگی بدون شرک، برای جهانیان تحقق می‌یابد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بی‌گمان آیه، هم مسلمانان نخستین را در بر می‌گیرد و هم دربرگیرنده حکومت حضرت مهدی عجل‌الله‌فرجه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پایة باور همة مسلمانان ـ اعم از شیعه و اهل تسنن ـ آن حضرت سراسر زمین را پر از عدل و قسط می‌کند و او نمونة کامل این آیه است؛ ولی با این حال، منعی از عمومیت و گستردگی مفهوم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ثمرة همة کوشش‌های پیامبران و تبلیغات پی‌گیر آنان و نمونة کامل حاکمیت یکتاپرستی و امنیت کامل و عبادت، زمانی پدید می‌آید که حضرت مهدی عجل‌الله‌فرجه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ابو بصیر از امام صادق علیه‌السلام روایت کرده است که آن حضرت، در پی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قائم عجل‌الله‌فرجه و اصحاب ایشان نازل شده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از آیاتی که به حکومت عدل مهدوی نوید داده این آیه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وَنُریدُ أنْ نَمُنّ عَلَی الّذینَ اسْتُضْعِفُوا فِی الارْضِ وَنَجْعَلَهُمْ أئمًّْة وَنَجْعَلَهُمُ الْوارِثینَ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 xml:space="preserve">و خواستیم بر کسانی که در آن سرزمین فرو 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بر پایة فرمایش امام علی علیه‌السلام ، و روایاتی چند از دیگر امامان علیهم‌السلام، ناظر به پیروزی فرودستان بر فرادستان است و این‌که سرانجام، جهان از آنِ </w:t>
      </w:r>
      <w:bookmarkStart w:id="49" w:name="pg12658_166636"/>
    </w:p>
    <w:p>
      <w:pPr>
        <w:pStyle w:val="BookText"/>
        <w:rPr/>
      </w:pPr>
      <w:bookmarkEnd w:id="49"/>
      <w:r>
        <w:rPr>
          <w:rFonts w:ascii="IRNazanin" w:hAnsi="IRNazanin" w:eastAsia="IRNazanin"/>
          <w:color w:val="111111"/>
          <w:sz w:val="28"/>
          <w:sz w:val="28"/>
          <w:szCs w:val="28"/>
          <w:rtl w:val="true"/>
          <w:lang w:bidi="fa-IR"/>
        </w:rPr>
        <w:t>شایستگان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یاد شده، بیانگر یک قانون فراگیر برای همة عصرها و قرن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بشارتی در زمینه پیروزی حق بر باطل و ایمان بر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کامل‌تر آن، حکومت پیامبر اسلام و یاران آن حضرت بعد از ظهور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گسترده‌ترین نمونه آن نیز، ظهور حکومت حق و عدالت در تمام کرة زمین به دست حضرت مهدی عجل‌الله‌فرجه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 مؤمنان امام علی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لَتَعْطِفَنَّ الدُّنْیا عَلَینَا بَعْدَ شِمَاسِهَا عَطْفَ الضَّرُوسِ عَلَی وَلَدِهَا وَ تَلَا عَقِیبَ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 xml:space="preserve">دنیا، پس از چموشی و سرکشی ـ همچون شتری که از دادن شیر به دوشنده‌اش خودداری می‌کند و برای بچه‌اش نگه می‌دارد ـ به ما روی می‌آورد… 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ان 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 از پیغمبر اکرم صلی‌الله علیه و آله وسلم نقل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أُبَشِّرُکُمْ بِالْمَهْدِیِّ یُبْعَثُ فِی أُمَّتِی عَلَی اخْتِلَافٍ مِنَ النَّاسِ وَزِلْزَالٍ یَمْلَأُ الْأَرْضَ عَدْلًا وَ قِسْطاً کَمَا مُلِئَتْ جَوْراً وَ ظُلْماً یَرْضَی عَنْهُ سَاکِنُ السَّمَاءِ وَ سَاکِنُ الْأَرْضِ؛</w:t>
      </w:r>
      <w:r>
        <w:rPr>
          <w:rStyle w:val="FootnoteAnchor"/>
          <w:rtl w:val="true"/>
        </w:rPr>
        <w:footnoteReference w:id="27"/>
      </w:r>
      <w:r>
        <w:rPr>
          <w:rFonts w:ascii="IRNazanin" w:hAnsi="IRNazanin" w:eastAsia="IRNazanin"/>
          <w:color w:val="111111"/>
          <w:sz w:val="28"/>
          <w:sz w:val="28"/>
          <w:szCs w:val="28"/>
          <w:rtl w:val="true"/>
          <w:lang w:bidi="fa-IR"/>
        </w:rPr>
        <w:t> شما را مژده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به مهدی که هنگام اختلاف مردم و تزلزل زمانه برانگیخته شود و زمین را از عدل و داد پر کند چونان که از ظلم و ستم پر شده باشد و ساکنان آسمان و زمین از وی خشنود باشند</w:t>
      </w:r>
      <w:r>
        <w:rPr>
          <w:rFonts w:eastAsia="IRNazanin" w:cs="IRNazanin"/>
          <w:color w:val="111111"/>
          <w:sz w:val="28"/>
          <w:szCs w:val="28"/>
          <w:rtl w:val="true"/>
          <w:lang w:bidi="fa-IR"/>
        </w:rPr>
        <w:t>.</w:t>
      </w:r>
    </w:p>
    <w:p>
      <w:pPr>
        <w:pStyle w:val="Heading3"/>
        <w:numPr>
          <w:ilvl w:val="2"/>
          <w:numId w:val="1"/>
        </w:numPr>
        <w:rPr/>
      </w:pPr>
      <w:bookmarkStart w:id="50" w:name="__RefHeading___Toc643293_222507752"/>
      <w:bookmarkStart w:id="51" w:name="_Toc19"/>
      <w:bookmarkEnd w:id="50"/>
      <w:r>
        <w:rPr>
          <w:rtl w:val="true"/>
        </w:rPr>
        <w:t>سه</w:t>
      </w:r>
      <w:r>
        <w:rPr>
          <w:rtl w:val="true"/>
        </w:rPr>
        <w:t xml:space="preserve">. </w:t>
      </w:r>
      <w:r>
        <w:rPr>
          <w:rtl w:val="true"/>
        </w:rPr>
        <w:t>حتمی بودن حکومت حضرت مهدی علیه‌السلام</w:t>
      </w:r>
      <w:bookmarkEnd w:id="5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یاد شد که برپایی حکومت عدل جهانی مهدوی از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است و بر پایة آیات روشن قرآن، خداوند در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هرگز تخلف نخواهد کرد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از این رو حکومت حضرت مهدی علیه‌السلام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گونه‌ای ناگزیر در همین دنیا و پیش از برپایی رستاخیز بزرگ، برپا خواهد شد</w:t>
      </w:r>
      <w:r>
        <w:rPr>
          <w:rFonts w:eastAsia="IRNazanin" w:cs="IRNazanin"/>
          <w:color w:val="111111"/>
          <w:sz w:val="28"/>
          <w:szCs w:val="28"/>
          <w:rtl w:val="true"/>
          <w:lang w:bidi="fa-IR"/>
        </w:rPr>
        <w:t xml:space="preserve">. </w:t>
      </w:r>
      <w:bookmarkStart w:id="52" w:name="pg12658_166638"/>
    </w:p>
    <w:p>
      <w:pPr>
        <w:pStyle w:val="BookText"/>
        <w:rPr/>
      </w:pPr>
      <w:bookmarkEnd w:id="52"/>
      <w:r>
        <w:rPr>
          <w:rFonts w:ascii="IRNazanin" w:hAnsi="IRNazanin" w:eastAsia="IRNazanin"/>
          <w:color w:val="111111"/>
          <w:sz w:val="28"/>
          <w:sz w:val="28"/>
          <w:szCs w:val="28"/>
          <w:rtl w:val="true"/>
          <w:lang w:bidi="fa-IR"/>
        </w:rPr>
        <w:t>روایات فراوانی در منابع شیعه و اهل سنت، حکومت مهدی موعود را امری دانسته که ناگزیر پیش از برپایی رستاخیز ـ اگر چه یک روز از عمر جهان باقی مانده باشد ـ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 علیه و آله وسلم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 این 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یبْقَ مِنَ الدُّنْیا إِلَّا یوْمٌ لَطَوَّلَ اللَّهُ ذَلِکَ الْیوْمَ حَتَّی یبْعَثَ رَجُلًا مِنْ أَهْلِ بَیتِی یمْلَأُ الْأَرْضَ عَدْلًا وَ قِسْطاً کَمَا مُلِئَتْ ظُلْماً وَ جَوْراً… ؛</w:t>
      </w:r>
      <w:r>
        <w:rPr>
          <w:rStyle w:val="FootnoteAnchor"/>
          <w:rtl w:val="true"/>
        </w:rPr>
        <w:footnoteReference w:id="29"/>
      </w:r>
      <w:r>
        <w:rPr>
          <w:rFonts w:ascii="IRNazanin" w:hAnsi="IRNazanin" w:eastAsia="IRNazanin"/>
          <w:color w:val="111111"/>
          <w:sz w:val="28"/>
          <w:sz w:val="28"/>
          <w:szCs w:val="28"/>
          <w:rtl w:val="true"/>
          <w:lang w:bidi="fa-IR"/>
        </w:rPr>
        <w:t>اگر از دنیا بیش از یک روز باقی نماند، خداوند آن روز را چنان طولانی خواهد کرد تا اینکه مردی از اهل بیتم بر انگیخته شود و زمین را از عدل و قسط آکنده کند؛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مسعود از رسول گرامی اسلام صلی‌الله‌علیه‌وآله نقل کرده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تَذْهَبُ الدُّنْیَا حَتَّی یَلِیَ أُمَّتِی رَجُلٌ مِنْ أَهْلِ بَیْتِی یُقَالُ لَهُ الْمَهْدِیُّ؛</w:t>
      </w:r>
      <w:r>
        <w:rPr>
          <w:rStyle w:val="FootnoteAnchor"/>
          <w:rtl w:val="true"/>
        </w:rPr>
        <w:footnoteReference w:id="30"/>
      </w:r>
      <w:r>
        <w:rPr>
          <w:rFonts w:ascii="IRNazanin" w:hAnsi="IRNazanin" w:eastAsia="IRNazanin"/>
          <w:color w:val="111111"/>
          <w:sz w:val="28"/>
          <w:sz w:val="28"/>
          <w:szCs w:val="28"/>
          <w:rtl w:val="true"/>
          <w:lang w:bidi="fa-IR"/>
        </w:rPr>
        <w:t>دنیا به پایان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تا آنکه امت مرا شخصی ولایت کند که از اهل بیت من است و مهدی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3"/>
        <w:numPr>
          <w:ilvl w:val="2"/>
          <w:numId w:val="1"/>
        </w:numPr>
        <w:rPr/>
      </w:pPr>
      <w:bookmarkStart w:id="53" w:name="__RefHeading___Toc643295_222507752"/>
      <w:bookmarkStart w:id="54" w:name="_Toc20"/>
      <w:bookmarkEnd w:id="53"/>
      <w:r>
        <w:rPr>
          <w:rtl w:val="true"/>
        </w:rPr>
        <w:t>چهار</w:t>
      </w:r>
      <w:r>
        <w:rPr>
          <w:rtl w:val="true"/>
        </w:rPr>
        <w:t xml:space="preserve">. </w:t>
      </w:r>
      <w:r>
        <w:rPr>
          <w:rtl w:val="true"/>
        </w:rPr>
        <w:t>مقر حکومت حضرت مهدی علیه‌السلام</w:t>
      </w:r>
      <w:bookmarkEnd w:id="54"/>
    </w:p>
    <w:p>
      <w:pPr>
        <w:pStyle w:val="BookText"/>
        <w:rPr/>
      </w:pPr>
      <w:r>
        <w:rPr>
          <w:rFonts w:ascii="IRNazanin" w:hAnsi="IRNazanin" w:eastAsia="IRNazanin"/>
          <w:color w:val="111111"/>
          <w:sz w:val="28"/>
          <w:sz w:val="28"/>
          <w:szCs w:val="28"/>
          <w:rtl w:val="true"/>
          <w:lang w:bidi="fa-IR"/>
        </w:rPr>
        <w:t>از روایات به روشنی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مرکز حکومتی حضرت مهدی علیه‌السلام شهر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دستور عمر بن خطاب و به دست سعد بن ابی وقاص، فرمانده سپاه مسلمانان در جنگ با ایرانیان پی‌ریزی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بنای این شهر، بنیان‌گذاری یک پادگان نظامی در نزدیکی ایران، به منظور پشتیبانی نیروهای عمل کننده در داخل ایران بود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عمر دستور داده بود گنجایش مسجد این شهر، به گونه‌ای باشد که تمام جمعیت نظامی را در خود جای دهد و مسجدی که بر پایة این دستور ساخته شد، می‌توانست چهل هزار تن را در خود پذیرا باشد</w:t>
      </w:r>
      <w:r>
        <w:rPr>
          <w:rFonts w:eastAsia="IRNazanin" w:cs="IRNazanin"/>
          <w:color w:val="111111"/>
          <w:sz w:val="28"/>
          <w:szCs w:val="28"/>
          <w:rtl w:val="true"/>
          <w:lang w:bidi="fa-IR"/>
        </w:rPr>
        <w:t>.</w:t>
      </w:r>
      <w:r>
        <w:rPr>
          <w:rStyle w:val="FootnoteAnchor"/>
          <w:rtl w:val="true"/>
        </w:rPr>
        <w:footnoteReference w:id="3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این شهر را دارای ارزش کرد اینکه امیر مؤمنان علی علیه‌السلام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آن را مرکز خلافت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این شهر در تاریخ پر فراز و نشیب خود، روی‌دادهای فراوانی را پشت سر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این شهر در طول تاریخ با وجود دارابودن صفات برجسته و پسندیده، دارای برخی ویژگی‌های ناشایست و نکوهیده‌ای نیز بوده‌اند که در سخنان حضرت علی  و امام حسین علیهم‌السلام به خوبی بازتاب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سبب اینکه این شهر سرانجام پایتخت حرکت عدل‌گسترانة حضرت مهدی علیه‌السلام خواهد شد این است که نخستین شهری بود که با ندای عدالت‌خواهانة علی علیه‌السلام سرآغازی بر عدل‌گستری به مناطق جهان بود و البته نیز شاید وجود دو مسجد سهله و کوفه که دارای شرافتی بس عظیمند در این برپایی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از امام صادق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خانة حضرت مهدی علیه‌السلام و محل گردآمدن مؤمنان کجا خواهد بود؟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مُلکِهِ الکُوفَة وَمَجْلِسُ حُکْمِهِ جامِعُها وَبَیْتُ مالِهِ وَمَقْسَمُ غَنائِمِ المُسلِمینَ مَسْجِدُ السَّهْلَةِ وَمَوضِعُ خَلَواتِهِ الذکَواتُ البیضِ مِن الغَریینِ؛</w:t>
      </w:r>
      <w:r>
        <w:rPr>
          <w:rStyle w:val="FootnoteAnchor"/>
          <w:rtl w:val="true"/>
        </w:rPr>
        <w:footnoteReference w:id="33"/>
      </w:r>
      <w:r>
        <w:rPr>
          <w:rFonts w:ascii="IRNazanin" w:hAnsi="IRNazanin" w:eastAsia="IRNazanin"/>
          <w:color w:val="111111"/>
          <w:sz w:val="28"/>
          <w:sz w:val="28"/>
          <w:szCs w:val="28"/>
          <w:rtl w:val="true"/>
          <w:lang w:bidi="fa-IR"/>
        </w:rPr>
        <w:t>مقر حکومتش، کوفه و مجلس حکم‌فرمایی‌اش مسجد جامع آن و بیت‌المال و محل تقسیم غنایم مسلمانان، مسجد سهله خواهد بود و خلوتگاه او موضعی است‌که ریگ‌های سفید سر زمین نجف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صادق علیه‌السلام در نقطه‌ای پشت کوفه دو رکعت نماز گزارد و به یار با وفایش ابان بن تغلب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مَوْضِعُ مَنْزِلِ الْقَائِم؛</w:t>
      </w:r>
      <w:r>
        <w:rPr>
          <w:rStyle w:val="FootnoteAnchor"/>
          <w:rtl w:val="true"/>
        </w:rPr>
        <w:footnoteReference w:id="34"/>
      </w:r>
      <w:r>
        <w:rPr>
          <w:rFonts w:ascii="IRNazanin" w:hAnsi="IRNazanin" w:eastAsia="IRNazanin"/>
          <w:color w:val="111111"/>
          <w:sz w:val="28"/>
          <w:sz w:val="28"/>
          <w:szCs w:val="28"/>
          <w:rtl w:val="true"/>
          <w:lang w:bidi="fa-IR"/>
        </w:rPr>
        <w:t>اینجا محل خانة قائم علیه‌السلام است</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مکه و مدینه، کدامین بقعه از بقاع پروردگار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سپس در کنار شمارش ویژگی‌های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خداوند آن‌جا آشکار می‌شود، و قائم علیه‌السلام و دیگر قائمان ـ قیام کنندگان به قسط که پس از او می‌آیند ـ آن‌جا ساکن می‌شوند</w:t>
      </w:r>
      <w:r>
        <w:rPr>
          <w:rFonts w:eastAsia="IRNazanin" w:cs="IRNazanin"/>
          <w:color w:val="111111"/>
          <w:sz w:val="28"/>
          <w:szCs w:val="28"/>
          <w:rtl w:val="true"/>
          <w:lang w:bidi="fa-IR"/>
        </w:rPr>
        <w:t xml:space="preserve">. </w:t>
      </w:r>
      <w:bookmarkStart w:id="55" w:name="pg12658_166642"/>
    </w:p>
    <w:p>
      <w:pPr>
        <w:pStyle w:val="BookText"/>
        <w:rPr/>
      </w:pPr>
      <w:bookmarkEnd w:id="55"/>
      <w:r>
        <w:rPr>
          <w:rFonts w:ascii="IRNazanin" w:hAnsi="IRNazanin" w:eastAsia="IRNazanin"/>
          <w:color w:val="111111"/>
          <w:sz w:val="28"/>
          <w:sz w:val="28"/>
          <w:szCs w:val="28"/>
          <w:rtl w:val="true"/>
          <w:lang w:bidi="fa-IR"/>
        </w:rPr>
        <w:t>افزون بر روایات یادشده که شهر زندگی آن حضرت را کوفه ذکر کرده به‌گونة مشخص به منزلگاه آن حضرت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به طور عمده مسجد سهله را منزل آن حضرت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علیه‌السلام هنگام ترسیم خط سیر حضرت ولی عصر علیه‌السلام در آستانة ظهور،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او را با چشم خود می‌بینم که از وادی السلام عبور کرده، بر فراز اسبی که سپیدی پاها و پیشانی‌اش همی درخشد، به سوی مسجد سهله در حرکت است و زیر لب زمزمه دارد و خدا را این‌گونه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الااللّه حقاً حقاً</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امام صادق علیه‌السلام خطاب به یار با وفایش ابوبصیر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فرود آمدن قائم علیه‌السلام را با اهل و عیالش در مسجد سهله، با چشم خود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محل اقامت دائمی آن حضرت، در مسجد سهله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56" w:name="__RefHeading___Toc643297_222507752"/>
      <w:bookmarkStart w:id="57" w:name="_Toc21"/>
      <w:bookmarkEnd w:id="56"/>
      <w:r>
        <w:rPr>
          <w:rtl w:val="true"/>
        </w:rPr>
        <w:t>پنج</w:t>
      </w:r>
      <w:r>
        <w:rPr>
          <w:rtl w:val="true"/>
        </w:rPr>
        <w:t xml:space="preserve">. </w:t>
      </w:r>
      <w:r>
        <w:rPr>
          <w:rtl w:val="true"/>
        </w:rPr>
        <w:t>مدت حکومت حضرت مهدی علیه‌السلام</w:t>
      </w:r>
      <w:bookmarkEnd w:id="57"/>
    </w:p>
    <w:p>
      <w:pPr>
        <w:pStyle w:val="BookText"/>
        <w:rPr/>
      </w:pPr>
      <w:r>
        <w:rPr>
          <w:rFonts w:ascii="IRNazanin" w:hAnsi="IRNazanin" w:eastAsia="IRNazanin"/>
          <w:color w:val="111111"/>
          <w:sz w:val="28"/>
          <w:sz w:val="28"/>
          <w:szCs w:val="28"/>
          <w:rtl w:val="true"/>
          <w:lang w:bidi="fa-IR"/>
        </w:rPr>
        <w:t>به دلیل‌هایی که بر ما پوشیده است گویا بنا بر این بوده که مدت دقیق حکومت حضرت مهدی علیه‌السلام ـ مانند برخی موضوعات دیگر مربوط به آن حضرت ـ به روشنی بیان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معصومان علیهم‌السلام ـ اعم از روایات شیعه و اهل سنّت ـ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گوناگونی را 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با یک بررسی ژرف می‌توان دیدگاه‌های پرشماری ارائه کرد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اما به طور عمده روایات به سه دیدگاه فراگیر قابل تقسیم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مدت حکومت حضرت را هفت سال ونزدیک هفت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در روایات اهل سنّت</w:t>
      </w:r>
      <w:r>
        <w:rPr>
          <w:rStyle w:val="FootnoteAnchor"/>
          <w:rtl w:val="true"/>
        </w:rPr>
        <w:footnoteReference w:id="39"/>
      </w:r>
      <w:r>
        <w:rPr>
          <w:rFonts w:ascii="IRNazanin" w:hAnsi="IRNazanin" w:eastAsia="IRNazanin"/>
          <w:color w:val="111111"/>
          <w:sz w:val="28"/>
          <w:sz w:val="28"/>
          <w:szCs w:val="28"/>
          <w:rtl w:val="true"/>
          <w:lang w:bidi="fa-IR"/>
        </w:rPr>
        <w:t>بسیار به چشم می‌خورد و در برخی از منابع روایی شیعی نیز با سند راویان اهل سنّت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مجلسی در </w:t>
      </w:r>
    </w:p>
    <w:p>
      <w:pPr>
        <w:pStyle w:val="BookText"/>
        <w:rPr/>
      </w:pPr>
      <w:r>
        <w:rPr>
          <w:rFonts w:ascii="IRNazanin" w:hAnsi="IRNazanin" w:eastAsia="IRNazanin"/>
          <w:color w:val="111111"/>
          <w:sz w:val="28"/>
          <w:sz w:val="28"/>
          <w:szCs w:val="28"/>
          <w:rtl w:val="true"/>
          <w:lang w:bidi="fa-IR"/>
        </w:rPr>
        <w:t>بحار الانوار از ابوسعید خُدری نقل کرده که پیامبر اکرم 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الْمَهْدِیُّ مِنِّی أَجْلَی الْجَبْهَةِ أَقْنَی الْأَنْفِ یَمْلَأُ الْأَرْضَ قِسْطاً وَ عَدْلًا کَمَا مُلِئَتْ جَوْراً وَ ظُلْماً یَمْلِکُ سَبْعَ سِنِینَ؛</w:t>
      </w:r>
      <w:r>
        <w:rPr>
          <w:rStyle w:val="FootnoteAnchor"/>
          <w:rtl w:val="true"/>
        </w:rPr>
        <w:footnoteReference w:id="40"/>
      </w:r>
      <w:r>
        <w:rPr>
          <w:rFonts w:ascii="IRNazanin" w:hAnsi="IRNazanin" w:eastAsia="IRNazanin"/>
          <w:color w:val="111111"/>
          <w:sz w:val="28"/>
          <w:sz w:val="28"/>
          <w:szCs w:val="28"/>
          <w:rtl w:val="true"/>
          <w:lang w:bidi="fa-IR"/>
        </w:rPr>
        <w:t>مهدی ـ با پیشانی بلند و بینی کشیده ـ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قسط و عدل سرشار می‌سازد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از بیداد و ستم آکنده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حکومت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پس از اشاره به حَسَن بودن روایت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حافظ أَبوداوُد سَجِستانی در صحیح خود و غیر او از راویان بزرگ حدیث همچون طبَرانی و دیگران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 که بیشتر روایاتی که مدت حکومت حضرت را هفت سال ذکر کرده‌اند به روایت ابوسعید خدری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برخی روایات میان هفت و هشت و نه سال تردید شده 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این نامعیّن بودن به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دلایلی در کلام معصوم علیه‌السلام به صورت نامعیّن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کلام معصوم علیه‌السلام معیّن شده و تردید از راوی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بررسی کوتاه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مدت حکومت در روایات یادشده هفت سال ذکر شده به شگفت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توجیه آن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که در برخی روایات نیز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شیخ طوسی روایتی نقل کرده از فَضْل از عَبْدِ اللَّهِ بْنِ الْقَاسِمِ الْحَضْرَمِی از عَبْدِ الْکَرِیمِ بْنِ عَمْرٍو الْخَثْعَمِی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مدت قائم علیه‌السلام حکومت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سال‌های شما هفتاد سال می‌شود</w:t>
      </w:r>
      <w:r>
        <w:rPr>
          <w:rFonts w:eastAsia="IRNazanin" w:cs="IRNazanin"/>
          <w:color w:val="111111"/>
          <w:sz w:val="28"/>
          <w:szCs w:val="28"/>
          <w:rtl w:val="true"/>
          <w:lang w:bidi="fa-IR"/>
        </w:rPr>
        <w:t>.»</w:t>
      </w:r>
      <w:r>
        <w:rPr>
          <w:rStyle w:val="FootnoteAnchor"/>
          <w:rtl w:val="true"/>
        </w:rPr>
        <w:footnoteReference w:id="4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سخنان فراوانی در توجیه این روایت ـ که پایة روایاتی از این دست است ـ به </w:t>
      </w:r>
    </w:p>
    <w:p>
      <w:pPr>
        <w:pStyle w:val="BookText"/>
        <w:rPr/>
      </w:pPr>
      <w:r>
        <w:rPr>
          <w:rFonts w:ascii="IRNazanin" w:hAnsi="IRNazanin" w:eastAsia="IRNazanin"/>
          <w:color w:val="111111"/>
          <w:sz w:val="28"/>
          <w:sz w:val="28"/>
          <w:szCs w:val="28"/>
          <w:rtl w:val="true"/>
          <w:lang w:bidi="fa-IR"/>
        </w:rPr>
        <w:t>میان آوردند که برخی شگفت‌آورتر از خود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مراجعه به منابع به دست می‌آید که در سند روایت عبد اللَّه بن القاسم الْحضرمی</w:t>
      </w:r>
      <w:r>
        <w:rPr>
          <w:rStyle w:val="FootnoteAnchor"/>
          <w:rtl w:val="true"/>
        </w:rPr>
        <w:footnoteReference w:id="43"/>
      </w:r>
      <w:r>
        <w:rPr>
          <w:rFonts w:ascii="Amiri" w:hAnsi="Amiri" w:eastAsia="Amiri" w:cs="Amiri"/>
          <w:color w:val="111111"/>
          <w:sz w:val="28"/>
          <w:sz w:val="28"/>
          <w:szCs w:val="28"/>
          <w:rtl w:val="true"/>
          <w:lang w:bidi="ar-SA"/>
        </w:rPr>
        <w:t>و عَبْد الْکریم بن عَمْرو الْخَثْعمی،</w:t>
      </w:r>
      <w:r>
        <w:rPr>
          <w:rStyle w:val="FootnoteAnchor"/>
          <w:rtl w:val="true"/>
        </w:rPr>
        <w:footnoteReference w:id="44"/>
      </w:r>
      <w:r>
        <w:rPr>
          <w:rFonts w:ascii="IRNazanin" w:hAnsi="IRNazanin" w:eastAsia="IRNazanin"/>
          <w:color w:val="111111"/>
          <w:sz w:val="28"/>
          <w:sz w:val="28"/>
          <w:szCs w:val="28"/>
          <w:rtl w:val="true"/>
          <w:lang w:bidi="fa-IR"/>
        </w:rPr>
        <w:t>به شدت تضعیف شده‌اند؛ و البته نیز چنین دگرگونیی در روال عادی جریان زندگی لزومی ندارد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چرا که نظام امروزین آفرینش، نظام احسن است و لزومی ندارد به گونه‌ای که گفته شده، دگرگون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مدت حکومت حضرت را نوزده سال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قائم، نوزده سال و چند ماه خواهد بود</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مدت حکومت حضرت را چهل سال دانسته‌اند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افزون بر موارد یادشده، مدت‌های دیگری نیز ذکر شده که به خاطر برخی ایرادهای وارد شده به آن روایات، از نقل آنها چشم‌پوشی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این ناهمگونی‌ها را اشاره به مراحل و دوران‌های حکومت آن حضرت می‌دانند؛</w:t>
      </w:r>
      <w:r>
        <w:rPr>
          <w:rStyle w:val="FootnoteAnchor"/>
          <w:rtl w:val="true"/>
        </w:rPr>
        <w:footnoteReference w:id="48"/>
      </w:r>
      <w:r>
        <w:rPr>
          <w:rFonts w:ascii="IRNazanin" w:hAnsi="IRNazanin" w:eastAsia="IRNazanin"/>
          <w:color w:val="111111"/>
          <w:sz w:val="28"/>
          <w:sz w:val="28"/>
          <w:szCs w:val="28"/>
          <w:rtl w:val="true"/>
          <w:lang w:bidi="fa-IR"/>
        </w:rPr>
        <w:t>ولی به هر حال، داوری نهایی دربارة مدت حکومت آن حضرت ـ به سبب نبود اخبار و منابع کافی ـ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می‌توان چنین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روایات اسلامی، مسلم است که این همه آوازه‌ها و مقدمات برای یک دوران کوتاه مدت نیست؛ بلکه قطعاً برای مدتی است طولانی که ارزش این همه تحمل زحمت و کوشش را داشته باشد</w:t>
      </w:r>
      <w:r>
        <w:rPr>
          <w:rFonts w:eastAsia="IRNazanin" w:cs="IRNazanin"/>
          <w:color w:val="111111"/>
          <w:sz w:val="28"/>
          <w:szCs w:val="28"/>
          <w:rtl w:val="true"/>
          <w:lang w:bidi="fa-IR"/>
        </w:rPr>
        <w:t>.</w:t>
      </w:r>
      <w:r>
        <w:rPr>
          <w:rStyle w:val="FootnoteAnchor"/>
          <w:rtl w:val="true"/>
        </w:rPr>
        <w:footnoteReference w:id="4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یاد این نکته بایسته است که فلسفة قیام و حکومت جهانی امام مهدی علیه‌السلام همانند فلسفة بعثت انبیا و پیامبران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برانگیخته‌شدن </w:t>
      </w:r>
    </w:p>
    <w:p>
      <w:pPr>
        <w:pStyle w:val="BookText"/>
        <w:rPr/>
      </w:pPr>
      <w:r>
        <w:rPr>
          <w:rFonts w:ascii="IRNazanin" w:hAnsi="IRNazanin" w:eastAsia="IRNazanin"/>
          <w:color w:val="111111"/>
          <w:sz w:val="28"/>
          <w:sz w:val="28"/>
          <w:szCs w:val="28"/>
          <w:rtl w:val="true"/>
          <w:lang w:bidi="fa-IR"/>
        </w:rPr>
        <w:t>پیام‌آوران الهی، رساندن دستورهای خداوند و روشن‌کردن چراغ فروزان هدایت بر سر راه کاروان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یا کوتاه‌بودن مدت ابلاغ رسالت، به اصل آن آسیب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پیامبر اسلام صلی‌الله‌علیه‌وآله، بیست و سه سال بود؛ ولی واپسین پیام الهی را رساند و این چراغ هدایت را بر 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می‌توان به مدت پیامبری حضرت نوح علیه‌السلام اشاره کرد که بر خلاف مدت طولانی آن، به سبب پدیدنیامدن شرایط بایسته، بهرة چشم‌گیری به بار نیاورد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امامت و حکومت حضرت مهدی علیه‌السلام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اصلی رساندن پیام الهی و تحقق‌بخشیدن به حکومت جهانی خداوند و حاکمیت مستضعفان است؛ هر چند در مقایسه با کل تاریخ، سالیانی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 اعتقاد به رجعت، بهترین پاسخ را به محدودبودن مدّت حکومت مهدی علیه‌السلام داده است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ضمن اینکه این مدت از نگاه چگونگی بهره‌مندی انسان‌ها از همة نعمت‌های مادی و معنوی خداوند با همة تاریخ زندگی انسان بر زمین بهره‌مندی برابری خواهد کرد؛ بلکه افزون‌تر خواهد بود</w:t>
      </w:r>
      <w:r>
        <w:rPr>
          <w:rFonts w:eastAsia="IRNazanin" w:cs="IRNazanin"/>
          <w:color w:val="111111"/>
          <w:sz w:val="28"/>
          <w:szCs w:val="28"/>
          <w:rtl w:val="true"/>
          <w:lang w:bidi="fa-IR"/>
        </w:rPr>
        <w:t xml:space="preserve">. </w:t>
      </w:r>
      <w:bookmarkStart w:id="58" w:name="pg12658_166650"/>
    </w:p>
    <w:p>
      <w:pPr>
        <w:pStyle w:val="Heading3"/>
        <w:numPr>
          <w:ilvl w:val="2"/>
          <w:numId w:val="1"/>
        </w:numPr>
        <w:rPr/>
      </w:pPr>
      <w:bookmarkStart w:id="59" w:name="__RefHeading___Toc643299_222507752"/>
      <w:bookmarkStart w:id="60" w:name="_Toc22"/>
      <w:bookmarkEnd w:id="58"/>
      <w:bookmarkEnd w:id="59"/>
      <w:r>
        <w:rPr>
          <w:rtl w:val="true"/>
        </w:rPr>
        <w:t>خودآزمایی</w:t>
      </w:r>
      <w:bookmarkEnd w:id="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از نظر لغت و اصطلاح به چه معناست؟ و چرا برپایی آن یک ضرورت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بارة حکومت جهانی حضرت مهدی علیه‌السلام از چه واژگانی استفاده شده است؟ هر کدام را به اختصار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بارة حتمی‌بودن حکومت حضرت مهدی علیه‌السلام به استناد یک روایت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 حکومت جهانی حضرت مهدی علیه‌السلام کجاست؟ و دلیل این گزینش کدام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دیدگاه‌هایی برای مدت حکومت حضرت مهدی علیه‌السلام مطرح شده است؟ آنها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643301_222507752"/>
      <w:bookmarkStart w:id="62" w:name="_Toc23"/>
      <w:bookmarkEnd w:id="61"/>
      <w:r>
        <w:rPr>
          <w:rtl w:val="true"/>
        </w:rPr>
        <w:t>منابع برای پژوهش</w:t>
      </w:r>
      <w:bookmarkEnd w:id="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طبسی، نجم الدین، چشم اندازی به حکومت مهدی عجل‌الله‌فرجه، قم،  بوستان کتاب،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حکومت جهانی مهدی عجل‌الله‌فرجه، قم، مدرسه امام علی علیه‌السلام،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خراسانی، محمد جواد، مهدی منتظر،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میرشفیعی خوانساری، قم، نور الاصفیاء،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 محمّد، تاریخ پس از ظهور، ترجمه حسن سجادی‌پور، چاپ اول، تهران، موعود عصر،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کورانی، علی، عصر ظهور، ترجمه عباس جلالی، تهران، شرکت چاپ و نشر بین الملل سازمان تبلیغات اسلامی،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2658_166654"/>
      <w:bookmarkStart w:id="64" w:name="pg12658_166654"/>
      <w:bookmarkEnd w:id="64"/>
    </w:p>
    <w:p>
      <w:pPr>
        <w:pStyle w:val="Heading2"/>
        <w:numPr>
          <w:ilvl w:val="1"/>
          <w:numId w:val="1"/>
        </w:numPr>
        <w:rPr/>
      </w:pPr>
      <w:bookmarkStart w:id="65" w:name="pg12658_166654"/>
      <w:bookmarkStart w:id="66" w:name="__RefHeading___Toc643303_222507752"/>
      <w:bookmarkStart w:id="67" w:name="_Toc24"/>
      <w:bookmarkEnd w:id="65"/>
      <w:bookmarkEnd w:id="66"/>
      <w:r>
        <w:rPr>
          <w:rtl w:val="true"/>
        </w:rPr>
        <w:t>درس دوم</w:t>
      </w:r>
      <w:r>
        <w:rPr>
          <w:rtl w:val="true"/>
        </w:rPr>
        <w:t xml:space="preserve">: </w:t>
      </w:r>
      <w:r>
        <w:rPr>
          <w:rtl w:val="true"/>
        </w:rPr>
        <w:t>گسترة حکومت حضرت مهدی علیه‌السلام</w:t>
      </w:r>
      <w:bookmarkEnd w:id="67"/>
    </w:p>
    <w:p>
      <w:pPr>
        <w:pStyle w:val="Heading3"/>
        <w:numPr>
          <w:ilvl w:val="2"/>
          <w:numId w:val="1"/>
        </w:numPr>
        <w:rPr/>
      </w:pPr>
      <w:bookmarkStart w:id="68" w:name="__RefHeading___Toc643305_222507752"/>
      <w:bookmarkStart w:id="69" w:name="_Toc25"/>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ادلة جهانی‌بودن حکومت مهدی علیه‌السلام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معصومان علیهم‌السلام</w:t>
      </w:r>
    </w:p>
    <w:p>
      <w:pPr>
        <w:pStyle w:val="BookText"/>
        <w:rPr/>
      </w:pPr>
      <w:r>
        <w:rPr>
          <w:rFonts w:ascii="IRNazanin" w:hAnsi="IRNazanin" w:eastAsia="IRNazanin"/>
          <w:color w:val="111111"/>
          <w:sz w:val="28"/>
          <w:sz w:val="28"/>
          <w:szCs w:val="28"/>
          <w:rtl w:val="true"/>
          <w:lang w:bidi="fa-IR"/>
        </w:rPr>
        <w:t>نسبت جهانی‌شدن و حکومت جهانی حضرت مهدی علیه‌السلام</w:t>
      </w:r>
    </w:p>
    <w:p>
      <w:pPr>
        <w:pStyle w:val="BookText"/>
        <w:rPr/>
      </w:pPr>
      <w:r>
        <w:rPr>
          <w:rFonts w:ascii="IRNazanin" w:hAnsi="IRNazanin" w:eastAsia="IRNazanin"/>
          <w:color w:val="111111"/>
          <w:sz w:val="28"/>
          <w:sz w:val="28"/>
          <w:szCs w:val="28"/>
          <w:rtl w:val="true"/>
          <w:lang w:bidi="fa-IR"/>
        </w:rPr>
        <w:t>تعاریفی از جهانی شدن</w:t>
      </w:r>
    </w:p>
    <w:p>
      <w:pPr>
        <w:pStyle w:val="BookText"/>
        <w:rPr/>
      </w:pPr>
      <w:r>
        <w:rPr>
          <w:rFonts w:ascii="IRNazanin" w:hAnsi="IRNazanin" w:eastAsia="IRNazanin"/>
          <w:color w:val="111111"/>
          <w:sz w:val="28"/>
          <w:sz w:val="28"/>
          <w:szCs w:val="28"/>
          <w:rtl w:val="true"/>
          <w:lang w:bidi="fa-IR"/>
        </w:rPr>
        <w:t>حکومت واحد جهانی حضرت مهدی علیه‌السلام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امتیازات حکومت جهانی مهدوی بر جهانی‌شدن </w:t>
      </w:r>
      <w:bookmarkStart w:id="70" w:name="pg12658_166656"/>
    </w:p>
    <w:p>
      <w:pPr>
        <w:pStyle w:val="Heading3"/>
        <w:numPr>
          <w:ilvl w:val="2"/>
          <w:numId w:val="1"/>
        </w:numPr>
        <w:rPr/>
      </w:pPr>
      <w:bookmarkStart w:id="71" w:name="__RefHeading___Toc643307_222507752"/>
      <w:bookmarkStart w:id="72" w:name="_Toc26"/>
      <w:bookmarkEnd w:id="70"/>
      <w:bookmarkEnd w:id="71"/>
      <w:r>
        <w:rPr>
          <w:rtl w:val="true"/>
        </w:rPr>
        <w:t>پیش‌درآمد</w:t>
      </w:r>
      <w:bookmarkEnd w:id="72"/>
    </w:p>
    <w:p>
      <w:pPr>
        <w:pStyle w:val="BookText"/>
        <w:rPr/>
      </w:pPr>
      <w:r>
        <w:rPr>
          <w:rFonts w:ascii="IRNazanin" w:hAnsi="IRNazanin" w:eastAsia="IRNazanin"/>
          <w:color w:val="111111"/>
          <w:sz w:val="28"/>
          <w:sz w:val="28"/>
          <w:szCs w:val="28"/>
          <w:rtl w:val="true"/>
          <w:lang w:bidi="fa-IR"/>
        </w:rPr>
        <w:t>اندیشة زندگی در یک نظام فراگیر جهانی، آرمانی است که ریشه در ندای فطری و درونی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دارد و از دیرباز ذهن بشر را به خود درگیر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همة مکتب‌های پرآوازه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درازای تاریخ پدید آمده‌اند ـ چه الهی و چه غیر الهی به نسبت ـ به برپایی یک حکومت یگانة جهانی توجه و باور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در پاسخ به این نیاز درونی و همگانی، در رسیدن جامعة بشری به بهترین روش سامان‌دهی زندگی برای رشد و تکامل، یگانه راه را در برپایی یک حکومت جهانی بر پایة آموزه‌های اسلام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در پرتو این حکومت واحد جهانی،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کرة خاکی، روزگاری را سپری خواهند کرد، با ویژگی‌هایی که هرگز پیش از آن مانند آن را نگذرانده‌اند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دارد که پاسخی به آرزوی همة پیامبران و شایستگان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جهانی‌بودن حکومت شایستگان، یکی از این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مهم در این دوران است؛ که در پرتو تلاش‌های خستگی‌ناپذیر رهبر 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شایستة این دوران، به زندگی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پیشکش می‌شود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اصلی‌ترین پدیده در دگرگونی پایان تاریخ مهدوی، تشکیل حکومت واحد جهانی در سراسر گیتی است و به‌ناگزیر همة هدف‌های این حرکت الهی چونان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امنیت، عدالت و یکتاپرستی، فقط زیر پرچم این حاکمیت و سیطره در گستره همة زمین شدنی است</w:t>
      </w:r>
      <w:r>
        <w:rPr>
          <w:rFonts w:eastAsia="IRNazanin" w:cs="IRNazanin"/>
          <w:color w:val="111111"/>
          <w:sz w:val="28"/>
          <w:szCs w:val="28"/>
          <w:rtl w:val="true"/>
          <w:lang w:bidi="fa-IR"/>
        </w:rPr>
        <w:t xml:space="preserve">. </w:t>
      </w:r>
      <w:bookmarkStart w:id="73" w:name="pg12658_166657"/>
    </w:p>
    <w:p>
      <w:pPr>
        <w:pStyle w:val="BookText"/>
        <w:rPr/>
      </w:pPr>
      <w:bookmarkEnd w:id="73"/>
      <w:r>
        <w:rPr>
          <w:rFonts w:ascii="IRNazanin" w:hAnsi="IRNazanin" w:eastAsia="IRNazanin"/>
          <w:color w:val="111111"/>
          <w:sz w:val="28"/>
          <w:sz w:val="28"/>
          <w:szCs w:val="28"/>
          <w:rtl w:val="true"/>
          <w:lang w:bidi="fa-IR"/>
        </w:rPr>
        <w:t>البته جهانی بودن حکومت حضرت مهدی علیه‌السلام فقط به این معنا نیست که گسترة حکومت آن حضرت همة کرة زمین را در بر می‌گیرد و از برخی روایات به دست می‌آید، آن موعود نجات‌بخش، در دوران خود بر همة هستی پیشوایی خواهد کرد؛ به گونه‌ای که بر پایة برخی روایات همة اهل آسمان‌ها و زمین از حکومت او خشنود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اهل آسمان‌ها می‌تواند اشاره کنایه‌ای به خداوند، ارواح انبیا، فرشتگان و یا انسان‌هایی باشد که در آن زمان در کرات دیگر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 از پیغمبر اکرم صلی‌الله‌علیه‌وآله و سلم نقل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أُبَشِّرُکُمْ بِالْمَهْدِیِّ یُبْعَثُ فِی أُمَّتِی عَلَی اخْتِلَافٍ مِنَ النَّاسِ وَزِلْزَالٍ یَمْلَأُ الْأَرْضَ عَدْلًا وَ قِسْطاً کَمَا مُلِئَتْ جَوْراً وَ ظُلْماً یَرْضَی عَنْهُ سَاکِنُ السَّمَاءِ وَ سَاکِنُ الْأَرْضِ؛</w:t>
      </w:r>
      <w:r>
        <w:rPr>
          <w:rStyle w:val="FootnoteAnchor"/>
          <w:rtl w:val="true"/>
        </w:rPr>
        <w:footnoteReference w:id="51"/>
      </w:r>
      <w:r>
        <w:rPr>
          <w:rFonts w:ascii="IRNazanin" w:hAnsi="IRNazanin" w:eastAsia="IRNazanin"/>
          <w:color w:val="111111"/>
          <w:sz w:val="28"/>
          <w:sz w:val="28"/>
          <w:szCs w:val="28"/>
          <w:rtl w:val="true"/>
          <w:lang w:bidi="fa-IR"/>
        </w:rPr>
        <w:t>شما را مژده می‌دهم به مهدی که هنگام اختلاف مردم و تزلزل زمانه برانگیخته شود و زمین را از عدل و داد پر کند چونان که از ظلم و ستم پر شده باشد و ساکنان آسمان و زمین از وی خشنود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اینجا ناگزیر سخن ما در بارة قلمرو حکومت آن حضرت به کرة زمین، بیشتر نخواهد بود</w:t>
      </w:r>
      <w:r>
        <w:rPr>
          <w:rFonts w:eastAsia="IRNazanin" w:cs="IRNazanin"/>
          <w:color w:val="111111"/>
          <w:sz w:val="28"/>
          <w:szCs w:val="28"/>
          <w:rtl w:val="true"/>
          <w:lang w:bidi="fa-IR"/>
        </w:rPr>
        <w:t>.</w:t>
      </w:r>
    </w:p>
    <w:p>
      <w:pPr>
        <w:pStyle w:val="Heading3"/>
        <w:numPr>
          <w:ilvl w:val="2"/>
          <w:numId w:val="1"/>
        </w:numPr>
        <w:rPr/>
      </w:pPr>
      <w:bookmarkStart w:id="74" w:name="__RefHeading___Toc643309_222507752"/>
      <w:bookmarkStart w:id="75" w:name="_Toc27"/>
      <w:bookmarkEnd w:id="74"/>
      <w:r>
        <w:rPr>
          <w:rtl w:val="true"/>
        </w:rPr>
        <w:t>ادلة جهانی‌بودن حکومت مهدی علیه‌السلام</w:t>
      </w:r>
      <w:bookmarkEnd w:id="75"/>
    </w:p>
    <w:p>
      <w:pPr>
        <w:pStyle w:val="Heading4"/>
        <w:numPr>
          <w:ilvl w:val="3"/>
          <w:numId w:val="1"/>
        </w:numPr>
        <w:rPr/>
      </w:pPr>
      <w:bookmarkStart w:id="76" w:name="__RefHeading___Toc643311_222507752"/>
      <w:bookmarkStart w:id="77" w:name="_Toc28"/>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مهم‌ترین دلیل‌های جهانی‌بودن حکومت حضرت مهدی علیه‌السلام بدین قرارند</w:t>
      </w:r>
      <w:r>
        <w:rPr>
          <w:rFonts w:eastAsia="IRNazanin" w:cs="IRNazanin"/>
          <w:color w:val="111111"/>
          <w:sz w:val="28"/>
          <w:szCs w:val="28"/>
          <w:rtl w:val="true"/>
          <w:lang w:bidi="fa-IR"/>
        </w:rPr>
        <w:t>:</w:t>
      </w:r>
    </w:p>
    <w:p>
      <w:pPr>
        <w:pStyle w:val="Heading4"/>
        <w:numPr>
          <w:ilvl w:val="3"/>
          <w:numId w:val="1"/>
        </w:numPr>
        <w:rPr/>
      </w:pPr>
      <w:bookmarkStart w:id="78" w:name="__RefHeading___Toc643313_222507752"/>
      <w:bookmarkStart w:id="79" w:name="_Toc29"/>
      <w:bookmarkEnd w:id="78"/>
      <w:r>
        <w:rPr/>
        <w:t>1</w:t>
      </w:r>
      <w:r>
        <w:rPr>
          <w:rtl w:val="true"/>
        </w:rPr>
        <w:t xml:space="preserve">. </w:t>
      </w:r>
      <w:r>
        <w:rPr>
          <w:rtl w:val="true"/>
        </w:rPr>
        <w:t>در آیات قرآن</w:t>
      </w:r>
      <w:bookmarkEnd w:id="7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آیات قرآن، به جهانی‌بودن اسلام و اختصاص‌نداشتن آن به قوم یا منطقة خاصّی، اشاره شده و آن از بایسته‌های این دین الهی دانسته شده است و حتی کسانی که ایمان به آن ندارند، می‌دانند که فراخوانی اسلام، همگانی بوده و به منطقة جغرافیایی ویژه‌ای محدود نبوده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هرگز نمی‌توان ادعا کرد تا کنون چنین پیش‌بینی و وعده‌ای تحقق یافته است و از آنجا که وعدة خداوند تخلف‌ناپذیر است در آینده و پیش از برپایی رستاخیز می‌بایست تحقق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آیه‌هایی که به حکومت حضرت مهدی علیه‌السلام تفسیر شده، آیه ارسال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الدِّینِ کُلِّهِ وَلَوْکَرِهَ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او کسی است که پیامبرش را با هدایت و دین درست فرستاد، تا آن را بر هر چه دین است پیروز گرداند؛ هر چند مشرکان خوش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آیة یادشده، با همین واژگان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تفاوت اندکی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سبب ارزش خبر از رویداد که می‌دهد، تکرار شده است و آن جهانی‌شدن اسلام و فراگیری این آیین بر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کسی ادعا نمی‌کند که این نوید تحقق یافته است؛ ولی این وعدة حتمی خداوند آهسته آهسته در حال پدیدآمدن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پایة روایات، تکامل این برنامه، هنگامی خواهد بود که حضرت مهدی عجل‌الله‌فرجه ظهور کند و برنامة جهانی‌شدن اسلام را پدیدآورد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از امام صادق علیه‌السلام، در تفسیر این آیه نقل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تأویل این آیه نازل نشده و نخواهد شد، تا آن‌که قائم عجل‌الله‌فرجه به پا خیزد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او به پا خاست، دیگر هیچ کافر به خدا و منکر امامی نمی‌ماند؛ مگر این‌که از خروج آن حضرت ناراحت می‌شود…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قمی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دربارة قائم آل محمد صلی‌الله علیه و آله وسلم نازل شده و این‌که در باره آن حضرت نازل شده، بدین معنا است که خروج او تأویل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صدوق هم این برداشت استفاده می‌شد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اتفاق همة مسلمانان، اسلام دینی است که در واپسین حلقه از زنجیرة طولانی نبوت آشکار شده و از هر سو کامل‌ترین و جامع‌ترین دین‌ها است و تا روز رستاخیز نیز بشریت را از هر سوی کفایت می‌کند</w:t>
      </w:r>
      <w:r>
        <w:rPr>
          <w:rFonts w:eastAsia="IRNazanin" w:cs="IRNazanin"/>
          <w:color w:val="111111"/>
          <w:sz w:val="28"/>
          <w:szCs w:val="28"/>
          <w:rtl w:val="true"/>
          <w:lang w:bidi="fa-IR"/>
        </w:rPr>
        <w:t xml:space="preserve">. </w:t>
      </w:r>
      <w:bookmarkStart w:id="80" w:name="pg12658_166662"/>
    </w:p>
    <w:p>
      <w:pPr>
        <w:pStyle w:val="BookText"/>
        <w:rPr/>
      </w:pPr>
      <w:bookmarkEnd w:id="80"/>
      <w:r>
        <w:rPr>
          <w:rFonts w:ascii="IRNazanin" w:hAnsi="IRNazanin" w:eastAsia="IRNazanin"/>
          <w:color w:val="111111"/>
          <w:sz w:val="28"/>
          <w:sz w:val="28"/>
          <w:szCs w:val="28"/>
          <w:rtl w:val="true"/>
          <w:lang w:bidi="fa-IR"/>
        </w:rPr>
        <w:t>از دیگر آیات در این زمینه می‌توان اشاره کرد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الدِّینَ عِنْدَ اللَّهِ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در حقیقت، دین نزد خداوند همان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یَبتَغِ غَیرَ الاِسْلامِ دِیناً فَلَنْ یُقبَلَ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 xml:space="preserve">و هر که جز اسلام،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 هرگز از وی پذیرفته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اَنَّ الاَرْضَ یَرِثُها عِبادِیَ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و در حقیقت، در زبور پس از تورات نوشتیم که زمین را بندگان شایسته ما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همة این آیات به دست می‌آید که مسلمانان، به حقانیّت، فراگیری، جهان‌شمولی و سرانجام جهان‌گستری، پیروزی و چیرگی پایانی آن دست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آیات، گواهان تاریخی فراوانی هست که پیامبر اکرم صلی‌الله علیه و آله وسلم به این جهانی‌بودن پافشاری کرده‌اند چونان نامه‌هایی که به سران کشورهای بزرگ جهان مانند قیصر روم و پادشاه ایران و فرمانروایان مصر و حبشه و شامات و نیز به رؤسای قبایل گوناگون عرب و… فرستاد و همگان را به پذیرفتن این دین مقدس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پیامدهای وخیم کفر و روی‌گردانی از اسلام، برحذر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اسلام، جهانی نبود چنین دعوت همگانی انجام نمی‌گرفت و دیگر اقوام و امت‌ها هم برای نپذیرفتن، عذری می‌داشتند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البته افزون بر آیات یاد شده آیات دیگری نیز دلالت بر جهانشمولی دعوت اسلام دارد</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81" w:name="__RefHeading___Toc643315_222507752"/>
      <w:bookmarkStart w:id="82" w:name="_Toc30"/>
      <w:bookmarkEnd w:id="81"/>
      <w:r>
        <w:rPr/>
        <w:t>2</w:t>
      </w:r>
      <w:r>
        <w:rPr>
          <w:rtl w:val="true"/>
        </w:rPr>
        <w:t xml:space="preserve">. </w:t>
      </w:r>
      <w:r>
        <w:rPr>
          <w:rtl w:val="true"/>
        </w:rPr>
        <w:t>در روایات معصومان علیهم‌السلام</w:t>
      </w:r>
      <w:bookmarkEnd w:id="8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چیرگی اسلام بر همة ادیان و مکاتب و تسلط بر ستمگران و فرمانروایان غیر الهی و </w:t>
      </w:r>
    </w:p>
    <w:p>
      <w:pPr>
        <w:pStyle w:val="BookText"/>
        <w:rPr/>
      </w:pPr>
      <w:r>
        <w:rPr>
          <w:rFonts w:ascii="IRNazanin" w:hAnsi="IRNazanin" w:eastAsia="IRNazanin"/>
          <w:color w:val="111111"/>
          <w:sz w:val="28"/>
          <w:sz w:val="28"/>
          <w:szCs w:val="28"/>
          <w:rtl w:val="true"/>
          <w:lang w:bidi="fa-IR"/>
        </w:rPr>
        <w:t>پدیدآمدن حکومت جهانی، لازمه باور به مهدویّت و ظهور منجی دادگستر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نگاه شیعیان، تاریخ اسلام پس از پیامبر اکرم صلی‌الله علیه و آله وسلم با کنار گذاشتن امیر مؤمنان ، علی بن ابی‌طالب و فرزندان معصوم او علیهم‌السلام، در حوزة سیاست و حکومت به کژی گرایید و پیامدهای ناگوار پرشماری نیز در پی داشت که یکی از آن‌ها دورشدن جامعه از رهبری معنوی و آسمانی است؛ چرا که امام علی علیه‌السلام و پس از او دیگر پیشوایان دوازدهگانه، پیشوایان دینی ـ سیاسی بر حق و دارای حق خلافت و امامت انحصاری‌اند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ـ هر کس باشد ـ غاصب حق معصومند و از این رو جائر و باطلند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انحراف و کژی همچنان ادامه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شیعیان دوازده امامی در عصر حضور پیشوایان معصوم، به سبب تنگناهایی که ستمگران فراهم کردند، هرگز موفق به برپایی دولت اسلامی نشدند، چشم‌به‌راهند تا واپسین بازمانده از امامان معصوم علیهم‌السلام که 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غیبت کبرا برای او آغاز شده است، آشکار شود و تاریخ اسلام و در فرجام، انسان را با برطرف کردن موانع، به راه الهی‌اش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اسلام، سربلند، پیروز و همگانی می‌شود و مسلمانان، توانمند و بر جهان چیره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پایة این تفسیر، برپایی حکومت واحد جهانی ناگزیر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اشاره شد به روشنی می‌توان گفت حکومت حضرت مهدی عجل‌الله‌فرجه، در جایگاه بزرگ‌ترین آرمان فرودستان، دارای ویژگی‌های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پس از پیروزی حضرت مهدی علیه‌السلام و نابودی کفر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خاور و باختر گیتی سلطنت و برتری خواهد یافت؛ این چیرگی و برتری درآمدی است برای برپایی حکومت جهانی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هیچ آبادی‌ای در زمین نمی‌ماند؛ مگر اینکه گلبانگ شهادت به یگانگی خداوند از آن بر می‌خیزد و سراسر گیتی از عدل و داد آکنده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آن حضرت، آرمان والای برپایی جامعة بزرگ بشری و خانواده انسانی پدیدار می‌شود و امید دیرینه همة پیامبران، امامان و شایستگان برآورده می‌شود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هشتمین پیشوای شیعیان امام رضا علیه‌السلام از پدرانش از پیامبر اکرم صلی‌الله علیه و آله وسلم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شب معراج در بخشی از بیانی طولانی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وَلَاُطَهِّرَنَّ الاَرْضَ بِآخِرِهِم مِنْ اَعدَائِی وَلَاُمَلِّکَنَّهُ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وَلَاُمَکِّنَنَّهُ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الْاَرْضِ وَمَغارِبَها… ؛ </w:t>
      </w:r>
      <w:r>
        <w:rPr>
          <w:rStyle w:val="FootnoteAnchor"/>
          <w:rtl w:val="true"/>
        </w:rPr>
        <w:footnoteReference w:id="59"/>
      </w:r>
      <w:r>
        <w:rPr>
          <w:rFonts w:ascii="IRNazanin" w:hAnsi="IRNazanin" w:eastAsia="IRNazanin"/>
          <w:color w:val="111111"/>
          <w:sz w:val="28"/>
          <w:sz w:val="28"/>
          <w:szCs w:val="28"/>
          <w:rtl w:val="true"/>
          <w:lang w:bidi="fa-IR"/>
        </w:rPr>
        <w:t xml:space="preserve">… و به درستی زمین را به دست واپسین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معصومین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دشمنانم پاک خواهم ساخت، تمام گستره زمین را در فرمانروایی او قرار خواهم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رهبری امام مهدی عجل‌الله‌فرجه، با برقرای مدیریت و حاکمیت یگانه برای همة گروه‌ها، نژادها و سرزمین‌ها، یکی از عوامل اصلی رودررویی و جنگ و ستم از میان می‌رود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صلی‌الله علیه و آله وسلم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اَلاَئِمَّةُ مِنْ بَعْدِی اِثْنا عَشَرَ اَوَّلُهُمْ اَنْتَ یا عَلِیُّ وَآخِرُهُم الْقائِمُ الَّذِی یَفْتَحُ اللّهُ تَعالی ذِکْرُهُ عَلی یَدَیْهِ مَشارِقَ الاَرْضِ وَمَغارِبَها؛</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پس از من دوازده نفرند؛ نخستین آنان تو هستی ای علی و واپسین آنان قائم است؛ همو که خداوند بر دستانش باختران و خاوران زمین را به زیر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علیه‌السلام نیز 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یُظْهِرُهُ اللّهُ عَزَّوَجَلَّ فَیَفتَحُ اللّهُ عَلَی یَدِهِ مَشارِقَ الاَرضِ وَ مَغارِبَهَا؛</w:t>
      </w:r>
      <w:r>
        <w:rPr>
          <w:rStyle w:val="FootnoteAnchor"/>
          <w:rtl w:val="true"/>
        </w:rPr>
        <w:footnoteReference w:id="62"/>
      </w:r>
      <w:r>
        <w:rPr>
          <w:rFonts w:ascii="IRNazanin" w:hAnsi="IRNazanin" w:eastAsia="IRNazanin"/>
          <w:color w:val="111111"/>
          <w:sz w:val="28"/>
          <w:sz w:val="28"/>
          <w:szCs w:val="28"/>
          <w:rtl w:val="true"/>
          <w:lang w:bidi="fa-IR"/>
        </w:rPr>
        <w:t>سپس خدای عز و جل او را آشکار سازد و خاوران و باختران زمین را به دست او بگشاید و…</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شیعه در این دیدگاه بر این باور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برپایی حکومت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به عنوان یگانه دین حق و کامل و دارای شریعت فراگیر، پذیرفتة همگان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ستم‌گران و زورگویان از بلندای قدرت به زیر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حکومت جهانی اسلام با پیشوایی و رهبری امام معصوم و دادگر برپا شده و عدالت بر پایة یکتاپرستی و اخلاق در گستره‌ای جهانی اجرا می‌گردد</w:t>
      </w:r>
      <w:r>
        <w:rPr>
          <w:rFonts w:eastAsia="IRNazanin" w:cs="IRNazanin"/>
          <w:color w:val="111111"/>
          <w:sz w:val="28"/>
          <w:szCs w:val="28"/>
          <w:rtl w:val="true"/>
          <w:lang w:bidi="fa-IR"/>
        </w:rPr>
        <w:t xml:space="preserve">. </w:t>
      </w:r>
      <w:bookmarkStart w:id="83" w:name="pg12658_166667"/>
    </w:p>
    <w:p>
      <w:pPr>
        <w:pStyle w:val="BookText"/>
        <w:rPr/>
      </w:pPr>
      <w:bookmarkEnd w:id="8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آیات و رویات، توجه به این نکته نیز جهانی‌بودن حکومت حضرت مهدی علیه‌السلام را روشن می‌کند و آن اینکه در آموزه‌های اسلامی به‌ویژه سخنان پیشوایان معصوم علیهم السلام، از ویژگی‌ها، اختیارات و کارهایی یاد شده است که آن‌ها جز با برپایی حکومت واحد جهانی پدید نخواهند آمد؛ مانند اینکه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علیه‌السلام ستم و جور را برای همیشه برمی‌اندازد و عدالت و دین حق را در گسترة جهان گسترش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ما، با درانداختن بیم و هراس در دل ستم‌گران یاری می‌شود، با پشتیبانی و حمایت از سوی خداوند تأیید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او هموار و راهوار می‌شود، گنج‌ها برای او آشکار و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او خاور و باختر زمین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دست او دین خود را بر همة دین‌ها چیرگی می‌بخشد؛ هر چند مشرکان را ناخوشایند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خرابی و هیچ ویرانی‌ای نمی‌ماند، مگر آن‌که آباد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علیهما السلام فرود آید و پشت سر او نماز گزارد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پایه، حکومت جهانی واحد از دیرباز به عنوان یکی از باورهای مسلّم شیعی و یکی از نیازهای بشر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شیعیان امامی در انتظار روزی هستند که چنین حکومتی، با ظهور منجی موعود برپا شود و تاریخ بشر در مسیر حق قرار گیرد و بشریت از برکات آن بهره‌مند شوند</w:t>
      </w:r>
      <w:r>
        <w:rPr>
          <w:rFonts w:eastAsia="IRNazanin" w:cs="IRNazanin"/>
          <w:color w:val="111111"/>
          <w:sz w:val="28"/>
          <w:szCs w:val="28"/>
          <w:rtl w:val="true"/>
          <w:lang w:bidi="fa-IR"/>
        </w:rPr>
        <w:t>.</w:t>
      </w:r>
    </w:p>
    <w:p>
      <w:pPr>
        <w:pStyle w:val="Heading3"/>
        <w:numPr>
          <w:ilvl w:val="2"/>
          <w:numId w:val="1"/>
        </w:numPr>
        <w:rPr/>
      </w:pPr>
      <w:bookmarkStart w:id="84" w:name="__RefHeading___Toc643317_222507752"/>
      <w:bookmarkStart w:id="85" w:name="_Toc31"/>
      <w:bookmarkEnd w:id="84"/>
      <w:r>
        <w:rPr>
          <w:rtl w:val="true"/>
        </w:rPr>
        <w:t>نسبت جهانی‌شدن و حکومت جهانی حضرت مهدی علیه‌السلام</w:t>
      </w:r>
      <w:bookmarkEnd w:id="85"/>
    </w:p>
    <w:p>
      <w:pPr>
        <w:pStyle w:val="BookText"/>
        <w:rPr/>
      </w:pPr>
      <w:r>
        <w:rPr>
          <w:rFonts w:ascii="IRNazanin" w:hAnsi="IRNazanin" w:eastAsia="IRNazanin"/>
          <w:color w:val="111111"/>
          <w:sz w:val="28"/>
          <w:sz w:val="28"/>
          <w:szCs w:val="28"/>
          <w:rtl w:val="true"/>
          <w:lang w:bidi="fa-IR"/>
        </w:rPr>
        <w:t>در اسلام، به‌ویژه در مکتب پیروان مکتب اهل بیت علیهم‌السلام، توجّه به آینده و برپایی حکومت واحد جهانی بر پایة داد و دادگری به رهبری انسانی معصوم،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سخنان بسیاری از رسول گرامی اسلامی صلّی اللّهُ علیه وآله و ائمه اطهار علیهم‌السلام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بشر به آرزوی دیرینة خود برسد و زندگی سعادت‌مند و دور از هر ستم و ستم‌گری را ببیند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برخی به این نتیجه رسیده‌اند که خوش‌بختی و زندگی دور از هر نگرانی، فقط در صورتی است که همه چیز جهانی باشد و با یک حکومت واحد جهانی اداره </w:t>
      </w:r>
      <w:bookmarkStart w:id="86" w:name="pg12658_166669"/>
    </w:p>
    <w:p>
      <w:pPr>
        <w:pStyle w:val="BookText"/>
        <w:rPr/>
      </w:pPr>
      <w:bookmarkEnd w:id="86"/>
      <w:r>
        <w:rPr>
          <w:rFonts w:ascii="IRNazanin" w:hAnsi="IRNazanin" w:eastAsia="IRNazanin"/>
          <w:color w:val="111111"/>
          <w:sz w:val="28"/>
          <w:sz w:val="28"/>
          <w:szCs w:val="28"/>
          <w:rtl w:val="true"/>
          <w:lang w:bidi="fa-IR"/>
        </w:rPr>
        <w:t>شود؛ از این رو همة تلاش و کوشش خود را بر این‌گذاشته‌اند که همه چیز را جهانی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جهانی؛ تجارت جهانی؛ فرهنگ جهانی؛ سیاست جهانی؛ دهکده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یگانه نسخه برای درمان دردهای بشریت را تن‌دادن به این جهانی‌شدن می‌دانند و بر این پندارند این جهانی شدن، امری ناگزیر و شدنی و یا در حال شدن است پس باید همه خود را با آن هماهنگ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روندی از دگرگونی را به نمایش می‌گذارد که از مرزهای سیاست و اقتصاد فراتر می‌رود و دانش، فرهنگ و شیوة زندگی را نیز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یگانه نسبت جهانی‌شدن غربی با جهانی سازی مهدوی در گسترة جغرافیایی آن است که در هر دو، قلمرو این جهانی شدن سراسر کرة زمین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مباحثی چون قانون، رهبر و مردم شباهتی به یکدیگر ندارند</w:t>
      </w:r>
      <w:r>
        <w:rPr>
          <w:rFonts w:eastAsia="IRNazanin" w:cs="IRNazanin"/>
          <w:color w:val="111111"/>
          <w:sz w:val="28"/>
          <w:szCs w:val="28"/>
          <w:rtl w:val="true"/>
          <w:lang w:bidi="fa-IR"/>
        </w:rPr>
        <w:t>.</w:t>
      </w:r>
    </w:p>
    <w:p>
      <w:pPr>
        <w:pStyle w:val="Heading3"/>
        <w:numPr>
          <w:ilvl w:val="2"/>
          <w:numId w:val="1"/>
        </w:numPr>
        <w:rPr/>
      </w:pPr>
      <w:bookmarkStart w:id="87" w:name="__RefHeading___Toc643319_222507752"/>
      <w:bookmarkStart w:id="88" w:name="_Toc32"/>
      <w:bookmarkEnd w:id="87"/>
      <w:r>
        <w:rPr>
          <w:rtl w:val="true"/>
        </w:rPr>
        <w:t>حکومت واحد جهانی حضرت مهدی علیه‌السلام</w:t>
      </w:r>
      <w:bookmarkEnd w:id="88"/>
    </w:p>
    <w:p>
      <w:pPr>
        <w:pStyle w:val="BookText"/>
        <w:rPr/>
      </w:pPr>
      <w:r>
        <w:rPr>
          <w:rFonts w:ascii="IRNazanin" w:hAnsi="IRNazanin" w:eastAsia="IRNazanin"/>
          <w:color w:val="111111"/>
          <w:sz w:val="28"/>
          <w:sz w:val="28"/>
          <w:szCs w:val="28"/>
          <w:rtl w:val="true"/>
          <w:lang w:bidi="fa-IR"/>
        </w:rPr>
        <w:t>حکومت واحد جهانی امام مهدی علیه‌السلام به راستی، پاسخی است به نیاز بایستة پیش‌گفتة بشر برای زیست در حکومتی دادگرانه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برپایة آیات قرآن و سخنان بزرگان دین بر این باورند که آیندة روشنی برای زندگی انسان در حال شکلگیری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پیش بینی می‌کنند در آینده‌ای نه‌چندان دور به این آرمان بزرگ دست خواهند یافت و این حقیقت را در امید به زندگی بهتر و در چارچوب انتظار فرج هر روز مشق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درنگ در آموزه‌های اسلام، روشن می‌شود که هدف دین زیر یک پرچم‌آوردن ملّت‌ها و برداشتن دیوار خودبزرگ‌بینی و تفاوت‌های خودساخته و برپایی یگانگی، همکاری و پیوندی است که ریشه و پایه آن، کلمة توحید و ایمان و عقیده به آن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آموزه‌های اسلامی در پیِ آنند تا همة اختلاف‌ها و جدایی‌ها را که به نام‌های گوناگون پدید آمده، با باور یگانه‌پرستانه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نژادی، طبقاتی، ملّی، وطنی، جغرافیایی، مسلکی، حزبی، زبانی، همه باید از میان برود و سبب امتیاز و افتخار نباشد، حتّی باید اختلافات‌دینی هم، کنار گذاشته شود و همه باید تسلیم فرمان خدا باشند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یا أَهْلَ الْکِتابِ تَعالَوْا إِلی کَلِمَةٍ سَواءٍ بَیْنَنا وَ بَیْنَکُمْ أَلاَّ نَعْبُدَ إِلاَّ اللَّهَ </w:t>
      </w:r>
    </w:p>
    <w:p>
      <w:pPr>
        <w:pStyle w:val="BookText"/>
        <w:rPr/>
      </w:pPr>
      <w:r>
        <w:rPr>
          <w:rFonts w:ascii="Amiri" w:hAnsi="Amiri" w:eastAsia="Amiri" w:cs="Amiri"/>
          <w:color w:val="111111"/>
          <w:sz w:val="28"/>
          <w:sz w:val="28"/>
          <w:szCs w:val="28"/>
          <w:rtl w:val="true"/>
          <w:lang w:bidi="ar-SA"/>
        </w:rPr>
        <w:t>وَ لا نُشْرِکَ بِهِ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 بیایید بر سر سخنی که میان ما و شما یکسان است بایستیم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را نپرستیم و چیزی را شریک او نگردانیم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بشر، رسیدن به چنین روزی را پیش‌بینی کرده و تا اندازه‌ای مقدّمات آن را نیز فراهم ساخته و عملی شدن آن را موکول به آماده شدن همة زمینه‌ها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یادشده یک ندای وحدت است در برابر تمام مذاهب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مسیحیان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و حتی می‌گویید 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به خدایان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لذا قایل به وحدت در تثلیث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یهود در عین سخنان شرک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فرزند خدا پنداشتند، مدعی توحید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همه آنها اعلام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شما در اصل توحید مشترکیم؛ بیایید دست به دست هم داده این اصل مشترک را بدون هیچ پیرایه‌ای زنده کنیم و از تفسیرهای نابجا که نتیجه آن شرک و دوری از توحید خالص است خودداری نمائیم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همانگونه که پیش‌تر نیز اشاره شد، جریان چگونگی‌های جهانی و پیشرفت‌های شگرف در امور علمی و فن‌آوری سبب شده تا یک نوع فشردگی در زمان و مکان پدید آید و این خود سبب شده تا انسان‌ها در کنار آن‌که از جهت ارتباط به یکدیگر نزدیک شده‌اند، ولی به جهت احساسات انسانی از هم‌دیگر دور شده‌اند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امروز بایستگی یگانگی حقیقی، همدلی، همفکری و همکاری صمیمانة روحانی و برادرانه بیش از هر زمان دیگر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جلوتر برویم، این نیاز را بیش‌تر احساس می‌کنیم؛ یعنی، آن دهکدة جهانی که دانشمندان غربی در سده بیستم احتمال آن را داده‌اند، اسلام، در هزار و چهارصد سال پیش، با پافشاری فراوان، خبر داده و حتّی چگونگی پدیدآمدن آن و شکل‌گیری حکومت در آن نظام یگانة جهانی و رهبری آن نظام را به‌گونة روشن و آشکارا، تبیین کرده است</w:t>
      </w:r>
      <w:r>
        <w:rPr>
          <w:rFonts w:eastAsia="IRNazanin" w:cs="IRNazanin"/>
          <w:color w:val="111111"/>
          <w:sz w:val="28"/>
          <w:szCs w:val="28"/>
          <w:rtl w:val="true"/>
          <w:lang w:bidi="fa-IR"/>
        </w:rPr>
        <w:t xml:space="preserve">. </w:t>
      </w:r>
      <w:bookmarkStart w:id="89" w:name="pg12658_166673"/>
    </w:p>
    <w:p>
      <w:pPr>
        <w:pStyle w:val="Heading3"/>
        <w:numPr>
          <w:ilvl w:val="2"/>
          <w:numId w:val="1"/>
        </w:numPr>
        <w:rPr/>
      </w:pPr>
      <w:bookmarkStart w:id="90" w:name="__RefHeading___Toc643321_222507752"/>
      <w:bookmarkStart w:id="91" w:name="_Toc33"/>
      <w:bookmarkEnd w:id="89"/>
      <w:bookmarkEnd w:id="90"/>
      <w:r>
        <w:rPr>
          <w:rtl w:val="true"/>
        </w:rPr>
        <w:t>مقایسه‌و تمایز</w:t>
      </w:r>
      <w:bookmarkEnd w:id="91"/>
    </w:p>
    <w:p>
      <w:pPr>
        <w:pStyle w:val="BookText"/>
        <w:rPr/>
      </w:pPr>
      <w:r>
        <w:rPr>
          <w:rFonts w:ascii="IRNazanin" w:hAnsi="IRNazanin" w:eastAsia="IRNazanin"/>
          <w:color w:val="111111"/>
          <w:sz w:val="28"/>
          <w:sz w:val="28"/>
          <w:szCs w:val="28"/>
          <w:rtl w:val="true"/>
          <w:lang w:bidi="fa-IR"/>
        </w:rPr>
        <w:t>البته هرگز نمی‌توان حکومت واحد جهانی حضرت مهدی علیه‌السلام را با جهانی‌شدن غربی مقایسه کرد؛ هر چند اگر جهانی‌شدن به صورت طبیعی‌خود به‌پیش برود، می‌تواند زمینه‌ساز آن حکومت جهانی موعود باشد، ولی همین که صاحب‌نظران دنیا، در اصل برپایی حکومت واحد جهانی، با اسلام و مکتب شیعه همنوا شده‌اند، خود، امری ارزش‌مند است؛ زیرا، تا دیروز، برپایی‌حکومت واحد جهانی زیر نگاه امام معصوم، برای دنیا پذیرفتنی نبود و آن‌را چیز شگفت‌آور و باورنکردنی می‌پنداشتند، ولی امروزه، خود، آن را امری گریز‌ناپذیر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جهان، رفته رفته، خود را برای پذیرش‌حکومت واحد جهانی آماده می‌سازد، زمینة فکری بشر برای اجرای این طرح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دیروز، حکومت واحد جهانی، فقط یک باور اسلامی شیعی بود، امروز، آنان هستند که انسان‌ها را به پذیرش و اجرای این طرح که امری بایسته و حیاتی‌است، فرامی‌خوانند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جهانی‌شدن، فقط در همین اندازه از انطباق کلّی با حکومت واحد جهانی حضرت مهدی علیه‌السلام است و گر نه کسی نمی‌تواند جهانی‌شدن را هماهنگ با حکومت حضرت مهدی علیه‌السلام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را که اسلام نوید داده است، دارای ویژگی‌هایی است که به‌طور اساسی در فکر محدود بشر نمی‌گنجد تا طرح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حکومت پیشنهادی بشر، روزی در دنیا پیاده شود، به یقین، همانند سایر سازمان‌های بین المللی، وسیله‌ای برای چیرگی توانمندان بر ناتوان‌ها و گسترش ستم مدرن در زمین، و سرانجام، سبب زحمت و گرفتن آزادی و آسایش مردم خواهد بود؛ و بر این پایه، ایمان به خداوند و باور به روز رستاخیز و اعتقاد راستین افراد به حقوق و آزادی‌های دیگران، پدید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حکومتی، نه پدید می‌آید و نه بر فرض پدیدآمدن، ضمانت اجرایی خواهد داشت و نه شهوات و غرائز آدمی را که انگیزش او در جنگ و آشوب است، مهار می‌کند و نه می‌تواند یک برادری ایمانی و انسانی در عالم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حکومت واحد جهانی که در اسلام نوید داده شده است، هم ضامن اجرایی دارد و هم عقیده و ایمان از آن پشتیبانی می‌کند و هم مردم را </w:t>
      </w:r>
      <w:bookmarkStart w:id="92" w:name="pg12658_166675"/>
    </w:p>
    <w:p>
      <w:pPr>
        <w:pStyle w:val="BookText"/>
        <w:rPr/>
      </w:pPr>
      <w:bookmarkEnd w:id="92"/>
      <w:r>
        <w:rPr>
          <w:rFonts w:ascii="IRNazanin" w:hAnsi="IRNazanin" w:eastAsia="IRNazanin"/>
          <w:color w:val="111111"/>
          <w:sz w:val="28"/>
          <w:sz w:val="28"/>
          <w:szCs w:val="28"/>
          <w:rtl w:val="true"/>
          <w:lang w:bidi="fa-IR"/>
        </w:rPr>
        <w:t>برادر می‌سازد و هم غرائز و امیال را راهنمایی می‌کند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93" w:name="__RefHeading___Toc643323_222507752"/>
      <w:bookmarkStart w:id="94" w:name="_Toc34"/>
      <w:bookmarkEnd w:id="93"/>
      <w:r>
        <w:rPr>
          <w:rtl w:val="true"/>
        </w:rPr>
        <w:t>امتیازات حکومت جهانی مهدوی بر جهانی‌شدن</w:t>
      </w:r>
      <w:bookmarkEnd w:id="94"/>
    </w:p>
    <w:p>
      <w:pPr>
        <w:pStyle w:val="BookText"/>
        <w:rPr/>
      </w:pPr>
      <w:r>
        <w:rPr>
          <w:rFonts w:ascii="IRNazanin" w:hAnsi="IRNazanin" w:eastAsia="IRNazanin"/>
          <w:color w:val="111111"/>
          <w:sz w:val="28"/>
          <w:sz w:val="28"/>
          <w:szCs w:val="28"/>
          <w:rtl w:val="true"/>
          <w:lang w:bidi="fa-IR"/>
        </w:rPr>
        <w:t>در پایان، به‌برخی از ویژگی‌ها و برجستگی‌های حکومت مهدوی بر جهانی‌سازی غربی،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حکومت جهانی‌حضرت مهدی علیه‌السلام دین اسلام، یگانه دین حاکم بر جهان خواهد بود، چنان که دین و سیاست نیز از هم تفکیک‌ناپذیرند و بلکه سیاست و حکومت؛ در خدمت دین و اهداف ارزشمند آن است، در صورتی که در وضعیت جهانی‌شدن غربی، دین، و به‌ویژه اسلام، جایگاه روشنی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آموزه‌های دینی چندان نقشی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پایة همة کارها، آموزه‌های قرآنی و سخنان پیشوایان معصوم علیهم‌السلام است در حالی که در جهانی‌شدن و جهانی‌سازی غربی، اساس قوانین و کارها به‌طور فراگیر، قوانین دست‌نوشتة بشری و به دور از آموزه‌های اخلاقی و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وَیَعَطِفُ الرایَ عَلَی‌القرآنِ اذا عَطَفُوا القَرآنَ عَلَی‌الرایِ؛ در آن هنگام که مردم قرآن را به رأی خود تفسیر کنند، امام زمان علیه‌السلام، آراء و نظر مردم را پیرو قرآن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کلام امیر المؤ‌منین علیه‌السلام بهره می‌بریم که در حکومت مهدی علیه‌السلام محور همه چیز و همه آراء و باورها، آیات قرآن خواهد بود، در حالی‌که در وضعیّت جهانی‌شدن غربی، نه فقط آموزه‌های الهی در جامعة بشری محور نیست، بلکه کوشش می‌شود که دین هیچ‌گونه نقشی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واحد جهانی اسلامی، به رهبری شایسته‌ترین و وارسته‌ترین انسان آن دوران برپا می‌شود و یاران او نیز در شمار بهترین انسان‌های زمان خود هستند در حالی که در حکومت واحد جهانی پیشنهادی، بیشتر رهبران از پست‌ترین انسان‌ها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w:t>
      </w:r>
    </w:p>
    <w:p>
      <w:pPr>
        <w:pStyle w:val="BookText"/>
        <w:rPr/>
      </w:pPr>
      <w:r>
        <w:rPr>
          <w:rFonts w:ascii="IRNazanin" w:hAnsi="IRNazanin" w:eastAsia="IRNazanin"/>
          <w:color w:val="111111"/>
          <w:sz w:val="28"/>
          <w:sz w:val="28"/>
          <w:szCs w:val="28"/>
          <w:rtl w:val="true"/>
          <w:lang w:bidi="fa-IR"/>
        </w:rPr>
        <w:t>نیست اشاره کنیم که امروزه شعار بسیاری از کاندیداهای انتخاباتی در غرب حمایت از هم‌جنس‌بازان و یا حمایت از رژیم غاصب صهیونیستی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جهانی امام مهدی علیه‌السلام در پی پایه‌گذاری یک جامعة اخلاقی، امنیت را به عنوان یک نیاز اساسی برای همة جهانیان به ارمغان خواهد آورد، در حالی که جهانی‌سازی غربی، سبب بحران‌های گوناگون و ناامنی‌های فراوان خواهد شد، البته گروه اندکی که همانا صاحبان ثروت و قدرت هستند ممکن است در یک امنیت ظاهری به سر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فراگیر و همگانی دانش، از ویژگی‌های ارزندة حکومت جهانی امام مهدی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اختصاص به طبقه و گروه خاصی ندارد و همگان از فرصت‌های برابر بهره‌مند می‌شوند در حالی که در مدل جهانی‌سازی غربی دانش پیشرفته، در انحصار کشورهای ویژه‌ای است و این کشورها از دادن آن به کشورهای دیگر جلوگیری می‌کنند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حکومت واحد جهانی‌حضرت مهدی علیه‌السلام، رهبر به گزینش خداوند و گزارش پیامبر خاتم صلی‌الله‌علیه‌وآله، نصب شده است و مردم در مرحلة پذیرش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جهانی‌شدن، مشروعیّت ظاهری حکومت جهانی، از ناحیة مردم است، آن‌هم با هزاران فریب‌کاری که در گرفتن آرای مردم به‌کار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برنامه و قانون در حکومت واحد جهانی‌حضرت مهدی علیه‌السلام خردورزی است؛ که در آن دوران نوید داده شده، خرد همة انسان‌ها به کمال خواهد رسید، در حالی‌که حکومت بر پایة جهانی‌شدن، بر مبنای هواهای نفسانی و گرایش‌های حیوانی پدیدار می‌شود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واحد جهانی‌حضرت مهدی علیه‌السلام بر اساس عدل و قسط اداره می‌شود، و جایی از زمین نیست که در آن عدل گسترده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حاکمان در حکومت‌های عصر جهانی‌شدن، خود، از ستمگران‌اند و چنان در زمین رفتار می‌کنند که گویا دشمن عدل‌اند و به‌طور بنیادین این که پیش از آمدن حضرت مهدی علیه‌السلام </w:t>
      </w:r>
    </w:p>
    <w:p>
      <w:pPr>
        <w:pStyle w:val="BookText"/>
        <w:rPr/>
      </w:pPr>
      <w:r>
        <w:rPr>
          <w:rFonts w:ascii="IRNazanin" w:hAnsi="IRNazanin" w:eastAsia="IRNazanin"/>
          <w:color w:val="111111"/>
          <w:sz w:val="28"/>
          <w:sz w:val="28"/>
          <w:szCs w:val="28"/>
          <w:rtl w:val="true"/>
          <w:lang w:bidi="fa-IR"/>
        </w:rPr>
        <w:t>جهان پر از ظلم و ستم می‌شود، در همان عصر جهانی‌شدن است که ظلم فراگیر در زمین تحقّق پیدا می‌کند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امتیازات حکومت واحد جهانی‌حضرت مهدی علیه‌السلام منحصر در موارد یادشده نیست، بلکه بررسی و دقت نگاه بیشتر، می‌تواند امتیازات فراوانی را فراروی ما قرار دهد</w:t>
      </w:r>
      <w:r>
        <w:rPr>
          <w:rFonts w:eastAsia="IRNazanin" w:cs="IRNazanin"/>
          <w:color w:val="111111"/>
          <w:sz w:val="28"/>
          <w:szCs w:val="28"/>
          <w:rtl w:val="true"/>
          <w:lang w:bidi="fa-IR"/>
        </w:rPr>
        <w:t xml:space="preserve">. </w:t>
      </w:r>
      <w:bookmarkStart w:id="95" w:name="pg12658_166681"/>
    </w:p>
    <w:p>
      <w:pPr>
        <w:pStyle w:val="Heading3"/>
        <w:numPr>
          <w:ilvl w:val="2"/>
          <w:numId w:val="1"/>
        </w:numPr>
        <w:rPr/>
      </w:pPr>
      <w:bookmarkStart w:id="96" w:name="__RefHeading___Toc643325_222507752"/>
      <w:bookmarkStart w:id="97" w:name="_Toc35"/>
      <w:bookmarkEnd w:id="95"/>
      <w:bookmarkEnd w:id="96"/>
      <w:r>
        <w:rPr>
          <w:rtl w:val="true"/>
        </w:rPr>
        <w:t>خودآزمایی</w:t>
      </w:r>
      <w:bookmarkEnd w:id="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ادلة جهانی‌بودن حکومت حضرت مهدی علیه السلام را به استناد آیات قرآن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استناد به برخی روایات چگونگی جهانی‌بودن حکومت حضرت مهدی علیه‌السلام را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جهانی‌شدن و حکومت جهانی حضرت مهدی علیه‌السلام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مقایسة میان جهانی‌شدن و حکومت جهانی حضرت مهدی علیه‌السلام شدنی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امتیاز از امتیازات حکومت جهانی حضرت مهدی علیه‌السلام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643327_222507752"/>
      <w:bookmarkStart w:id="99" w:name="_Toc36"/>
      <w:bookmarkEnd w:id="98"/>
      <w:r>
        <w:rPr>
          <w:rtl w:val="true"/>
        </w:rPr>
        <w:t>منابع برای پژوهش</w:t>
      </w:r>
      <w:bookmarkEnd w:id="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طاهری، حبیب الله، سیمای آفتاب، قم، انتشارات زائر،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کارگر، رحیم، آیندة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سیاست در اندیشة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بنیاد فرهنگی حضرت مهدی موعود،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طبسی، نجم الدین، چشم اندازی به حکومت مهدی عجل‌الله‌فرجه، قم، بوستان کتاب،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کورانی، علی، عصر ظهور، ترجمه عباس جلالی، تهران ، شرکت چاپ و نشر بین الملل سازمان تبلیغات اسلامی،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سیّد محمّد، تاریخ پس از ظهور، ترجمه حسن سجادی‌پور، تهران، موعود عصر،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12658_166685"/>
      <w:bookmarkStart w:id="101" w:name="pg12658_166685"/>
      <w:bookmarkEnd w:id="101"/>
    </w:p>
    <w:p>
      <w:pPr>
        <w:pStyle w:val="Heading2"/>
        <w:numPr>
          <w:ilvl w:val="1"/>
          <w:numId w:val="1"/>
        </w:numPr>
        <w:rPr/>
      </w:pPr>
      <w:bookmarkStart w:id="102" w:name="pg12658_166685"/>
      <w:bookmarkStart w:id="103" w:name="__RefHeading___Toc643329_222507752"/>
      <w:bookmarkStart w:id="104" w:name="_Toc37"/>
      <w:bookmarkEnd w:id="102"/>
      <w:bookmarkEnd w:id="103"/>
      <w:r>
        <w:rPr>
          <w:rtl w:val="true"/>
        </w:rPr>
        <w:t>درس سوم</w:t>
      </w:r>
      <w:r>
        <w:rPr>
          <w:rtl w:val="true"/>
        </w:rPr>
        <w:t xml:space="preserve">: </w:t>
      </w:r>
      <w:r>
        <w:rPr>
          <w:rtl w:val="true"/>
        </w:rPr>
        <w:t>نظام اعتقادی حکومت مهدی علیه‌السلام</w:t>
      </w:r>
      <w:bookmarkEnd w:id="104"/>
    </w:p>
    <w:p>
      <w:pPr>
        <w:pStyle w:val="Heading3"/>
        <w:numPr>
          <w:ilvl w:val="2"/>
          <w:numId w:val="1"/>
        </w:numPr>
        <w:rPr/>
      </w:pPr>
      <w:bookmarkStart w:id="105" w:name="__RefHeading___Toc643331_222507752"/>
      <w:bookmarkStart w:id="106" w:name="_Toc38"/>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همه و همیشه</w:t>
      </w:r>
    </w:p>
    <w:p>
      <w:pPr>
        <w:pStyle w:val="BookText"/>
        <w:rPr/>
      </w:pPr>
      <w:r>
        <w:rPr>
          <w:rFonts w:ascii="IRNazanin" w:hAnsi="IRNazanin" w:eastAsia="IRNazanin"/>
          <w:color w:val="111111"/>
          <w:sz w:val="28"/>
          <w:sz w:val="28"/>
          <w:szCs w:val="28"/>
          <w:rtl w:val="true"/>
          <w:lang w:bidi="fa-IR"/>
        </w:rPr>
        <w:t>دین در عصر ظهور</w:t>
      </w:r>
    </w:p>
    <w:p>
      <w:pPr>
        <w:pStyle w:val="BookText"/>
        <w:rPr/>
      </w:pPr>
      <w:r>
        <w:rPr>
          <w:rFonts w:ascii="IRNazanin" w:hAnsi="IRNazanin" w:eastAsia="IRNazanin"/>
          <w:color w:val="111111"/>
          <w:sz w:val="28"/>
          <w:sz w:val="28"/>
          <w:szCs w:val="28"/>
          <w:rtl w:val="true"/>
          <w:lang w:bidi="fa-IR"/>
        </w:rPr>
        <w:t>دستورالعمل‌های نوین در عصر ظهور</w:t>
      </w:r>
    </w:p>
    <w:p>
      <w:pPr>
        <w:pStyle w:val="BookText"/>
        <w:rPr/>
      </w:pPr>
      <w:r>
        <w:rPr>
          <w:rFonts w:ascii="IRNazanin" w:hAnsi="IRNazanin" w:eastAsia="IRNazanin"/>
          <w:color w:val="111111"/>
          <w:sz w:val="28"/>
          <w:sz w:val="28"/>
          <w:szCs w:val="28"/>
          <w:rtl w:val="true"/>
          <w:lang w:bidi="fa-IR"/>
        </w:rPr>
        <w:t>حاکمیت اسلام بر زمین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پیروان دیگر ادیان </w:t>
      </w:r>
      <w:bookmarkStart w:id="107" w:name="pg12658_166687"/>
    </w:p>
    <w:p>
      <w:pPr>
        <w:pStyle w:val="Heading3"/>
        <w:numPr>
          <w:ilvl w:val="2"/>
          <w:numId w:val="1"/>
        </w:numPr>
        <w:rPr/>
      </w:pPr>
      <w:bookmarkStart w:id="108" w:name="__RefHeading___Toc643333_222507752"/>
      <w:bookmarkStart w:id="109" w:name="_Toc39"/>
      <w:bookmarkEnd w:id="107"/>
      <w:bookmarkEnd w:id="108"/>
      <w:r>
        <w:rPr>
          <w:rtl w:val="true"/>
        </w:rPr>
        <w:t>پیش‌درآمد</w:t>
      </w:r>
      <w:bookmarkEnd w:id="109"/>
    </w:p>
    <w:p>
      <w:pPr>
        <w:pStyle w:val="BookText"/>
        <w:rPr/>
      </w:pPr>
      <w:r>
        <w:rPr>
          <w:rFonts w:ascii="IRNazanin" w:hAnsi="IRNazanin" w:eastAsia="IRNazanin"/>
          <w:color w:val="111111"/>
          <w:sz w:val="28"/>
          <w:sz w:val="28"/>
          <w:szCs w:val="28"/>
          <w:rtl w:val="true"/>
          <w:lang w:bidi="fa-IR"/>
        </w:rPr>
        <w:t>یگانه‌پرستی پایه باورهای همة ادیان آسمانی و بندگی خداوند، هدف اصلی آفرینش انسان‌ها و آرمان همة پیامبران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 حضرت مهدی علیه‌السلام، عصر فراهم‌آوردن همة زمینه‌ها برای بازگشت انسان به سرشت توحیدی او است؛ و قیام جهانی مهدوی در این عرصه، حلقة پایانی زنجیرة فراخوان مردم به پرستش خداوند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دوران حکومت جهانی حضرت مهدی علیه‌السلام، بی‌گمان، والاترین، شکوه‌مندترین و شکوفاترین، فصل تاریخ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دوران، دورانی است که نویدهای خداوند دربارة جانشینی مؤمنان و پیشوایی جهانی فرودستان و وراثت شایستگان، تحقق بیرونی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پذیرد و با توان الهیِ آخرین پرچمدار دادگری و یکتاپرستی، زمین صحنة فاخرترین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بندگی پروردگار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تلاش خواهد شد بر پایة احادیث معتبر،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ویژگی‌های اعتقادی آن دوران به تصویر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گستره مباحث نیازمند مطالعات ژرف‌تری خواهد بود</w:t>
      </w:r>
      <w:r>
        <w:rPr>
          <w:rFonts w:eastAsia="IRNazanin" w:cs="IRNazanin"/>
          <w:color w:val="111111"/>
          <w:sz w:val="28"/>
          <w:szCs w:val="28"/>
          <w:rtl w:val="true"/>
          <w:lang w:bidi="fa-IR"/>
        </w:rPr>
        <w:t>.</w:t>
      </w:r>
    </w:p>
    <w:p>
      <w:pPr>
        <w:pStyle w:val="Heading3"/>
        <w:numPr>
          <w:ilvl w:val="2"/>
          <w:numId w:val="1"/>
        </w:numPr>
        <w:rPr/>
      </w:pPr>
      <w:bookmarkStart w:id="110" w:name="__RefHeading___Toc643335_222507752"/>
      <w:bookmarkStart w:id="111" w:name="_Toc40"/>
      <w:bookmarkEnd w:id="110"/>
      <w:r>
        <w:rPr>
          <w:rtl w:val="true"/>
        </w:rPr>
        <w:t>اسلام برای همه و همیشه</w:t>
      </w:r>
      <w:bookmarkEnd w:id="11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بارة گسترة دین اسلام، به‌گونه‌ای گسترده و از زوایای گوناگون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از آیات، رسالت پیامبر اکرم صلی‌الله‌علیه‌وآله را جهانی دانسته؛ برخی دیگر، قرآن را هدایت‌گر همة بشر در سراسر گیتی می‌دانند و سرانجام، بخش پرشماری از آیات چیرگی دین اسلام بر ادیان دیگر را امری ناگزیر پیش‌گویی </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آیات این بحث در چند دسته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روشنی، رسالت پیامبر گرامی اسلام را جهانی دانسته و آن حضرت را پیامبر جهانیان نام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النَّاسُ إِنِّی رَسُولُ اللَّهِ إِلَیْکُمْ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بگو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خدا به سوی همه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به خوبی نشان می‌دهد که همة مردم مخاطب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أَرْسَلْنَاکَ إِلاَّ رَحْمَةً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و تو را جز رحمتی برای جهانیان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رسالت پیامبر اسلام، رحمت همگانی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مفهوم گسترده‌ای دارد که همة نژادها، ملت‌ها و همه کشورها را دربر‌می‌گیرد و به جهانی‌بودن رسالت الهی پیامبر اسلام صلی‌الله‌علیه‌وآله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قرآن کریم را هدایت‌گر و کتاب انسان‌ساز برای همة بشر در درازای تاریخ شناسانده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 إِلَیَّ هذَا الْقُرْآنُ لِأُنْذِرَکُمْ بِهِ وَ مَنْ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 xml:space="preserve">و این قرآن به من وحی شده تا به وسیلة آن، شما و هر کس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پیام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هشدار 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إِلاَّ ذِکْرٌ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پندی برای جهانیان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دسته آیات، به روشنی رسالت اصلی قرآن کریم که هدایت همة انسان‌های زمین است، اشاره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به چیرگی و پیروزی اسلام بر ادیان دیگر نوید داده است و آن </w:t>
      </w:r>
    </w:p>
    <w:p>
      <w:pPr>
        <w:pStyle w:val="BookText"/>
        <w:rPr/>
      </w:pPr>
      <w:r>
        <w:rPr>
          <w:rFonts w:ascii="IRNazanin" w:hAnsi="IRNazanin" w:eastAsia="IRNazanin"/>
          <w:color w:val="111111"/>
          <w:sz w:val="28"/>
          <w:sz w:val="28"/>
          <w:szCs w:val="28"/>
          <w:rtl w:val="true"/>
          <w:lang w:bidi="fa-IR"/>
        </w:rPr>
        <w:t>را یگانه دین پذیرفتة خداوند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در حقیقت، دین نزد خدا همان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یَبْتَغِ غَیرَ الإِسْلاَمِ دِینًا فَلَن یُقْبَلَ مِنْهُ وَهُوَ فِی الآخِرَةِ مِنَ الْخَاسِرِینَ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 xml:space="preserve">و هر که جز اسلام،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 هرگز از وی پذیرفته نشود، و وی در آخرت از زیان‌کاران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 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او کسی است که پیامبرش را با هدایت و دین درست، فرستاد تا آن را بر هر چه دین است پیروز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پیروزشدن اسلام بر ادیان دیگر، از آیات یادشده به دست می‌آید اسلام بر همة ادیان، چه حق و چه باطل، پیروز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پایة قراین و شواهد معتبر،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آیة یادشده و آیات بسیاری دیگر که پیروان ادیان آسمانی پیش از اسلام را بر پذیرش این دین به عنوان دینی همگانی فرا می‌خواند، این پیروزی تبیین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دسته سوم آیات، جهان‌شمولی دین اسلام به خوبی به دست می‌آید؛ زیرا هنگامی که ادیان دیگر از اعتبار ساقط و دین اسلام به عنوان دین رسمی و صاحب تفوق معرفی شود، فقط این دین شایستگی هدایت و راه‌نمایی انسان‌ها را دارد که یک نیاز همگانی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اسلام را دین فطری می‌داند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از آن‌جا که سرشت انسان همگانی و امر مشترک میان همة افراد است، دینی مطابق با این سرشت همگانی، همواره رسالت جهانی خواهد داشت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آیات قرآن، روایات معصومان علیهم‌السلام نیز بر بُعد جهانی‌بودن اسلام پافشاری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سخن امام صادق علیه‌السلام که فرمود</w:t>
      </w:r>
      <w:r>
        <w:rPr>
          <w:rFonts w:eastAsia="IRNazanin" w:cs="IRNazanin"/>
          <w:color w:val="111111"/>
          <w:sz w:val="28"/>
          <w:szCs w:val="28"/>
          <w:rtl w:val="true"/>
          <w:lang w:bidi="fa-IR"/>
        </w:rPr>
        <w:t xml:space="preserve">: </w:t>
      </w:r>
      <w:bookmarkStart w:id="112" w:name="pg12658_166693"/>
    </w:p>
    <w:p>
      <w:pPr>
        <w:pStyle w:val="BookText"/>
        <w:rPr/>
      </w:pPr>
      <w:bookmarkEnd w:id="1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أَرْسَلَهُ کَافَّةً إِلَی الْأَبْیَضِ وَ الْأَسْوَدِ وَ الْجِنِّ وَ الْإِنْسِ؛</w:t>
      </w:r>
      <w:r>
        <w:rPr>
          <w:rStyle w:val="FootnoteAnchor"/>
          <w:rtl w:val="true"/>
        </w:rPr>
        <w:footnoteReference w:id="76"/>
      </w:r>
      <w:r>
        <w:rPr>
          <w:rFonts w:ascii="IRNazanin" w:hAnsi="IRNazanin" w:eastAsia="IRNazanin"/>
          <w:color w:val="111111"/>
          <w:sz w:val="28"/>
          <w:sz w:val="28"/>
          <w:szCs w:val="28"/>
          <w:rtl w:val="true"/>
          <w:lang w:bidi="fa-IR"/>
        </w:rPr>
        <w:t>پیامبر را برای همگان، اعم از سفید و سیاه و انس و جن،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هیچ‌گونه محدودیتی فرا‌روی رسالت جهانی اسلام قائل نیست و به آن در سطحی فراتر از رنگ پوست و جنسیت توجه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دین حق در هر زمانی یکی بیش نیست و اکنون که دین اسلام، ادیان پیشین را نسخ کرده، یگانه دین رسمی در پیشگاه خداوند بوده و پیروی از آن بر همه بشر بایسته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دین اسلام که فراگیرترین و کامل‌ترین ادیان خداوند به شمار می‌آید، رسالت جهانی دارد و نیاز همگانی انسان‌ها به هدایت را در هر نقطه از جهان پاسخ می‌گوید</w:t>
      </w:r>
      <w:r>
        <w:rPr>
          <w:rFonts w:eastAsia="IRNazanin" w:cs="IRNazanin"/>
          <w:color w:val="111111"/>
          <w:sz w:val="28"/>
          <w:szCs w:val="28"/>
          <w:rtl w:val="true"/>
          <w:lang w:bidi="fa-IR"/>
        </w:rPr>
        <w:t>.</w:t>
      </w:r>
    </w:p>
    <w:p>
      <w:pPr>
        <w:pStyle w:val="Heading3"/>
        <w:numPr>
          <w:ilvl w:val="2"/>
          <w:numId w:val="1"/>
        </w:numPr>
        <w:rPr/>
      </w:pPr>
      <w:bookmarkStart w:id="113" w:name="__RefHeading___Toc643337_222507752"/>
      <w:bookmarkStart w:id="114" w:name="_Toc41"/>
      <w:bookmarkEnd w:id="113"/>
      <w:r>
        <w:rPr>
          <w:rtl w:val="true"/>
        </w:rPr>
        <w:t>دین در عصر ظهور</w:t>
      </w:r>
      <w:bookmarkEnd w:id="114"/>
    </w:p>
    <w:p>
      <w:pPr>
        <w:pStyle w:val="BookText"/>
        <w:rPr/>
      </w:pPr>
      <w:r>
        <w:rPr>
          <w:rFonts w:ascii="IRNazanin" w:hAnsi="IRNazanin" w:eastAsia="IRNazanin"/>
          <w:color w:val="111111"/>
          <w:sz w:val="28"/>
          <w:sz w:val="28"/>
          <w:szCs w:val="28"/>
          <w:rtl w:val="true"/>
          <w:lang w:bidi="fa-IR"/>
        </w:rPr>
        <w:t>پیش از این اشاره شد</w:t>
      </w:r>
      <w:r>
        <w:rPr>
          <w:rStyle w:val="FootnoteAnchor"/>
          <w:rtl w:val="true"/>
        </w:rPr>
        <w:footnoteReference w:id="77"/>
      </w:r>
      <w:r>
        <w:rPr>
          <w:rFonts w:ascii="IRNazanin" w:hAnsi="IRNazanin" w:eastAsia="IRNazanin"/>
          <w:color w:val="111111"/>
          <w:sz w:val="28"/>
          <w:sz w:val="28"/>
          <w:szCs w:val="28"/>
          <w:rtl w:val="true"/>
          <w:lang w:bidi="fa-IR"/>
        </w:rPr>
        <w:t>یکی از ویژگی‌های ارزشمند جهان در آستانة ظهور حضرت مهدی علیه‌السلام، رواج نافرمانی مردم از دستورات خداوند و دوری از دین و دینداری است؛ به گونه‌ای که مردم گروه گروه از پیروی آیین خداوند دور می‌شوند و زندگی کفرآلود و مشرکانه‌ای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به‌روز عوامل فراوانی، گوهر تابناک دین را در هاله‌ای از غبار فراموشی فرو می‌برد، از ایــن رو در گروه‌های انسانی، دین رو به کم‌رنگ‌شدن می‌رود و خرافه‌ها و کژی‌های گوناگونی، گریبان‌گیر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امیرمؤمنـان علی علیه‌السلام حقیقت یادشده را این‌گونه بیان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سَیَأْتِی عَلَیْکُمْ زَمَانٌ یُکْفَأُ فِیهِ الْإِسْلَامُ کَمَا یُکْفَأُ الْإِنَاءُ بِمَا فِیه؛</w:t>
      </w:r>
      <w:r>
        <w:rPr>
          <w:rStyle w:val="FootnoteAnchor"/>
          <w:rtl w:val="true"/>
        </w:rPr>
        <w:footnoteReference w:id="78"/>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زمانی بر شما می‌رسد که اسلام چونـان ظرف واژگون شده، آنچه در آن است، ریخته می‌شود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آنکه حضرت مهدی علیه‌السلام به‌پا می‌خیزد و غبار شرک از چهرة گوهر دین </w:t>
      </w:r>
    </w:p>
    <w:p>
      <w:pPr>
        <w:pStyle w:val="BookText"/>
        <w:rPr/>
      </w:pPr>
      <w:r>
        <w:rPr>
          <w:rFonts w:ascii="IRNazanin" w:hAnsi="IRNazanin" w:eastAsia="IRNazanin"/>
          <w:color w:val="111111"/>
          <w:sz w:val="28"/>
          <w:sz w:val="28"/>
          <w:szCs w:val="28"/>
          <w:rtl w:val="true"/>
          <w:lang w:bidi="fa-IR"/>
        </w:rPr>
        <w:t>بر می‌گیرد؛ آن‌گونه که بسیاری می‌پندارند این دین نویی است که آن حضرت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حضرت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تا با بیدارکردن سرشت‌های 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را برای یکتاپرستی همگان، که همانا هدف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فقط هرگز برای پذیرش باور یکتاپرستی کسی را زیر فشار و ناگزیری قرار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فراهم‌کردن بسترهای بایسته برای پذیرش این امانت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شیرین خداپرستی را میان همة انسان‌ها، آنسان که شایسته‌اند، قسمت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فراهم‌کردن شرایط مناسب و از بین‌بردن 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را به اندیشیدن در نشانه‌های پروردگار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برآیند این اندیشیدن به 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ارمغانی جز پرستش حقیقی خداوند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که با فراهم‌شدن همة شرایط و کناررفتن همة 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سرِ فرمان‌برداری برابر حقیقت فرود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مگر انسانی گستاخ و طغیان‌گر که با همة هستی، برابر حق ایستاده است و بدون شک در چنان شرایطی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آن امام همام او را برنخواهد تافت که همة مردم که زخم ستم هنوز بر پیکرشان است؛ از این رو است که روایات فراوانی یگانه دین مورد پذیرش در عصر ظهور را،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ندای یکتاپرستی در سراسر گیتی حکم فرما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در وصف حضرت مهدی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وَیُظْهِرُ بِهِ دینَ الحَقِّ عَلَی الدّینِ کُلِّهِ وَلَوْ کَرِهَ المُشْرِکُونَ؛</w:t>
      </w:r>
      <w:r>
        <w:rPr>
          <w:rStyle w:val="FootnoteAnchor"/>
          <w:rtl w:val="true"/>
        </w:rPr>
        <w:footnoteReference w:id="79"/>
      </w:r>
      <w:r>
        <w:rPr>
          <w:rFonts w:ascii="IRNazanin" w:hAnsi="IRNazanin" w:eastAsia="IRNazanin"/>
          <w:color w:val="111111"/>
          <w:sz w:val="28"/>
          <w:sz w:val="28"/>
          <w:szCs w:val="28"/>
          <w:rtl w:val="true"/>
          <w:lang w:bidi="fa-IR"/>
        </w:rPr>
        <w:t>خداوند، به دست او دین حق را بر همة ادیان چیرگی می‌بخشد؛ اگرچه مشرکان آن را نپسندند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علیه‌السلام نیز 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قامَ القائِمُ علیه‌السلام لایَبْقَی اَرْضٌ اِلاَّ نُودِی فیها بِشَهادَةِ اَنْ لااِلهَ اِلاَّ اللهَ واَنَّ مُحَمَّداً رَسُولُ اللَّهِ؛</w:t>
      </w:r>
      <w:r>
        <w:rPr>
          <w:rStyle w:val="FootnoteAnchor"/>
          <w:rtl w:val="true"/>
        </w:rPr>
        <w:footnoteReference w:id="80"/>
      </w:r>
      <w:r>
        <w:rPr>
          <w:rFonts w:ascii="IRNazanin" w:hAnsi="IRNazanin" w:eastAsia="IRNazanin"/>
          <w:color w:val="111111"/>
          <w:sz w:val="28"/>
          <w:sz w:val="28"/>
          <w:szCs w:val="28"/>
          <w:rtl w:val="true"/>
          <w:lang w:bidi="fa-IR"/>
        </w:rPr>
        <w:t>در آن هنگام که قائم قیام کند، هیچ سرزمینی باقی نخواهد ماند، مگر این‌که شهادت به یکتاپرستی و نبوّت در آن ندا داده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نخستین گام در این راه آموزش همگانی آموزه‌های وحی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فراوانی در دست است که نشان می‌دهد یکی از کارهای پایه‌ای در عصر ظهور اهتمام به آموزش قرآن به شکل درست آن است و افراد فراوانی در این راه پیش‌گام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کَأَنِّی أَنْظُرُ إِلَی شِیعَتِنَا بِمَسْجِدِ الْکُوفَةِ وَ قَدْ ضَرَبُوا الْفَسَاطِیطَ یُعَلِّمُونَ النَّاسَ الْقُرْآنَ کَمَا أُنْزِلَ؛</w:t>
      </w:r>
      <w:r>
        <w:rPr>
          <w:rStyle w:val="FootnoteAnchor"/>
          <w:rtl w:val="true"/>
        </w:rPr>
        <w:footnoteReference w:id="81"/>
      </w:r>
      <w:r>
        <w:rPr>
          <w:rFonts w:ascii="IRNazanin" w:hAnsi="IRNazanin" w:eastAsia="IRNazanin"/>
          <w:color w:val="111111"/>
          <w:sz w:val="28"/>
          <w:sz w:val="28"/>
          <w:szCs w:val="28"/>
          <w:rtl w:val="true"/>
          <w:lang w:bidi="fa-IR"/>
        </w:rPr>
        <w:t>گویا می‌بینم شیعیان ما در مسجد کوفه خیمه‌ها زده‌اند و قرآن را همان‌گونه که نازل شده به مردم می‌آموزند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کَأَنِّی بِالْعَجَمِ فَسَاطِیطُهُمْ فِی مَسْجِدِ الْکُوفَةِ یُعَلِّمُونَ النَّاسَ الْقُرْآنَ کَمَا أُنْزِل؛</w:t>
      </w:r>
      <w:r>
        <w:rPr>
          <w:rStyle w:val="FootnoteAnchor"/>
          <w:rtl w:val="true"/>
        </w:rPr>
        <w:footnoteReference w:id="82"/>
      </w:r>
      <w:r>
        <w:rPr>
          <w:rFonts w:ascii="IRNazanin" w:hAnsi="IRNazanin" w:eastAsia="IRNazanin"/>
          <w:color w:val="111111"/>
          <w:sz w:val="28"/>
          <w:sz w:val="28"/>
          <w:szCs w:val="28"/>
          <w:rtl w:val="true"/>
          <w:lang w:bidi="fa-IR"/>
        </w:rPr>
        <w:t>گویی غیرعرب‌ها را می‌بینم که خیمه‌های شان در مسجد کوفه است و قرآن را همان‌گونه که نازل شده به مردم می‌آموزند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کَأَنِّی بِشِیعَةِ عَلِیٍّ فِی أَیْدِیهِمُ الْمَثَانِی یُعَلِّمُونَ النَّاسَ الْمُسْتَأْنَفَ؛</w:t>
      </w:r>
      <w:r>
        <w:rPr>
          <w:rStyle w:val="FootnoteAnchor"/>
          <w:rtl w:val="true"/>
        </w:rPr>
        <w:footnoteReference w:id="83"/>
      </w:r>
      <w:r>
        <w:rPr>
          <w:rFonts w:ascii="IRNazanin" w:hAnsi="IRNazanin" w:eastAsia="IRNazanin"/>
          <w:color w:val="111111"/>
          <w:sz w:val="28"/>
          <w:sz w:val="28"/>
          <w:szCs w:val="28"/>
          <w:rtl w:val="true"/>
          <w:lang w:bidi="fa-IR"/>
        </w:rPr>
        <w:t xml:space="preserve">گویی شیعیان علی را می‌بینم که 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گرفته و آن را به مردم می‌آموزند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نیز 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قَامَ قَائِمُ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فَسَاطِیطَ لِمَنْ یُعَلِّمُ النَّاسَ الْقُرْآنَ عَلَی 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فَأَصْعَبُ مَا یَکُونُ عَلَی مَنْ حَفِظَهُ الْیَوْمَ لِأَنَّهُ یُخَالِفُ فِیهِ التَّأْلِیفَ؛</w:t>
      </w:r>
      <w:r>
        <w:rPr>
          <w:rStyle w:val="FootnoteAnchor"/>
          <w:rtl w:val="true"/>
        </w:rPr>
        <w:footnoteReference w:id="84"/>
      </w:r>
      <w:r>
        <w:rPr>
          <w:rFonts w:ascii="IRNazanin" w:hAnsi="IRNazanin" w:eastAsia="IRNazanin"/>
          <w:color w:val="111111"/>
          <w:sz w:val="28"/>
          <w:sz w:val="28"/>
          <w:szCs w:val="28"/>
          <w:rtl w:val="true"/>
          <w:lang w:bidi="fa-IR"/>
        </w:rPr>
        <w:t>چون قائم قیام کند خیمه‌هایی نصب می‌شود برای کسانی که قرآن را به همان‌گونه که خداوند آن را نازل کرده بود به مردم بیاموزند، پس دشوارترین چیزی که خواهد بود برای کسانی است که قرآن را حفظ کرده، چون محفوظات آنها با قرآن مخالف است</w:t>
      </w:r>
      <w:r>
        <w:rPr>
          <w:rFonts w:eastAsia="IRNazanin" w:cs="IRNazanin"/>
          <w:color w:val="111111"/>
          <w:sz w:val="28"/>
          <w:szCs w:val="28"/>
          <w:rtl w:val="true"/>
          <w:lang w:bidi="fa-IR"/>
        </w:rPr>
        <w:t xml:space="preserve">. </w:t>
      </w:r>
      <w:bookmarkStart w:id="115" w:name="pg12658_166699"/>
    </w:p>
    <w:p>
      <w:pPr>
        <w:pStyle w:val="BookText"/>
        <w:rPr/>
      </w:pPr>
      <w:bookmarkEnd w:id="115"/>
      <w:r>
        <w:rPr>
          <w:rFonts w:ascii="IRNazanin" w:hAnsi="IRNazanin" w:eastAsia="IRNazanin"/>
          <w:color w:val="111111"/>
          <w:sz w:val="28"/>
          <w:sz w:val="28"/>
          <w:szCs w:val="28"/>
          <w:rtl w:val="true"/>
          <w:lang w:bidi="fa-IR"/>
        </w:rPr>
        <w:t>با این سخنان و چندین برابر آن، تردیدی نمی‌ماند که پایة دین در آن دوران بر رفتار به آموزه‌های قرآن استوار خواهد بود</w:t>
      </w:r>
      <w:r>
        <w:rPr>
          <w:rFonts w:eastAsia="IRNazanin" w:cs="IRNazanin"/>
          <w:color w:val="111111"/>
          <w:sz w:val="28"/>
          <w:szCs w:val="28"/>
          <w:rtl w:val="true"/>
          <w:lang w:bidi="fa-IR"/>
        </w:rPr>
        <w:t>.</w:t>
      </w:r>
    </w:p>
    <w:p>
      <w:pPr>
        <w:pStyle w:val="Heading3"/>
        <w:numPr>
          <w:ilvl w:val="2"/>
          <w:numId w:val="1"/>
        </w:numPr>
        <w:rPr/>
      </w:pPr>
      <w:bookmarkStart w:id="116" w:name="__RefHeading___Toc643339_222507752"/>
      <w:bookmarkStart w:id="117" w:name="_Toc42"/>
      <w:bookmarkEnd w:id="116"/>
      <w:r>
        <w:rPr>
          <w:rtl w:val="true"/>
        </w:rPr>
        <w:t>دستورالعمل‌های نوین در عصر ظهور</w:t>
      </w:r>
      <w:bookmarkEnd w:id="117"/>
    </w:p>
    <w:p>
      <w:pPr>
        <w:pStyle w:val="BookText"/>
        <w:rPr/>
      </w:pPr>
      <w:r>
        <w:rPr>
          <w:rFonts w:ascii="IRNazanin" w:hAnsi="IRNazanin" w:eastAsia="IRNazanin"/>
          <w:color w:val="111111"/>
          <w:sz w:val="28"/>
          <w:sz w:val="28"/>
          <w:szCs w:val="28"/>
          <w:rtl w:val="true"/>
          <w:lang w:bidi="fa-IR"/>
        </w:rPr>
        <w:t>در کنار روایات یادشده از برخی روایت‌ها نیز این انگاره به دست می‌آید که آن حضرت، آیین و روش جدیدی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پرسش پیش می‌آید که با توجه به این‌که قرآن کریم کتاب جاودان الهی و اسلام آیین ابدی است، چگونه امام مهدی علیه‌السلام آیینی نو و کتابی تازه برای بشریت به ارمغان می‌آورد؟</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وارد شده است، که نمونه‌هایی از آن‌ها را مورد دقت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علیه‌السلام نقل شده است که درباره ظهور حضرت مهدی عجل‌الله‌فرجه و نشانه‌های 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لَکَأَنِّی أَنْظُرُ إِلَیْهِ بَیْنَ الرُّکْنِ وَ الْمَقَامِ یُبَایِعُ النَّاسَ عَلَی کِتَابٍ جَدِید؛</w:t>
      </w:r>
      <w:r>
        <w:rPr>
          <w:rStyle w:val="FootnoteAnchor"/>
          <w:rtl w:val="true"/>
        </w:rPr>
        <w:footnoteReference w:id="85"/>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است که به او می‌نگرم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کتاب نو، با مردم بیعت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امام صادق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جَاءَ بِأَمْرٍ جَدِیدٍ کَمَا دَعَا رَسُولُ اللَّهِ فِی بَدْوِ الْإِسْلَامِ إِلَی أَمْرٍ جَدِیدٍ؛</w:t>
      </w:r>
      <w:r>
        <w:rPr>
          <w:rStyle w:val="FootnoteAnchor"/>
          <w:rtl w:val="true"/>
        </w:rPr>
        <w:footnoteReference w:id="86"/>
      </w:r>
      <w:r>
        <w:rPr>
          <w:rFonts w:ascii="IRNazanin" w:hAnsi="IRNazanin" w:eastAsia="IRNazanin"/>
          <w:color w:val="111111"/>
          <w:sz w:val="28"/>
          <w:sz w:val="28"/>
          <w:szCs w:val="28"/>
          <w:rtl w:val="true"/>
          <w:lang w:bidi="fa-IR"/>
        </w:rPr>
        <w:t>آنگاه، که مهدی عجل‌الله‌فرجه به پا خیزد، آیین جدیدی می‌آورد؛ همان گونه که رسول خدا صلی الله علیه و آله و سلم در آغاز اسلام، به آیین جدیدی فراخواند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همچنین، درباره قیام و روش کار حضرت مهدی عجل‌الله‌فرجه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بِأَمْرٍ جَدِیدٍ وَ کِتَابٍ جَدِیدٍ وَ سُنَّةٍ جَدِیدَةٍ وَ قَضَاءٍ جَدِید؛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نو و سنّت نو و داوری نویی برپا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پیش‌از این نیز اشاره شد که تردیدی نیست حضرت مهدی علیه‌السلام تحکیم‌بخش دین اسلام و گسترندة قانون قرآن در سراسر گیتی است؛ پس ناگزیر باید اسلام و آموزه‌های قرآن را به گروه‌های بشری عرضه کند و مردمان را به پذیرش و باور اصول و فروع آن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نو و کتاب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برنامه و راه و روش تازه و دیگر تعبیرهایی از این دست که در احادیث رسیده، برای تبیین مسائلی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 زمان بنا به سبب‌هایی چون سطح فرهنگ و فکر انسان‌ها احکام و آموزه‌های فراوانی از مجموعة فرهنگ اسلام، تبیین نشده یا هماهنگ با سطح فرهنگ و فکر انسان‌ها نبوده است یا زمینة عملی آن‌ها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بازگویی چنین معارف و مسائلی، بی‌گمان برای جامعة اسلامی ناشناخته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مهدی علیه‌السلام این آموزه‌ها را از ظاهر و باطن قرآن کریم به دست آورده و به مردم می‌آموزد، برای آنان تازگی دارد و آیین نو و کتاب نو انگاشته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 و احکامی از قرآن کریم و اسلام فراموش شده و از یادها رفته است؛ به گونه‌ای که در جامعه اسلامی ناآشنا و برای مسلمانان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مسائل نیز کتاب و آیین نو پنداشته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احکام فراوانی دست‌خوش تحریف و دگرگونی شده است و امام علیه‌السلام آن‌ها را ـ چنان که در اسلام راستین بوده است ـ دیگرباره مطرح می‌سازد و تحریف و انحراف‌های روی داده را روشن می‌کند و مفهوم حکم یا جایگاه آن را مشخص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طرز تلقی و برداشت عمومی مردم و برخی از علما سازگاری ندارد؛ از این رو برنامه نو و راه و روش تازه به شمار می‌آید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از مهم‌ترین مسائلی که امام بدان توجه خواهد کرد و برای جامعه اسلامی تازه و نو جلوه می‌کند و ناشناخته و ناآشنا می‌نماید، مسائل مربوط به عدالت اجتماعی و امور مالی و معیشتی است؛ یعنی، موضوعی که انسان سخت به آن نیازمند بوده و بدان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نیز مشکل نابسامانی اصلی زندگی بشر امروز را تشکیل می‌دهد و اجرای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برقراری عدل و دادگری در سراسر گیتی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اقدام‌های اصلی امام مهدی علیه‌السلام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نمونه امام موعود علیه‌السلام به موضوع مساوات اسلامی شکل قانونی و الزامی می‌دهد؛ چنان که 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تساوی مردم با یکدیگر و حقی که هر کس بر دیگران دارد،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سخت در شگفت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ذلِکَ اِذا قامَ قائِمُنا وَجَبَ عَلَیْهِمْ اَنْ یُجَهَّزُوا اِخوانَهُم وَاَنْ یُقَوُّوهُمْ؛</w:t>
      </w:r>
      <w:r>
        <w:rPr>
          <w:rStyle w:val="FootnoteAnchor"/>
          <w:rtl w:val="true"/>
        </w:rPr>
        <w:footnoteReference w:id="87"/>
      </w:r>
      <w:r>
        <w:rPr>
          <w:rFonts w:ascii="IRNazanin" w:hAnsi="IRNazanin" w:eastAsia="IRNazanin"/>
          <w:color w:val="111111"/>
          <w:sz w:val="28"/>
          <w:sz w:val="28"/>
          <w:szCs w:val="28"/>
          <w:rtl w:val="true"/>
          <w:lang w:bidi="fa-IR"/>
        </w:rPr>
        <w:t>این، هنگام رستاخیز قائم ما است که در آن روزگار، واجب همگانی است که به یکدیگر وسایل رسانند و نیرو بخشند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موضوع، در بسیاری دیگر از آموزه‌های اسلامی آمده است؛ ولی به نام احادیث اخلاقی کنار گذاشته شده و در فقه مطرح نگشته و در برنامه‌های الزامی حکومت‌ها و اجتماعات اسلامی به صورت اصل و قانون تثبیت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چون این آموزه‌ها عملی شود، به صورت احکامی نو جلوه می‌کند و…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علیه‌السلام از طواف مستحب با وجود کثرت طواف واجب، منع می‌کند،</w:t>
      </w:r>
      <w:r>
        <w:rPr>
          <w:rStyle w:val="FootnoteAnchor"/>
          <w:rtl w:val="true"/>
        </w:rPr>
        <w:footnoteReference w:id="89"/>
      </w:r>
      <w:r>
        <w:rPr>
          <w:rFonts w:ascii="IRNazanin" w:hAnsi="IRNazanin" w:eastAsia="IRNazanin"/>
          <w:color w:val="111111"/>
          <w:sz w:val="28"/>
          <w:sz w:val="28"/>
          <w:szCs w:val="28"/>
          <w:rtl w:val="true"/>
          <w:lang w:bidi="fa-IR"/>
        </w:rPr>
        <w:t>مساجد و معابد مجلل و تزیین‌یافته شهرها و آبادی‌ها را خراب می‌کند و همه زواید و تشریفات و کاشی‌کاری‌ها و گنبدها و گلدسته‌ها و زیورهای آن‌ها را می‌پیراید و بودجه آن‌ها را برای رفاه حال انسان‌ها 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معابد را ساده و بی‌آرایش و بی‌آلایش می‌سازد و…</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مهدی علیه‌السلام سود در مبادلات بازرگانی و داد و ستدها را برمی‌دارد و مردمان را مأمور می‌کند که هر کس به صورت خدمتگزاری نسبت به جامعه کار کند و در برابر کالای عرضه شده سودی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نیازهای خود را همینسان از دیگران تأمین می‌کند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مهدی علیه‌السلام بر بسیاری از تفسیر و تأویل‌هایی که توسط برخی مسلمانان در قرآن کریم و احادیث پیامبر اکرم صلی‌الله‌علیه‌وآله و امامان معصوم علیهم‌السلام صورت گرفته است، خط بطلان می‌کشد و آرا و اندیشه‌ها را پیرو قرآن می‌سازد و در چارچوب‌های قرآنی می‌آورد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بدینسان امام، مسائل و معارف و احکام جدیدی را مطرح می‌کند که برای مردم ناشناخته است و آن‌ها را آیین جدید و کتاب تازه می‌انگارند و گه‌گاه با امام بر سر این مسائل درگیر نیز می‌شوند، و در این صورت جنگ با خودی و جامعة اسلامی رخ می‌دهد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فرازهایی از دعای ندبه از این چگونگی، پرده برداشته،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 است آن کسی که برای تجدید و زنده‌کردن فرایض و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اسلام که محو و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شده است؟ کجا است آن کسی که برای برگرداندن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و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مقدّس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شده است؟ کجا است آن‌که برای زنده‌کردن کتاب آسمانی قرآن و حدودش مورد امید و آرزوست؟ کجا است زنده‌کننده نشانه‌های دین و اهل آن؟…</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اساس‌نامه و منشور حکومت جهانی مهدوی چیزی جز کتاب و سنت پیام‌آور وحی صلی‌الله‌علیه‌وآله در شکل اصیل و درست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مهدی موعود </w:t>
      </w:r>
      <w:bookmarkStart w:id="118" w:name="pg12658_166707"/>
    </w:p>
    <w:p>
      <w:pPr>
        <w:pStyle w:val="BookText"/>
        <w:rPr/>
      </w:pPr>
      <w:bookmarkEnd w:id="118"/>
      <w:r>
        <w:rPr>
          <w:rFonts w:ascii="IRNazanin" w:hAnsi="IRNazanin" w:eastAsia="IRNazanin"/>
          <w:color w:val="111111"/>
          <w:sz w:val="28"/>
          <w:sz w:val="28"/>
          <w:szCs w:val="28"/>
          <w:rtl w:val="true"/>
          <w:lang w:bidi="fa-IR"/>
        </w:rPr>
        <w:t>عجل‌الله‌فرجه وارث علوم نبوی و عامل به دستورات پدران بزرگوار خود است، بدعت‌ها و سنت‌ها را به خوبی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هر چیز بدعت‌ها را از دامن فرهنگ و اندیشه اسلامی می‌زداید و سنت‌هایی که متروک و مهجور مانده‌اند احیا و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در این باره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فَلَا یَتْرُکُ بِدْعَةً إِلَّا أَزَالَهَا وَ لَا سُنَّةً إِلَّا أَقَامَهَا؛</w:t>
      </w:r>
      <w:r>
        <w:rPr>
          <w:rStyle w:val="FootnoteAnchor"/>
          <w:rtl w:val="true"/>
        </w:rPr>
        <w:footnoteReference w:id="95"/>
      </w:r>
      <w:r>
        <w:rPr>
          <w:rFonts w:ascii="IRNazanin" w:hAnsi="IRNazanin" w:eastAsia="IRNazanin"/>
          <w:color w:val="111111"/>
          <w:sz w:val="28"/>
          <w:sz w:val="28"/>
          <w:szCs w:val="28"/>
          <w:rtl w:val="true"/>
          <w:lang w:bidi="fa-IR"/>
        </w:rPr>
        <w:t>هنگامی که قائم عجل‌الله‌فرجه به پا خیزد بدعت‌ها را نابود می‌سازد و سنت‌ها را بر پا می‌دارد</w:t>
      </w:r>
      <w:r>
        <w:rPr>
          <w:rFonts w:eastAsia="IRNazanin" w:cs="IRNazanin"/>
          <w:color w:val="111111"/>
          <w:sz w:val="28"/>
          <w:szCs w:val="28"/>
          <w:rtl w:val="true"/>
          <w:lang w:bidi="fa-IR"/>
        </w:rPr>
        <w:t>.»</w:t>
      </w:r>
    </w:p>
    <w:p>
      <w:pPr>
        <w:pStyle w:val="Heading3"/>
        <w:numPr>
          <w:ilvl w:val="2"/>
          <w:numId w:val="1"/>
        </w:numPr>
        <w:rPr/>
      </w:pPr>
      <w:bookmarkStart w:id="119" w:name="__RefHeading___Toc643341_222507752"/>
      <w:bookmarkStart w:id="120" w:name="_Toc43"/>
      <w:bookmarkEnd w:id="119"/>
      <w:r>
        <w:rPr>
          <w:rtl w:val="true"/>
        </w:rPr>
        <w:t>پیروان دیگر ادیان در عصر ظهور</w:t>
      </w:r>
      <w:bookmarkEnd w:id="120"/>
    </w:p>
    <w:p>
      <w:pPr>
        <w:pStyle w:val="BookText"/>
        <w:rPr/>
      </w:pPr>
      <w:r>
        <w:rPr>
          <w:rFonts w:ascii="IRNazanin" w:hAnsi="IRNazanin" w:eastAsia="IRNazanin"/>
          <w:color w:val="111111"/>
          <w:sz w:val="28"/>
          <w:sz w:val="28"/>
          <w:szCs w:val="28"/>
          <w:rtl w:val="true"/>
          <w:lang w:bidi="fa-IR"/>
        </w:rPr>
        <w:t>برای برپایی جامعة یگانه و فراگیری حکومت جهانی، یک موضوع بایسته است و آن جهان‌بینی واحد و اعتقاد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است که در حکومت مهدوی، جهان‌بینی یگانه‌ای بر جهان چیره و راه و روش و برنامه‌ها نیز یکی می‌شود و یکپارچگی راستین در باور و مرام پدید می‌آید و مردمان همه یکدل و یک زبان به سوی سعادت و صلاح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به روشنی به این نکته اشاره کرده است آنجا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اللَّهِ یَا مُفَضَّلُ لَیُرْفَعُ عَنِ الْمِلَلِ وَ الْأَدْیَانِ الِاخْتِلَافُ وَ یَکُونُ الدِّینُ کُلُّهُ وَاحِداً کَمَا قَالَ جَلَّ ذِکْرُهُ إِنَّ الدِّینَ عِنْدَ اللَّهِ الْإِسْلامُ وَ قَالَ اللَّهُ وَ مَنْ یَبْتَغِ غَیْرَ الْإِسْلامِ دِیناً فَلَنْ یُقْبَلَ مِنْهُ وَ هُوَ فِی الْآخِرَةِ مِنَ الْخاسِرِین؛</w:t>
      </w:r>
      <w:r>
        <w:rPr>
          <w:rStyle w:val="FootnoteAnchor"/>
          <w:rtl w:val="true"/>
        </w:rPr>
        <w:footnoteReference w:id="96"/>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ناهماهنگی و چندگانگی مذاهب و ادیان از میان می‌رود و فقط یک دین در سراسر گیتی حکومت می‌کند؛ چنان که خدای تبارک و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دین در نزد خدا، اسلام است…</w:t>
      </w:r>
    </w:p>
    <w:p>
      <w:pPr>
        <w:pStyle w:val="BookText"/>
        <w:rPr/>
      </w:pPr>
      <w:r>
        <w:rPr>
          <w:rFonts w:ascii="IRNazanin" w:hAnsi="IRNazanin" w:eastAsia="IRNazanin"/>
          <w:color w:val="111111"/>
          <w:sz w:val="28"/>
          <w:sz w:val="28"/>
          <w:szCs w:val="28"/>
          <w:rtl w:val="true"/>
          <w:lang w:bidi="fa-IR"/>
        </w:rPr>
        <w:t>با این حال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برخی از آیات و روایات، یهود و نصارا از میان نمی‌روند و تا قیامت باقی هستند؛ پس این اسلام نمی‌تواند فراگیر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رسیدن به یک دیدگاه قطعی نیازمند بررسی‌های فراگیر در این باره است که در پژوهش‌های مفصل می‌با‌یست به دنبال آن بود، ولی در اندازة مختصر در این اثر و با </w:t>
      </w:r>
      <w:bookmarkStart w:id="121" w:name="pg12658_166709"/>
    </w:p>
    <w:p>
      <w:pPr>
        <w:pStyle w:val="BookText"/>
        <w:rPr/>
      </w:pPr>
      <w:bookmarkEnd w:id="121"/>
      <w:r>
        <w:rPr>
          <w:rFonts w:ascii="IRNazanin" w:hAnsi="IRNazanin" w:eastAsia="IRNazanin"/>
          <w:color w:val="111111"/>
          <w:sz w:val="28"/>
          <w:sz w:val="28"/>
          <w:szCs w:val="28"/>
          <w:rtl w:val="true"/>
          <w:lang w:bidi="fa-IR"/>
        </w:rPr>
        <w:t>توجه به آنچه یاد شد در بارة حضور پیروان ادیان در عصر ظهور به نظر می‌رسد در مرحلة پایانی و برپایی حکومت جهانی حضرت مهدی علیه‌السلام بر زمین، جایی برای مشرکان که همانا پیروان ادیان تحریف‌شدة آسمانی است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والبته فرض این‌که آنها پای‌بند به دین تحریف‌نشده خواهند بود، نیز فرض غیرقابل قبولی است چراکه حقیقت همة ادیان الهی نوید به دین اسلام که پایان‌بخش همة ادیان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بخواهند به دستورات راستین دین خود عمل کنند باید اسلام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فرض وجود پیروان حضرت مسیح علیه‌السلام ـ در حالی که خود آن حضرت به مهدی موعود علیه‌السلام اقتدا کرده ـ فرضی ناشدنی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آن مسیحی موجود در آن زمان، خود را پیرو مسیح دیگری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برای بود و یا نبود آنها سه فرض تصور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حضور؛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تا زمان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در بارة دوره‌های عصر ظهور یادآور شدیم این دوران به سه مرحلة از ظهور تا قیام، از قیام تا حکومت جهانی و مرحلة حکومت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تقسیم یادشده در دو دیدگاه نخست، بود و نبود پیروان ادیان بررسی می‌شود در حالی که در دیدگاه سوم حضور این پیروان در دو مرحلة نخست اثبات و برای حضور آنان در دوران حکومت عدل جهانی نیازمند دلیل است</w:t>
      </w:r>
      <w:r>
        <w:rPr>
          <w:rFonts w:eastAsia="IRNazanin" w:cs="IRNazanin"/>
          <w:color w:val="111111"/>
          <w:sz w:val="28"/>
          <w:szCs w:val="28"/>
          <w:rtl w:val="true"/>
          <w:lang w:bidi="fa-IR"/>
        </w:rPr>
        <w:t>.</w:t>
      </w:r>
    </w:p>
    <w:p>
      <w:pPr>
        <w:pStyle w:val="Heading3"/>
        <w:numPr>
          <w:ilvl w:val="2"/>
          <w:numId w:val="1"/>
        </w:numPr>
        <w:rPr/>
      </w:pPr>
      <w:bookmarkStart w:id="122" w:name="__RefHeading___Toc643343_222507752"/>
      <w:bookmarkStart w:id="123" w:name="_Toc44"/>
      <w:bookmarkEnd w:id="122"/>
      <w:r>
        <w:rPr>
          <w:rtl w:val="true"/>
        </w:rPr>
        <w:t>دیدگاه نخست</w:t>
      </w:r>
      <w:r>
        <w:rPr>
          <w:rtl w:val="true"/>
        </w:rPr>
        <w:t xml:space="preserve">: </w:t>
      </w:r>
      <w:r>
        <w:rPr>
          <w:rtl w:val="true"/>
        </w:rPr>
        <w:t>حضور پیروان</w:t>
      </w:r>
      <w:bookmarkEnd w:id="123"/>
    </w:p>
    <w:p>
      <w:pPr>
        <w:pStyle w:val="Heading4"/>
        <w:numPr>
          <w:ilvl w:val="3"/>
          <w:numId w:val="1"/>
        </w:numPr>
        <w:rPr/>
      </w:pPr>
      <w:bookmarkStart w:id="124" w:name="__RefHeading___Toc643345_222507752"/>
      <w:bookmarkStart w:id="125" w:name="_Toc45"/>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دیدگاه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پیروان</w:t>
      </w:r>
      <w:r>
        <w:rPr>
          <w:rStyle w:val="FootnoteAnchor"/>
          <w:rtl w:val="true"/>
        </w:rPr>
        <w:footnoteReference w:id="9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دیدگاه به‌طور عمده با پافشاری بر آزادی و اختیار انسان‌ها و نیز آیاتی که در آن از کینه‌توزی میان یهود و مسیحیت سخن به میان آورده،</w:t>
      </w:r>
      <w:r>
        <w:rPr>
          <w:rStyle w:val="FootnoteAnchor"/>
          <w:rtl w:val="true"/>
        </w:rPr>
        <w:footnoteReference w:id="98"/>
      </w:r>
      <w:r>
        <w:rPr>
          <w:rFonts w:ascii="IRNazanin" w:hAnsi="IRNazanin" w:eastAsia="IRNazanin"/>
          <w:color w:val="111111"/>
          <w:sz w:val="28"/>
          <w:sz w:val="28"/>
          <w:szCs w:val="28"/>
          <w:rtl w:val="true"/>
          <w:lang w:bidi="fa-IR"/>
        </w:rPr>
        <w:t>حضور پیروان این دو دین را ـ اگر چه اندک ـ پذیرفته‌اند</w:t>
      </w:r>
      <w:r>
        <w:rPr>
          <w:rFonts w:eastAsia="IRNazanin" w:cs="IRNazanin"/>
          <w:color w:val="111111"/>
          <w:sz w:val="28"/>
          <w:szCs w:val="28"/>
          <w:rtl w:val="true"/>
          <w:lang w:bidi="fa-IR"/>
        </w:rPr>
        <w:t xml:space="preserve">. </w:t>
      </w:r>
      <w:bookmarkStart w:id="126" w:name="pg12658_166711"/>
    </w:p>
    <w:p>
      <w:pPr>
        <w:pStyle w:val="BookText"/>
        <w:rPr/>
      </w:pPr>
      <w:bookmarkEnd w:id="126"/>
      <w:r>
        <w:rPr>
          <w:rFonts w:ascii="IRNazanin" w:hAnsi="IRNazanin" w:eastAsia="IRNazanin"/>
          <w:color w:val="111111"/>
          <w:sz w:val="28"/>
          <w:sz w:val="28"/>
          <w:szCs w:val="28"/>
          <w:rtl w:val="true"/>
          <w:lang w:bidi="fa-IR"/>
        </w:rPr>
        <w:t>روایات اسلامی در این زمینه به سه دسته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4"/>
        <w:numPr>
          <w:ilvl w:val="3"/>
          <w:numId w:val="1"/>
        </w:numPr>
        <w:rPr/>
      </w:pPr>
      <w:bookmarkStart w:id="127" w:name="__RefHeading___Toc643347_222507752"/>
      <w:bookmarkStart w:id="128" w:name="_Toc46"/>
      <w:bookmarkEnd w:id="127"/>
      <w:r>
        <w:rPr/>
        <w:t>1</w:t>
      </w:r>
      <w:r>
        <w:rPr>
          <w:rtl w:val="true"/>
        </w:rPr>
        <w:t xml:space="preserve"> . </w:t>
      </w:r>
      <w:r>
        <w:rPr>
          <w:rtl w:val="true"/>
        </w:rPr>
        <w:t>پرداخت جزیه اهل کتاب</w:t>
      </w:r>
      <w:bookmarkEnd w:id="128"/>
    </w:p>
    <w:p>
      <w:pPr>
        <w:pStyle w:val="BookText"/>
        <w:rPr/>
      </w:pPr>
      <w:r>
        <w:rPr>
          <w:rFonts w:ascii="IRNazanin" w:hAnsi="IRNazanin" w:eastAsia="IRNazanin"/>
          <w:color w:val="111111"/>
          <w:sz w:val="28"/>
          <w:sz w:val="28"/>
          <w:szCs w:val="28"/>
          <w:rtl w:val="true"/>
          <w:lang w:bidi="fa-IR"/>
        </w:rPr>
        <w:t>در برخی روایات سخن از پرداخت جزیه از طرف اهل کتاب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به زمان مشخص آن اشاره نشده و این ممکن است مربوط به یک دورة زمانی خاص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زمانی که در برخی روایات نقل شده، کسی برای پرداخت زکات شهر به شهر می‌رود و مستمندی پیدا نمی‌کند و زمین گنج‌های خود را برای حضرت مهدی علیه‌السلام بیرون می‌ریزد چه نیازی به اندک جزیه اندک پیروان ادیان؟</w:t>
      </w:r>
      <w:r>
        <w:rPr>
          <w:rFonts w:eastAsia="IRNazanin" w:cs="IRNazanin"/>
          <w:color w:val="111111"/>
          <w:sz w:val="28"/>
          <w:szCs w:val="28"/>
          <w:rtl w:val="true"/>
          <w:lang w:bidi="fa-IR"/>
        </w:rPr>
        <w:t>!</w:t>
      </w:r>
    </w:p>
    <w:p>
      <w:pPr>
        <w:pStyle w:val="Heading4"/>
        <w:numPr>
          <w:ilvl w:val="3"/>
          <w:numId w:val="1"/>
        </w:numPr>
        <w:rPr/>
      </w:pPr>
      <w:bookmarkStart w:id="129" w:name="__RefHeading___Toc643349_222507752"/>
      <w:bookmarkStart w:id="130" w:name="_Toc47"/>
      <w:bookmarkEnd w:id="129"/>
      <w:r>
        <w:rPr/>
        <w:t>2</w:t>
      </w:r>
      <w:r>
        <w:rPr>
          <w:rtl w:val="true"/>
        </w:rPr>
        <w:t xml:space="preserve"> . </w:t>
      </w:r>
      <w:r>
        <w:rPr>
          <w:rtl w:val="true"/>
        </w:rPr>
        <w:t>داوری میان اهل کتاب با کتاب آنها</w:t>
      </w:r>
      <w:bookmarkEnd w:id="130"/>
    </w:p>
    <w:p>
      <w:pPr>
        <w:pStyle w:val="BookText"/>
        <w:rPr/>
      </w:pPr>
      <w:r>
        <w:rPr>
          <w:rFonts w:ascii="IRNazanin" w:hAnsi="IRNazanin" w:eastAsia="IRNazanin"/>
          <w:color w:val="111111"/>
          <w:sz w:val="28"/>
          <w:sz w:val="28"/>
          <w:szCs w:val="28"/>
          <w:rtl w:val="true"/>
          <w:lang w:bidi="fa-IR"/>
        </w:rPr>
        <w:t>در برخی روایات دیگر نیز اشاره شده که آن حضرت میان یهود و نصارا با کتاب تحریف‌نشدة آنها داوری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مهم‌ترین داوری حکم بر بطلان پیروی آنها از کتاب تحریف‌شده و هدایت آنها به پیروی از دین بشارت‌داده شده در کتاب مقدس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البته این هم می‌تواند در دوره‌ای کوتاه صورت پذیرد تا حاکمیت به تثبیت جهانی خود برسد</w:t>
      </w:r>
      <w:r>
        <w:rPr>
          <w:rFonts w:eastAsia="IRNazanin" w:cs="IRNazanin"/>
          <w:color w:val="111111"/>
          <w:sz w:val="28"/>
          <w:szCs w:val="28"/>
          <w:rtl w:val="true"/>
          <w:lang w:bidi="fa-IR"/>
        </w:rPr>
        <w:t>.</w:t>
      </w:r>
    </w:p>
    <w:p>
      <w:pPr>
        <w:pStyle w:val="Heading4"/>
        <w:numPr>
          <w:ilvl w:val="3"/>
          <w:numId w:val="1"/>
        </w:numPr>
        <w:rPr/>
      </w:pPr>
      <w:bookmarkStart w:id="131" w:name="__RefHeading___Toc643351_222507752"/>
      <w:bookmarkStart w:id="132" w:name="_Toc48"/>
      <w:bookmarkEnd w:id="131"/>
      <w:r>
        <w:rPr/>
        <w:t>3</w:t>
      </w:r>
      <w:r>
        <w:rPr>
          <w:rtl w:val="true"/>
        </w:rPr>
        <w:t xml:space="preserve"> . </w:t>
      </w:r>
      <w:r>
        <w:rPr>
          <w:rtl w:val="true"/>
        </w:rPr>
        <w:t>شباهت سیرة مهدی  با سیره پیامبر</w:t>
      </w:r>
      <w:bookmarkEnd w:id="132"/>
    </w:p>
    <w:p>
      <w:pPr>
        <w:pStyle w:val="BookText"/>
        <w:rPr/>
      </w:pPr>
      <w:r>
        <w:rPr>
          <w:rFonts w:ascii="IRNazanin" w:hAnsi="IRNazanin" w:eastAsia="IRNazanin"/>
          <w:color w:val="111111"/>
          <w:sz w:val="28"/>
          <w:sz w:val="28"/>
          <w:szCs w:val="28"/>
          <w:rtl w:val="true"/>
          <w:lang w:bidi="fa-IR"/>
        </w:rPr>
        <w:t>در روایات فراوانی اشاره شده که روش حضرت مهدی علیه‌السلام چونان روش پیامبر اکرم صلی‌الله‌علیه‌وآله است و آن حضرت از اهل کتاب جزیه دریافت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گفتنی است اگرچه سنت خاتم الاوصیا همان سنت خاتم الانبیا است، اما این هرگز بدان معنا نیست که هر آنچه بر حسب شرایط، اقتضاها و موانع در عصر نبوی شکل گرفته در عصر مهدوی نیز شکل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عصر پیامبر به دلیل‌هایی چون امید به هدایت با پیروان ادیان تحریف شده مسالمت‌آمیز برخورد می‌شد دیگر آن شرایط نخواهد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آیات و روایات در این دیدگاه از نگاه عقل نیز گفته شده از آنجایی که انسان دارای حق گزینش است و ایمان از روی اجبار اثری ندارد پس در حکومت حضرت می‌تواند پیروان دیگر ادیان باشند</w:t>
      </w:r>
      <w:r>
        <w:rPr>
          <w:rFonts w:eastAsia="IRNazanin" w:cs="IRNazanin"/>
          <w:color w:val="111111"/>
          <w:sz w:val="28"/>
          <w:szCs w:val="28"/>
          <w:rtl w:val="true"/>
          <w:lang w:bidi="fa-IR"/>
        </w:rPr>
        <w:t xml:space="preserve">. </w:t>
      </w:r>
      <w:bookmarkStart w:id="133" w:name="pg12658_166713"/>
    </w:p>
    <w:p>
      <w:pPr>
        <w:pStyle w:val="BookText"/>
        <w:rPr/>
      </w:pPr>
      <w:bookmarkEnd w:id="133"/>
      <w:r>
        <w:rPr>
          <w:rFonts w:ascii="IRNazanin" w:hAnsi="IRNazanin" w:eastAsia="IRNazanin"/>
          <w:color w:val="111111"/>
          <w:sz w:val="28"/>
          <w:sz w:val="28"/>
          <w:szCs w:val="28"/>
          <w:rtl w:val="true"/>
          <w:lang w:bidi="fa-IR"/>
        </w:rPr>
        <w:t>و البته در محل خود گفته شده همة کسانی که آن زمان ایمان می‌آورند از روی انتخاب و اختیار است</w:t>
      </w:r>
      <w:r>
        <w:rPr>
          <w:rFonts w:eastAsia="IRNazanin" w:cs="IRNazanin"/>
          <w:color w:val="111111"/>
          <w:sz w:val="28"/>
          <w:szCs w:val="28"/>
          <w:rtl w:val="true"/>
          <w:lang w:bidi="fa-IR"/>
        </w:rPr>
        <w:t>.</w:t>
      </w:r>
    </w:p>
    <w:p>
      <w:pPr>
        <w:pStyle w:val="Heading3"/>
        <w:numPr>
          <w:ilvl w:val="2"/>
          <w:numId w:val="1"/>
        </w:numPr>
        <w:rPr/>
      </w:pPr>
      <w:bookmarkStart w:id="134" w:name="__RefHeading___Toc643353_222507752"/>
      <w:bookmarkStart w:id="135" w:name="_Toc49"/>
      <w:bookmarkEnd w:id="134"/>
      <w:r>
        <w:rPr>
          <w:rtl w:val="true"/>
        </w:rPr>
        <w:t>دیدگاه دوم</w:t>
      </w:r>
      <w:r>
        <w:rPr>
          <w:rtl w:val="true"/>
        </w:rPr>
        <w:t xml:space="preserve">: </w:t>
      </w:r>
      <w:r>
        <w:rPr>
          <w:rtl w:val="true"/>
        </w:rPr>
        <w:t>عدم حضور پیروان ادیان</w:t>
      </w:r>
      <w:bookmarkEnd w:id="135"/>
    </w:p>
    <w:p>
      <w:pPr>
        <w:pStyle w:val="Heading4"/>
        <w:numPr>
          <w:ilvl w:val="3"/>
          <w:numId w:val="1"/>
        </w:numPr>
        <w:rPr/>
      </w:pPr>
      <w:bookmarkStart w:id="136" w:name="__RefHeading___Toc643355_222507752"/>
      <w:bookmarkStart w:id="137" w:name="_Toc50"/>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در این دیدگاه نیز به برخی آیات و روایات اشاره شده است</w:t>
      </w:r>
      <w:r>
        <w:rPr>
          <w:rFonts w:eastAsia="IRNazanin" w:cs="IRNazanin"/>
          <w:color w:val="111111"/>
          <w:sz w:val="28"/>
          <w:szCs w:val="28"/>
          <w:rtl w:val="true"/>
          <w:lang w:bidi="fa-IR"/>
        </w:rPr>
        <w:t>.</w:t>
      </w:r>
    </w:p>
    <w:p>
      <w:pPr>
        <w:pStyle w:val="Heading4"/>
        <w:numPr>
          <w:ilvl w:val="3"/>
          <w:numId w:val="1"/>
        </w:numPr>
        <w:rPr/>
      </w:pPr>
      <w:bookmarkStart w:id="138" w:name="__RefHeading___Toc643357_222507752"/>
      <w:bookmarkStart w:id="139" w:name="_Toc51"/>
      <w:bookmarkEnd w:id="138"/>
      <w:r>
        <w:rPr/>
        <w:t>1</w:t>
      </w:r>
      <w:r>
        <w:rPr>
          <w:rtl w:val="true"/>
        </w:rPr>
        <w:t xml:space="preserve">. </w:t>
      </w:r>
      <w:r>
        <w:rPr>
          <w:rtl w:val="true"/>
        </w:rPr>
        <w:t>آیات</w:t>
      </w:r>
      <w:bookmarkEnd w:id="139"/>
    </w:p>
    <w:p>
      <w:pPr>
        <w:pStyle w:val="BookText"/>
        <w:rPr/>
      </w:pPr>
      <w:r>
        <w:rPr>
          <w:rFonts w:ascii="IRNazanin" w:hAnsi="IRNazanin" w:eastAsia="IRNazanin"/>
          <w:color w:val="111111"/>
          <w:sz w:val="28"/>
          <w:sz w:val="28"/>
          <w:szCs w:val="28"/>
          <w:rtl w:val="true"/>
          <w:lang w:bidi="fa-IR"/>
        </w:rPr>
        <w:t>در این دیدگاه به آیاتی اشاره شده که پیش از این در بارة جهانی شدن دین اسلام به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برخی روایات نیز استفاده می‌شود هرگز مجالی برای حضور پیروان ادیان و بقای آنها بر آموزه‌های شرک‌آلود این ادیان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کسی نگوید که آنها دیگر بر آموزه‌های تحریف‌شده باقی نمی‌مانند و به کتاب اصلی خود ایمان می‌آورند که در این صورت به اصلی‌ترین آموزه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اسلام به عنوان دین خاتم و پیامبری پیامبر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پای‌بند شوند که همانا در انجیل بشارت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محمد باقر علیه‌السلام در تأویل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بر همه ادیان چیره می‌گرداند، هر چند مشرکین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یَکُونُ أَنْ لَا یَبْقَی أَحَدٌ إِلَّا أَقَرَّ بِمُحَمَّدٍ صلی‌الله‌علیه‌وآله؛</w:t>
      </w:r>
      <w:r>
        <w:rPr>
          <w:rStyle w:val="FootnoteAnchor"/>
          <w:rtl w:val="true"/>
        </w:rPr>
        <w:footnoteReference w:id="99"/>
      </w:r>
      <w:r>
        <w:rPr>
          <w:rFonts w:ascii="IRNazanin" w:hAnsi="IRNazanin" w:eastAsia="IRNazanin"/>
          <w:color w:val="111111"/>
          <w:sz w:val="28"/>
          <w:sz w:val="28"/>
          <w:szCs w:val="28"/>
          <w:rtl w:val="true"/>
          <w:lang w:bidi="fa-IR"/>
        </w:rPr>
        <w:t>هیچ کسی نمی‌ماند، جز این‌که اقرار به حضرت محمد می‌کند</w:t>
      </w:r>
      <w:r>
        <w:rPr>
          <w:rFonts w:eastAsia="IRNazanin" w:cs="IRNazanin"/>
          <w:color w:val="111111"/>
          <w:sz w:val="28"/>
          <w:szCs w:val="28"/>
          <w:rtl w:val="true"/>
          <w:lang w:bidi="fa-IR"/>
        </w:rPr>
        <w:t>.»</w:t>
      </w:r>
    </w:p>
    <w:p>
      <w:pPr>
        <w:pStyle w:val="Heading4"/>
        <w:numPr>
          <w:ilvl w:val="3"/>
          <w:numId w:val="1"/>
        </w:numPr>
        <w:rPr/>
      </w:pPr>
      <w:bookmarkStart w:id="140" w:name="__RefHeading___Toc643359_222507752"/>
      <w:bookmarkStart w:id="141" w:name="_Toc52"/>
      <w:bookmarkEnd w:id="140"/>
      <w:r>
        <w:rPr/>
        <w:t>2</w:t>
      </w:r>
      <w:r>
        <w:rPr>
          <w:rtl w:val="true"/>
        </w:rPr>
        <w:t xml:space="preserve">. </w:t>
      </w:r>
      <w:r>
        <w:rPr>
          <w:rtl w:val="true"/>
        </w:rPr>
        <w:t>روایات</w:t>
      </w:r>
      <w:bookmarkEnd w:id="141"/>
    </w:p>
    <w:p>
      <w:pPr>
        <w:pStyle w:val="BookText"/>
        <w:rPr/>
      </w:pPr>
      <w:r>
        <w:rPr>
          <w:rFonts w:ascii="IRNazanin" w:hAnsi="IRNazanin" w:eastAsia="IRNazanin"/>
          <w:color w:val="111111"/>
          <w:sz w:val="28"/>
          <w:sz w:val="28"/>
          <w:szCs w:val="28"/>
          <w:rtl w:val="true"/>
          <w:lang w:bidi="fa-IR"/>
        </w:rPr>
        <w:t>در این قسمت برخی از روایات ارزشمند که در آنها حضور ادیان نقل شده،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زمینه به پنج دسته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برداشته‌شدن جزیه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 از روایات، برخلاف روایات مطرح‌شده در بخش دلایل وجود ادیان، پذیرش جزیه را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حتی در برخی از روایات برداشته‌شدن جزیه را از اقدامات حضرت مهدی علیه‌السلام در دوران حکومت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البته برخی از روایات دیگر، به‌ویژه در منابع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این عمل را از اقدامات حضرت عیسی علیه‌السلام می‌دانند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آنگونه که پیش از این اشاره شده، می‌تواند این برداشتن جزیه مربوط به جزیه‌ای باشد که حضرت در مرحلة پیش از حکومت جهانی برای تثبیت حاکمیت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مبارزه با یهود و مسیحی</w:t>
      </w:r>
    </w:p>
    <w:p>
      <w:pPr>
        <w:pStyle w:val="BookText"/>
        <w:rPr/>
      </w:pPr>
      <w:r>
        <w:rPr>
          <w:rFonts w:ascii="IRNazanin" w:hAnsi="IRNazanin" w:eastAsia="IRNazanin"/>
          <w:color w:val="111111"/>
          <w:sz w:val="28"/>
          <w:sz w:val="28"/>
          <w:szCs w:val="28"/>
          <w:rtl w:val="true"/>
          <w:lang w:bidi="fa-IR"/>
        </w:rPr>
        <w:t>در این نوع روایات، ائمه علیهم‌السلام بر عدم حضور یهود و نصارا در آخرالزمان را تصریح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بکیر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علیه‌السلام 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أَسْلَمَ مَنْ فِی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أُنْزِلَتْ فِی الْقَائِمِ علیه‌السلام إِذَا خَرَجَ بِالْیَهُودِ وَ النَّصَارَی وَ الصَّابِئِینَ وَ الزَّنَادِقَةِ وَ أَهْلِ الرِّدَّةِ وَ الْکُفَّارِ فِی شَرْقِ الْأَرْضِ وَ غَرْبِهَا فَعَرَضَ عَلَیْهِمُ الْإِسْلَامَ فَمَنْ أَسْلَمَ طَوْعاً أَمَرَهُ بِالصَّلَاةِ وَ الزَّکَاةِ وَ مَا یُؤْمَرُ بِهِ الْمُسْلِمُ وَ یَجِبُ لِلَّهِ عَلَیْهِ وَ مَنْ لَمْ یُسْلِمْ ضَرَبَ عُنُقَهُ حَتَّی لَا یَبْقَی فِی الْمَشَارِقِ وَ الْمَغَارِبِ أَحَدٌ إِلَّا وَحَّدَ اللَّه؛</w:t>
      </w:r>
      <w:r>
        <w:rPr>
          <w:rStyle w:val="FootnoteAnchor"/>
          <w:rtl w:val="true"/>
        </w:rPr>
        <w:footnoteReference w:id="100"/>
      </w:r>
      <w:r>
        <w:rPr>
          <w:rFonts w:ascii="IRNazanin" w:hAnsi="IRNazanin" w:eastAsia="IRNazanin"/>
          <w:color w:val="111111"/>
          <w:sz w:val="28"/>
          <w:sz w:val="28"/>
          <w:szCs w:val="28"/>
          <w:rtl w:val="true"/>
          <w:lang w:bidi="fa-IR"/>
        </w:rPr>
        <w:t>این آیه دربارة قائم نازل شده، هنگامی که بر یهود و نصارا و صابئین و مادی‌ها و برگشتگان از اسلام و کفار در شرق و غرب کرة زمین، قیام می‌کند و اسلام را پیشنهاد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روی میل پذیرفت، دستور می‌دهد که نماز بخواند و زکات بدهد و آن‌چه هر مسلمانی مأمور به انجام آن است بر وی نیز واجب می‌کند و هرکس مسلمان نشد گردنش را می‌زند، تا آن‌که در شرق و غرب عالم یک نفر خدا نشناس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مبارزه با کفار و مشرکین</w:t>
      </w:r>
    </w:p>
    <w:p>
      <w:pPr>
        <w:pStyle w:val="BookText"/>
        <w:rPr/>
      </w:pPr>
      <w:r>
        <w:rPr>
          <w:rFonts w:ascii="IRNazanin" w:hAnsi="IRNazanin" w:eastAsia="IRNazanin"/>
          <w:color w:val="111111"/>
          <w:sz w:val="28"/>
          <w:sz w:val="28"/>
          <w:szCs w:val="28"/>
          <w:rtl w:val="true"/>
          <w:lang w:bidi="fa-IR"/>
        </w:rPr>
        <w:t>مسیحیان به خاطر تثلیثشان و یهودیان به خاطر اینکه عزیر را پسر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به نوعی مشرک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وجود مشرکین و کفار را درآخرالزمان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صادق علیه‌السلام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فرستادة خود را با هدایت و دین حق فرستاد، تا بر همه دین‌ها چیره شود، هر چند مشرکین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تأویل این آیه هنوز نازل نشده و تحقق نیافت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وقت تأویل این آیه تحقق خواهد یافت؟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قائم آل محمد صلی‌الله علیه و آله وسلم ظاهر شود ـ اگر خدای تعالی خواهد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قائم بیرون آید، کافر و مشرکی باقی نمی‌ماند، مگر آن‌که خروج آن حضرت را مکروه می‌دارد، تا آن‌که اگر کافری یا مشرکی در میان سنگی باشد، آن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سخن درآمده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من کافری یا مشرکی جای گرفته و خود را از نظر شما پنهان ساخته؛ پس او را ازمیان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 حرف سنگ را گوش کرده و آن کافر را از میان آن بیرون آورده،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دربارة تفسیر آیة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قاتِلُوهُمْ حَتَّی لا تَکُونَ فِتْنَةٌ وَ یَکُونَ الدِّینُ کُلُّهُ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اللَّهِ عَزَّ وَ جَلَّ وَ قاتِلُوهُمْ حَتَّی لا تَکُونَ فِتْنَةٌ وَ یَکُونَ الدِّینُ کُلُّهُ لِلَّهِ فَقَالَ لَمْ یَجِئْ تَأْوِیلُ هَذِهِ الْآیَةِ بَعْدُ إِنَّ رَسُولَ اللَّهِ ص رَخَّصَ لَهُمْ لِحَاجَتِهِ وَ حَاجَةِ أَصْحَابِهِ فَلَوْ قَدْ جَاءَ تَأْوِیلُهَا لَمْ یَقْبَلْ مِنْهُمْ لَکِنَّهُمْ یُقْتَلُونَ حَتَّی یُوَحَّدَ اللَّهُ عَزَّ وَ جَلَّ وَ حَتَّی لَا یَکُونَ شِرْکٌ؛</w:t>
      </w:r>
      <w:r>
        <w:rPr>
          <w:rStyle w:val="FootnoteAnchor"/>
          <w:rtl w:val="true"/>
        </w:rPr>
        <w:footnoteReference w:id="101"/>
      </w:r>
      <w:r>
        <w:rPr>
          <w:rFonts w:ascii="IRNazanin" w:hAnsi="IRNazanin" w:eastAsia="IRNazanin"/>
          <w:color w:val="111111"/>
          <w:sz w:val="28"/>
          <w:sz w:val="28"/>
          <w:szCs w:val="28"/>
          <w:rtl w:val="true"/>
          <w:lang w:bidi="fa-IR"/>
        </w:rPr>
        <w:t>هنوز تأویل این آیه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صلی‌الله علیه و آله وسلم از سر نیازی که خود و اصحابش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ناگزیر بودند با مشرکان و منحرفان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مهلت دادند و روزی که تأویل این آیه برسد، این مهلت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پذیرفته نشود، بلکه کشته شوند تا خدای عزّ و جلّ به یگانگی پرستش شود و شرکی به جای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آنچه یاد شد در برخی آیات از شرک با عنوان ظلم عظیم یاد شده است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و حکومتی که زمین را پر از عدل خواهد ساخت، چگونه ظلم بزرگ که همانا شرک پیروان اهل کتاب است را برخواهد تافت؟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برخی روایات گفته شده حضرت مهدی علیه‌السلام زمین را از دشمنان خداوند که همانا مشرکان و کفار است پاک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أُطَهِّرُ الْأَرْضَ مِنْ أَعْدَائِی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طهارت و پاکیزگی زمین از آلودگی شرک هرگز محقق نمی‌شود تا آنگاه که همة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مشرکان از روی زمین برداشته شوند</w:t>
      </w:r>
      <w:r>
        <w:rPr>
          <w:rFonts w:eastAsia="IRNazanin" w:cs="IRNazanin"/>
          <w:color w:val="111111"/>
          <w:sz w:val="28"/>
          <w:szCs w:val="28"/>
          <w:rtl w:val="true"/>
          <w:lang w:bidi="fa-IR"/>
        </w:rPr>
        <w:t xml:space="preserve">. </w:t>
      </w:r>
      <w:bookmarkStart w:id="142" w:name="pg12658_166721"/>
    </w:p>
    <w:p>
      <w:pPr>
        <w:pStyle w:val="Heading3"/>
        <w:numPr>
          <w:ilvl w:val="2"/>
          <w:numId w:val="1"/>
        </w:numPr>
        <w:rPr/>
      </w:pPr>
      <w:bookmarkStart w:id="143" w:name="__RefHeading___Toc643361_222507752"/>
      <w:bookmarkStart w:id="144" w:name="_Toc53"/>
      <w:bookmarkEnd w:id="142"/>
      <w:bookmarkEnd w:id="143"/>
      <w:r>
        <w:rPr>
          <w:rtl w:val="true"/>
        </w:rPr>
        <w:t>خودآزمایی</w:t>
      </w:r>
      <w:bookmarkEnd w:id="1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اقدام حضرت مهدی علیه‌السلام در حکومت جهانی برای فراهم‌کردن زمینه‌های یکتاپرستی چیست؟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کتاب و امر جدید در برخی روایات مربوط به عصر ظهور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سبب می‌شود تا مردم عمل حضرت مهدی علیه‌السلام به آموزه‌های راستین اسلام را امری نو بپندارند؟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دلائل جهانی بودن اسلام را از نگاه قرآن و روایات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کسانی که باور به حضور پیروان ادیان در حکومت مهدوی ندارند، کدام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643363_222507752"/>
      <w:bookmarkStart w:id="146" w:name="_Toc54"/>
      <w:bookmarkEnd w:id="145"/>
      <w:r>
        <w:rPr>
          <w:rtl w:val="true"/>
        </w:rPr>
        <w:t>منابع برای پژوهش</w:t>
      </w:r>
      <w:bookmarkEnd w:id="1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طبسی، نجم الدین، چشم اندازی به حکومت مهدی عجل‌الله‌فرجه، قم ،بوستان کتاب،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حکومت جهانی مهدی عجل‌الله‌فرجه، قم، مدرسه امام علی علیه‌السلام ،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خراسانی، محمد جواد، مهدی منتظر،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میرشفیعی خوانساری، قم، نور الاصفیاء،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سیّد محمّد، تاریخ پس از ظهور، ترجمه حسن سجادی‌پور، تهران، موعود عصر،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12658_166725"/>
      <w:bookmarkStart w:id="148" w:name="pg12658_166725"/>
      <w:bookmarkEnd w:id="148"/>
    </w:p>
    <w:p>
      <w:pPr>
        <w:pStyle w:val="Heading2"/>
        <w:numPr>
          <w:ilvl w:val="1"/>
          <w:numId w:val="1"/>
        </w:numPr>
        <w:rPr/>
      </w:pPr>
      <w:bookmarkStart w:id="149" w:name="pg12658_166725"/>
      <w:bookmarkStart w:id="150" w:name="__RefHeading___Toc643365_222507752"/>
      <w:bookmarkStart w:id="151" w:name="_Toc55"/>
      <w:bookmarkEnd w:id="149"/>
      <w:bookmarkEnd w:id="150"/>
      <w:r>
        <w:rPr>
          <w:rtl w:val="true"/>
        </w:rPr>
        <w:t>درس چهارم</w:t>
      </w:r>
      <w:r>
        <w:rPr>
          <w:rtl w:val="true"/>
        </w:rPr>
        <w:t xml:space="preserve">: </w:t>
      </w:r>
      <w:r>
        <w:rPr>
          <w:rtl w:val="true"/>
        </w:rPr>
        <w:t>حکومت حضرت مهدی علیه‌السلام و عدالت</w:t>
      </w:r>
      <w:bookmarkEnd w:id="151"/>
    </w:p>
    <w:p>
      <w:pPr>
        <w:pStyle w:val="Heading3"/>
        <w:numPr>
          <w:ilvl w:val="2"/>
          <w:numId w:val="1"/>
        </w:numPr>
        <w:rPr/>
      </w:pPr>
      <w:bookmarkStart w:id="152" w:name="__RefHeading___Toc643367_222507752"/>
      <w:bookmarkStart w:id="153" w:name="_Toc56"/>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شناسی عدالت</w:t>
      </w:r>
    </w:p>
    <w:p>
      <w:pPr>
        <w:pStyle w:val="BookText"/>
        <w:rPr/>
      </w:pPr>
      <w:r>
        <w:rPr>
          <w:rFonts w:ascii="IRNazanin" w:hAnsi="IRNazanin" w:eastAsia="IRNazanin"/>
          <w:color w:val="111111"/>
          <w:sz w:val="28"/>
          <w:sz w:val="28"/>
          <w:szCs w:val="28"/>
          <w:rtl w:val="true"/>
          <w:lang w:bidi="fa-IR"/>
        </w:rPr>
        <w:t>عدالت در آموزه‌های دینی</w:t>
      </w:r>
    </w:p>
    <w:p>
      <w:pPr>
        <w:pStyle w:val="BookText"/>
        <w:rPr/>
      </w:pPr>
      <w:r>
        <w:rPr>
          <w:rFonts w:ascii="IRNazanin" w:hAnsi="IRNazanin" w:eastAsia="IRNazanin"/>
          <w:color w:val="111111"/>
          <w:sz w:val="28"/>
          <w:sz w:val="28"/>
          <w:szCs w:val="28"/>
          <w:rtl w:val="true"/>
          <w:lang w:bidi="fa-IR"/>
        </w:rPr>
        <w:t>عدالت در دولت مهدی موعود علیه‌السلام</w:t>
      </w:r>
    </w:p>
    <w:p>
      <w:pPr>
        <w:pStyle w:val="BookText"/>
        <w:rPr/>
      </w:pPr>
      <w:r>
        <w:rPr>
          <w:rFonts w:ascii="IRNazanin" w:hAnsi="IRNazanin" w:eastAsia="IRNazanin"/>
          <w:color w:val="111111"/>
          <w:sz w:val="28"/>
          <w:sz w:val="28"/>
          <w:szCs w:val="28"/>
          <w:rtl w:val="true"/>
          <w:lang w:bidi="fa-IR"/>
        </w:rPr>
        <w:t>راهبردهای عدالت‌گستری مهدوی</w:t>
      </w:r>
    </w:p>
    <w:p>
      <w:pPr>
        <w:pStyle w:val="BookText"/>
        <w:rPr/>
      </w:pPr>
      <w:r>
        <w:rPr>
          <w:rFonts w:ascii="IRNazanin" w:hAnsi="IRNazanin" w:eastAsia="IRNazanin"/>
          <w:color w:val="111111"/>
          <w:sz w:val="28"/>
          <w:sz w:val="28"/>
          <w:szCs w:val="28"/>
          <w:rtl w:val="true"/>
          <w:lang w:bidi="fa-IR"/>
        </w:rPr>
        <w:t>گسترة عدالت مهدوی</w:t>
      </w:r>
    </w:p>
    <w:p>
      <w:pPr>
        <w:pStyle w:val="BookText"/>
        <w:rPr/>
      </w:pPr>
      <w:r>
        <w:rPr>
          <w:rFonts w:ascii="IRNazanin" w:hAnsi="IRNazanin" w:eastAsia="IRNazanin"/>
          <w:color w:val="111111"/>
          <w:sz w:val="28"/>
          <w:sz w:val="28"/>
          <w:szCs w:val="28"/>
          <w:rtl w:val="true"/>
          <w:lang w:bidi="fa-IR"/>
        </w:rPr>
        <w:t>ـ گسترة انسانی</w:t>
      </w:r>
    </w:p>
    <w:p>
      <w:pPr>
        <w:pStyle w:val="BookText"/>
        <w:rPr/>
      </w:pPr>
      <w:r>
        <w:rPr>
          <w:rFonts w:ascii="IRNazanin" w:hAnsi="IRNazanin" w:eastAsia="IRNazanin"/>
          <w:color w:val="111111"/>
          <w:sz w:val="28"/>
          <w:sz w:val="28"/>
          <w:szCs w:val="28"/>
          <w:rtl w:val="true"/>
          <w:lang w:bidi="fa-IR"/>
        </w:rPr>
        <w:t>ـ گسترة جغرافیایی</w:t>
      </w:r>
    </w:p>
    <w:p>
      <w:pPr>
        <w:pStyle w:val="BookText"/>
        <w:rPr/>
      </w:pPr>
      <w:r>
        <w:rPr>
          <w:rFonts w:ascii="IRNazanin" w:hAnsi="IRNazanin" w:eastAsia="IRNazanin"/>
          <w:color w:val="111111"/>
          <w:sz w:val="28"/>
          <w:sz w:val="28"/>
          <w:szCs w:val="28"/>
          <w:rtl w:val="true"/>
          <w:lang w:bidi="fa-IR"/>
        </w:rPr>
        <w:t>ـ گسترة مصداقی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و برکات عدالت </w:t>
      </w:r>
      <w:bookmarkStart w:id="154" w:name="pg12658_166727"/>
    </w:p>
    <w:p>
      <w:pPr>
        <w:pStyle w:val="Heading3"/>
        <w:numPr>
          <w:ilvl w:val="2"/>
          <w:numId w:val="1"/>
        </w:numPr>
        <w:rPr/>
      </w:pPr>
      <w:bookmarkStart w:id="155" w:name="__RefHeading___Toc643369_222507752"/>
      <w:bookmarkStart w:id="156" w:name="_Toc57"/>
      <w:bookmarkEnd w:id="154"/>
      <w:bookmarkEnd w:id="155"/>
      <w:r>
        <w:rPr>
          <w:rtl w:val="true"/>
        </w:rPr>
        <w:t>پیش‌درآمد</w:t>
      </w:r>
      <w:bookmarkEnd w:id="156"/>
    </w:p>
    <w:p>
      <w:pPr>
        <w:pStyle w:val="BookText"/>
        <w:rPr/>
      </w:pPr>
      <w:r>
        <w:rPr>
          <w:rFonts w:ascii="IRNazanin" w:hAnsi="IRNazanin" w:eastAsia="IRNazanin"/>
          <w:color w:val="111111"/>
          <w:sz w:val="28"/>
          <w:sz w:val="28"/>
          <w:szCs w:val="28"/>
          <w:rtl w:val="true"/>
          <w:lang w:bidi="fa-IR"/>
        </w:rPr>
        <w:t>ظهور و قیام جهانی حضرت مهدی علیه‌السلام به راستی آخرین پرده از مبارزات پیوستة اهل حق و باطل است؛ که این بار همة پیروزی از آن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هدف برپایی حکومت واحد جهانی مهدوی، گسترش یکتاپرستی بر همة گیتی و میان همة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پدیدآوردن این ویژگی یگانه راه اجرای فراگیر عدالت فردی و اجتماعی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پرشدن زمین از عدالت را به عنوان محوری‌ترین سازوکار برای رسیدن به آن هدف مقدس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گونه ای که می‌توان گفت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الأرضَ قسطاً و عدلا کما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احادیث فراوانی ذکر شده، هم تواتر لفظی دارد و هم تواتر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روایاتی که هم در منابع شیعه و هم اهل سنت آمده می‌تواند ارزش و چگونگی این عدالت‌گستری را بیشتر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بحث عدالت بیش از هر چیز عدالت اقتصادی به ذهن می‌رسد، ولی به نظر می‌رسد گسترة عدالت بسیار فراتر از امور اقتصادی است و همة عرصه‌های زندگی را زیر پوشش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تلاش می‌شود تا به اندازة ممکن به این بحث اساسی اشاره شود و البته چون برخی بحث‌های دیگر همچنان نیازمند بررسی‌های گسترده‌تر و ژرف‌تر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آموزه‌های اسلامی، همچون همة ادیان آسمانی، عدالت از جایگاه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آن یک نیاز فطری است که در همة انسان‌ها هست؛ در گذر تاریخ آنگاه که بدان توجه شده، جامعه سرشار از نشاط و زندگی شده و آنگاه که ستم </w:t>
      </w:r>
      <w:bookmarkStart w:id="157" w:name="pg12658_166729"/>
    </w:p>
    <w:p>
      <w:pPr>
        <w:pStyle w:val="BookText"/>
        <w:rPr/>
      </w:pPr>
      <w:bookmarkEnd w:id="157"/>
      <w:r>
        <w:rPr>
          <w:rFonts w:ascii="IRNazanin" w:hAnsi="IRNazanin" w:eastAsia="IRNazanin"/>
          <w:color w:val="111111"/>
          <w:sz w:val="28"/>
          <w:sz w:val="28"/>
          <w:szCs w:val="28"/>
          <w:rtl w:val="true"/>
          <w:lang w:bidi="fa-IR"/>
        </w:rPr>
        <w:t>جای آن را گرفت، مردم دچار خمودگی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عدالت را از نیازهای ضروری مــردم دانسته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أَشْیَاءَ یَحْتَاجُ النَّاسُ طُرّاً إِلَیْهَا الْأَمْنُ وَ الْعَدْلُ وَ الْخِصْب؛</w:t>
      </w:r>
      <w:r>
        <w:rPr>
          <w:rStyle w:val="FootnoteAnchor"/>
          <w:rtl w:val="true"/>
        </w:rPr>
        <w:footnoteReference w:id="103"/>
      </w:r>
      <w:r>
        <w:rPr>
          <w:rFonts w:ascii="IRNazanin" w:hAnsi="IRNazanin" w:eastAsia="IRNazanin"/>
          <w:color w:val="111111"/>
          <w:sz w:val="28"/>
          <w:sz w:val="28"/>
          <w:szCs w:val="28"/>
          <w:rtl w:val="true"/>
          <w:lang w:bidi="fa-IR"/>
        </w:rPr>
        <w:t>سه چیز است که همة انسان‌ها به آن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عدالت، وسعت و فراوانی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نیز در ارزش عــدالت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عَدْلُ سَاعَةٍ خَیْرٌ مِنْ عِبَادَةِ سَبْعِینَ سَنَةً قِیَامٌ لَیْلُهَا وَ صِیَامٌ نَهَارُهَا؛</w:t>
      </w:r>
      <w:r>
        <w:rPr>
          <w:rStyle w:val="FootnoteAnchor"/>
          <w:rtl w:val="true"/>
        </w:rPr>
        <w:footnoteReference w:id="104"/>
      </w:r>
      <w:r>
        <w:rPr>
          <w:rFonts w:ascii="IRNazanin" w:hAnsi="IRNazanin" w:eastAsia="IRNazanin"/>
          <w:color w:val="111111"/>
          <w:sz w:val="28"/>
          <w:sz w:val="28"/>
          <w:szCs w:val="28"/>
          <w:rtl w:val="true"/>
          <w:lang w:bidi="fa-IR"/>
        </w:rPr>
        <w:t>یک ساعت عدالت از هفتاد سال عبادتی که شب‌های آن شب‌زنده‌داری شود و روزهای آن روزه گرفته شود</w:t>
      </w:r>
      <w:r>
        <w:rPr>
          <w:rFonts w:eastAsia="IRNazanin" w:cs="IRNazanin"/>
          <w:color w:val="111111"/>
          <w:sz w:val="28"/>
          <w:szCs w:val="28"/>
          <w:rtl w:val="true"/>
          <w:lang w:bidi="fa-IR"/>
        </w:rPr>
        <w:t>.</w:t>
      </w:r>
    </w:p>
    <w:p>
      <w:pPr>
        <w:pStyle w:val="Heading3"/>
        <w:numPr>
          <w:ilvl w:val="2"/>
          <w:numId w:val="1"/>
        </w:numPr>
        <w:rPr/>
      </w:pPr>
      <w:bookmarkStart w:id="158" w:name="__RefHeading___Toc643371_222507752"/>
      <w:bookmarkStart w:id="159" w:name="_Toc58"/>
      <w:bookmarkEnd w:id="158"/>
      <w:r>
        <w:rPr>
          <w:rtl w:val="true"/>
        </w:rPr>
        <w:t>مفهوم شناسی عدالت</w:t>
      </w:r>
      <w:bookmarkEnd w:id="159"/>
    </w:p>
    <w:p>
      <w:pPr>
        <w:pStyle w:val="Heading4"/>
        <w:numPr>
          <w:ilvl w:val="3"/>
          <w:numId w:val="1"/>
        </w:numPr>
        <w:rPr/>
      </w:pPr>
      <w:bookmarkStart w:id="160" w:name="__RefHeading___Toc643373_222507752"/>
      <w:bookmarkStart w:id="161" w:name="_Toc59"/>
      <w:bookmarkEnd w:id="160"/>
      <w:r>
        <w:rPr>
          <w:rtl w:val="true"/>
        </w:rPr>
        <w:t>الف</w:t>
      </w:r>
      <w:r>
        <w:rPr>
          <w:rtl w:val="true"/>
        </w:rPr>
        <w:t xml:space="preserve">) </w:t>
      </w:r>
      <w:r>
        <w:rPr>
          <w:rtl w:val="true"/>
        </w:rPr>
        <w:t>معنای لغوی</w:t>
      </w:r>
      <w:bookmarkEnd w:id="161"/>
    </w:p>
    <w:p>
      <w:pPr>
        <w:pStyle w:val="BookText"/>
        <w:rPr/>
      </w:pPr>
      <w:r>
        <w:rPr>
          <w:rFonts w:ascii="IRNazanin" w:hAnsi="IRNazanin" w:eastAsia="IRNazanin"/>
          <w:color w:val="111111"/>
          <w:sz w:val="28"/>
          <w:sz w:val="28"/>
          <w:szCs w:val="28"/>
          <w:rtl w:val="true"/>
          <w:lang w:bidi="fa-IR"/>
        </w:rPr>
        <w:t>از عدالت تعاریف گوناگونی ارائه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راغب اصفهانی در مفردات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العدالة و المعادلة لفظ یقتضی المساواة ویستعمل باعتبار المضایقة والعدلُ والعِدل یتقاربان… فالعدل هو تقسیطُ علی سواءِ… ؛</w:t>
      </w:r>
      <w:r>
        <w:rPr>
          <w:rStyle w:val="FootnoteAnchor"/>
          <w:rtl w:val="true"/>
        </w:rPr>
        <w:footnoteReference w:id="105"/>
      </w:r>
      <w:r>
        <w:rPr>
          <w:rFonts w:ascii="IRNazanin" w:hAnsi="IRNazanin" w:eastAsia="IRNazanin"/>
          <w:color w:val="111111"/>
          <w:sz w:val="28"/>
          <w:sz w:val="28"/>
          <w:szCs w:val="28"/>
          <w:rtl w:val="true"/>
          <w:lang w:bidi="fa-IR"/>
        </w:rPr>
        <w:t>عدالت و معادله مقتضی معنای برابری است و به همین جهت همواره در مقایسه میان أشیاء کاربرد دارد وعَدل و عِدل تشابه نزدیکی به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عدل همان تقسیم به دو نیم مساوی وهماهنگ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ابن منظور نیز عدل را به معنای تساوی میان دو چیز تعریف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فی النفوس أَنه مُسْتقیم، و هو ضِدُّ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 بالحق،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یَقْضی بالحق و یَعْدِلُ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المَرْضِیُّ قولُه و حُکْمُه</w:t>
      </w:r>
      <w:r>
        <w:rPr>
          <w:rFonts w:eastAsia="Amiri" w:cs="Amiri" w:ascii="Amiri" w:hAnsi="Amiri"/>
          <w:color w:val="111111"/>
          <w:sz w:val="28"/>
          <w:szCs w:val="28"/>
          <w:rtl w:val="true"/>
          <w:lang w:bidi="ar-SA"/>
        </w:rPr>
        <w:t>.</w:t>
      </w:r>
      <w:r>
        <w:rPr>
          <w:rStyle w:val="FootnoteAnchor"/>
          <w:rtl w:val="true"/>
        </w:rPr>
        <w:footnoteReference w:id="10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شیخ طوسی در معنای آن چنین می‌گوید</w:t>
      </w:r>
      <w:r>
        <w:rPr>
          <w:rFonts w:eastAsia="IRNazanin" w:cs="IRNazanin"/>
          <w:color w:val="111111"/>
          <w:sz w:val="28"/>
          <w:szCs w:val="28"/>
          <w:rtl w:val="true"/>
          <w:lang w:bidi="fa-IR"/>
        </w:rPr>
        <w:t xml:space="preserve">: </w:t>
      </w:r>
      <w:bookmarkStart w:id="162" w:name="pg12658_166731"/>
    </w:p>
    <w:p>
      <w:pPr>
        <w:pStyle w:val="BookText"/>
        <w:rPr/>
      </w:pPr>
      <w:bookmarkEnd w:id="162"/>
      <w:r>
        <w:rPr>
          <w:rFonts w:ascii="IRNazanin" w:hAnsi="IRNazanin" w:eastAsia="IRNazanin"/>
          <w:color w:val="111111"/>
          <w:sz w:val="28"/>
          <w:sz w:val="28"/>
          <w:szCs w:val="28"/>
          <w:rtl w:val="true"/>
          <w:lang w:bidi="fa-IR"/>
        </w:rPr>
        <w:t>العدالة فی اللغة إن یکون الانسان متعادل الاحوال متساویا</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عدالت در لغت این است که انسان احوال متساوی و متعادلی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تعاریف با وجود اختلاف در الفاظ به یک حقیقت اشاره دارند و آن تقسیم شایسته و رسیدن حق به حق‌دار است</w:t>
      </w:r>
      <w:r>
        <w:rPr>
          <w:rFonts w:eastAsia="IRNazanin" w:cs="IRNazanin"/>
          <w:color w:val="111111"/>
          <w:sz w:val="28"/>
          <w:szCs w:val="28"/>
          <w:rtl w:val="true"/>
          <w:lang w:bidi="fa-IR"/>
        </w:rPr>
        <w:t>.</w:t>
      </w:r>
    </w:p>
    <w:p>
      <w:pPr>
        <w:pStyle w:val="Heading4"/>
        <w:numPr>
          <w:ilvl w:val="3"/>
          <w:numId w:val="1"/>
        </w:numPr>
        <w:rPr/>
      </w:pPr>
      <w:bookmarkStart w:id="163" w:name="__RefHeading___Toc643375_222507752"/>
      <w:bookmarkStart w:id="164" w:name="_Toc60"/>
      <w:bookmarkEnd w:id="163"/>
      <w:r>
        <w:rPr>
          <w:rtl w:val="true"/>
        </w:rPr>
        <w:t>ب</w:t>
      </w:r>
      <w:r>
        <w:rPr>
          <w:rtl w:val="true"/>
        </w:rPr>
        <w:t xml:space="preserve">) </w:t>
      </w:r>
      <w:r>
        <w:rPr>
          <w:rtl w:val="true"/>
        </w:rPr>
        <w:t>معنای اصطلاحی</w:t>
      </w:r>
      <w:bookmarkEnd w:id="164"/>
    </w:p>
    <w:p>
      <w:pPr>
        <w:pStyle w:val="BookText"/>
        <w:rPr/>
      </w:pPr>
      <w:r>
        <w:rPr>
          <w:rFonts w:ascii="IRNazanin" w:hAnsi="IRNazanin" w:eastAsia="IRNazanin"/>
          <w:color w:val="111111"/>
          <w:sz w:val="28"/>
          <w:sz w:val="28"/>
          <w:szCs w:val="28"/>
          <w:rtl w:val="true"/>
          <w:lang w:bidi="fa-IR"/>
        </w:rPr>
        <w:t>علامة طباطبایی در معنای آن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اعطاء کل ذی حق من القوی حقه و وضعه فی موضعه الذی ینبغی له</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عدالت این است هر نیرویی هر حقی دارد به حق خود برسد و در جایی که شایسته است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عدالت در اصطلاح تعریف‌های فراوانی ذکر شده که در این صفحات اندک، مجال بحث همة آنها نیست، از این رو به چهار برداشتی که شهید مطهری در کتاب عدل الهی بیان کرده، بسنده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موزون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رعایت تناسب یا توازن میان اجزای یک مجموعه؛ واژة اقتصاد نیز در فرهنگ اسلامی به معنای رعایت حد وسط و اعتدال ذکر شده است و اساس اقتصاد اسلامی بر مبنای رعایت اعتدال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تساوی و رفع 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رعایت مساوات میان افراد هنگامی که استعدادها و استحقاق‌های مساوی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قاضی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حقوق افراد ودادن پاداش و امتیاز بر اساس میزان همکاری آنها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استحقاق‌ها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از عدل عمدتاً مربوط به عدالت تکوینی و از خصوصیات باری تعالی است</w:t>
      </w:r>
      <w:r>
        <w:rPr>
          <w:rFonts w:eastAsia="IRNazanin" w:cs="IRNazanin"/>
          <w:color w:val="111111"/>
          <w:sz w:val="28"/>
          <w:szCs w:val="28"/>
          <w:rtl w:val="true"/>
          <w:lang w:bidi="fa-IR"/>
        </w:rPr>
        <w:t>.</w:t>
      </w:r>
      <w:r>
        <w:rPr>
          <w:rStyle w:val="FootnoteAnchor"/>
          <w:rtl w:val="true"/>
        </w:rPr>
        <w:footnoteReference w:id="109"/>
      </w:r>
      <w:bookmarkStart w:id="165" w:name="pg12658_166733"/>
    </w:p>
    <w:p>
      <w:pPr>
        <w:pStyle w:val="Heading3"/>
        <w:numPr>
          <w:ilvl w:val="2"/>
          <w:numId w:val="1"/>
        </w:numPr>
        <w:rPr/>
      </w:pPr>
      <w:bookmarkStart w:id="166" w:name="__RefHeading___Toc643377_222507752"/>
      <w:bookmarkStart w:id="167" w:name="_Toc61"/>
      <w:bookmarkEnd w:id="165"/>
      <w:bookmarkEnd w:id="166"/>
      <w:r>
        <w:rPr>
          <w:rtl w:val="true"/>
        </w:rPr>
        <w:t>عدالت در آموزه‌های دینی</w:t>
      </w:r>
      <w:bookmarkEnd w:id="167"/>
    </w:p>
    <w:p>
      <w:pPr>
        <w:pStyle w:val="Heading4"/>
        <w:numPr>
          <w:ilvl w:val="3"/>
          <w:numId w:val="1"/>
        </w:numPr>
        <w:rPr/>
      </w:pPr>
      <w:bookmarkStart w:id="168" w:name="__RefHeading___Toc643379_222507752"/>
      <w:bookmarkStart w:id="169" w:name="_Toc62"/>
      <w:bookmarkEnd w:id="168"/>
      <w:r>
        <w:rPr>
          <w:rtl w:val="true"/>
        </w:rPr>
        <w:t>الف</w:t>
      </w:r>
      <w:r>
        <w:rPr>
          <w:rtl w:val="true"/>
        </w:rPr>
        <w:t xml:space="preserve">) </w:t>
      </w:r>
      <w:r>
        <w:rPr>
          <w:rtl w:val="true"/>
        </w:rPr>
        <w:t>در قرآن</w:t>
      </w:r>
      <w:bookmarkEnd w:id="169"/>
    </w:p>
    <w:p>
      <w:pPr>
        <w:pStyle w:val="BookText"/>
        <w:rPr/>
      </w:pPr>
      <w:r>
        <w:rPr>
          <w:rFonts w:ascii="IRNazanin" w:hAnsi="IRNazanin" w:eastAsia="IRNazanin"/>
          <w:color w:val="111111"/>
          <w:sz w:val="28"/>
          <w:sz w:val="28"/>
          <w:szCs w:val="28"/>
          <w:rtl w:val="true"/>
          <w:lang w:bidi="fa-IR"/>
        </w:rPr>
        <w:t>در آیات فراوانی از قرآن به مناسبت‌های مختلف به بحث عدالت پرداخته شده است که برخی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قائم به قسط</w:t>
      </w:r>
    </w:p>
    <w:p>
      <w:pPr>
        <w:pStyle w:val="BookText"/>
        <w:rPr/>
      </w:pPr>
      <w:r>
        <w:rPr>
          <w:rFonts w:ascii="Amiri" w:hAnsi="Amiri" w:eastAsia="Amiri" w:cs="Amiri"/>
          <w:color w:val="111111"/>
          <w:sz w:val="28"/>
          <w:sz w:val="28"/>
          <w:szCs w:val="28"/>
          <w:rtl w:val="true"/>
          <w:lang w:bidi="ar-SA"/>
        </w:rPr>
        <w:t xml:space="preserve">خداوند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به 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وَالمَلائِکَةُ وَاُولوا العِلْمِ قائِماً بِالقِسْطِ لا إِلهَ إِلاّ هُوَ العَزیزُ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خداوند که در کارهایش عدالت را برپا داشته، گواهی داده است که معبودی شایسته پرستش جز او نیست و فرشتگان و دانشمندان نیز بر آن گواهی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شایسته پرستش جز او که شکست ناپذیر و حکیم است،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هدف رسالت</w:t>
      </w:r>
    </w:p>
    <w:p>
      <w:pPr>
        <w:pStyle w:val="BookText"/>
        <w:rPr/>
      </w:pPr>
      <w:r>
        <w:rPr>
          <w:rFonts w:ascii="IRNazanin" w:hAnsi="IRNazanin" w:eastAsia="IRNazanin"/>
          <w:color w:val="111111"/>
          <w:sz w:val="28"/>
          <w:sz w:val="28"/>
          <w:szCs w:val="28"/>
          <w:rtl w:val="true"/>
          <w:lang w:bidi="fa-IR"/>
        </w:rPr>
        <w:t>قرآن کریم در بیان اهداف فرستادن پیامبران صلی‌الله‌علیه‌وآله، برپایی قسط و گسترش عدالت در میان مردمان را هدف اصلی آنان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بِالبْبَیِّنَتِ وَ أَنزَلْنَا مَعَهُمُ الْکِتَبَ وَالْمیزانَ لِیَقُومَ النَّاسُ بِالْقِسْطِ وَأَنزَلْنَا الْحَدیدَ فیهِ بَْأسُ شَدِید‌ٌ وَ مَنَافِعُ لِلنّاسِ وَ لِیَعْلَمَ اللهُ مَن یَنصُرَهُ، وَ رُسُلَهُ بِالْغَیْبِ إنَّ اللهَ قَویُّ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خود را با دلایل آشکار روانه کردیم و با آنها کتاب و ترازو را فرود آوردیم تا مردم به انصاف برخیزند، و آهن را که در آن برای مردم خطری سخت و سودهایی است، پدید آوردیم، تا خدا معلوم بدارد چه کسی در نهان، او و پیامبرانش را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نیرومند شکست 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اسلام، مأمور به قسط</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را به پیامبرش دستور داد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أَمَرَ رَبِّی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عدل و داد فرمان داده است…</w:t>
      </w:r>
      <w:r>
        <w:rPr>
          <w:rFonts w:eastAsia="IRNazanin" w:cs="IRNazanin"/>
          <w:color w:val="111111"/>
          <w:sz w:val="28"/>
          <w:szCs w:val="28"/>
          <w:rtl w:val="true"/>
          <w:lang w:bidi="fa-IR"/>
        </w:rPr>
        <w:t xml:space="preserve">. </w:t>
      </w:r>
      <w:bookmarkStart w:id="170" w:name="pg12658_166735"/>
    </w:p>
    <w:p>
      <w:pPr>
        <w:pStyle w:val="BookText"/>
        <w:rPr/>
      </w:pPr>
      <w:bookmarkEnd w:id="170"/>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مأمور به عدالت</w:t>
      </w:r>
    </w:p>
    <w:p>
      <w:pPr>
        <w:pStyle w:val="BookText"/>
        <w:rPr/>
      </w:pPr>
      <w:r>
        <w:rPr>
          <w:rFonts w:ascii="IRNazanin" w:hAnsi="IRNazanin" w:eastAsia="IRNazanin"/>
          <w:color w:val="111111"/>
          <w:sz w:val="28"/>
          <w:sz w:val="28"/>
          <w:szCs w:val="28"/>
          <w:rtl w:val="true"/>
          <w:lang w:bidi="fa-IR"/>
        </w:rPr>
        <w:t>خداوند مؤمنان را نیز به برپایی عدالت و قسط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کُونُوا قَوّامینَ بِالقِسْطِ شُهداءَ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ای کسانی که ایمان آورده‌اید، پیوسته به عدالت قیام کنید و برای خدا گواهی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هشتم سوره مائده بر این عدالت پافشاری کرده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کُونُواْ قَوَّامِینَ لِلَّهِ شهَُدَاءَ بِالْقِسْطِ وَلایَجْرِمَنَّکُمْ شَنَئانُ قَوْم عَلی أَلاّتَعْدِلُوا إعْدِلُوا هُوَ أَقْرَبُ لِلتَّقْوی وَاتَّقُوا اللهَ إِنَّ اللهَ خَبیرٌ بِماتَعْمَلُونَ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 xml:space="preserve">ای کسانی که ایمان آورده‌اید، برای خدا به داد برخیزید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شهادت دهید، و البتّه نباید دشمنیِ گروهی شما را بر آن دارد که عدالت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کنید که آن به تقوا نزدیکتر است، و از خدا پروا دارید، که خدا به آنچه انجام می‌دهید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دادگری هنگام داوری</w:t>
      </w:r>
    </w:p>
    <w:p>
      <w:pPr>
        <w:pStyle w:val="BookText"/>
        <w:rPr/>
      </w:pPr>
      <w:r>
        <w:rPr>
          <w:rFonts w:ascii="IRNazanin" w:hAnsi="IRNazanin" w:eastAsia="IRNazanin"/>
          <w:color w:val="111111"/>
          <w:sz w:val="28"/>
          <w:sz w:val="28"/>
          <w:szCs w:val="28"/>
          <w:rtl w:val="true"/>
          <w:lang w:bidi="fa-IR"/>
        </w:rPr>
        <w:t>و به مردم سفارش کرده هنگام داوری به عدل داوری کنند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حَکَمْتُمْ بَیْنَ النَّاسِ أَنْ تَحْکُمُوا بِالْعَدْل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و چون میان مردم داوری می‌کنید، به عدالت داوری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یاد شد فقط بخشی از آیات در بحث عدالت بود</w:t>
      </w:r>
      <w:r>
        <w:rPr>
          <w:rFonts w:eastAsia="IRNazanin" w:cs="IRNazanin"/>
          <w:color w:val="111111"/>
          <w:sz w:val="28"/>
          <w:szCs w:val="28"/>
          <w:rtl w:val="true"/>
          <w:lang w:bidi="fa-IR"/>
        </w:rPr>
        <w:t>.</w:t>
      </w:r>
    </w:p>
    <w:p>
      <w:pPr>
        <w:pStyle w:val="Heading4"/>
        <w:numPr>
          <w:ilvl w:val="3"/>
          <w:numId w:val="1"/>
        </w:numPr>
        <w:rPr/>
      </w:pPr>
      <w:bookmarkStart w:id="171" w:name="__RefHeading___Toc643381_222507752"/>
      <w:bookmarkStart w:id="172" w:name="_Toc63"/>
      <w:bookmarkEnd w:id="171"/>
      <w:r>
        <w:rPr>
          <w:rtl w:val="true"/>
        </w:rPr>
        <w:t>ب</w:t>
      </w:r>
      <w:r>
        <w:rPr>
          <w:rtl w:val="true"/>
        </w:rPr>
        <w:t xml:space="preserve">) </w:t>
      </w:r>
      <w:r>
        <w:rPr>
          <w:rtl w:val="true"/>
        </w:rPr>
        <w:t>در روایات</w:t>
      </w:r>
      <w:bookmarkEnd w:id="172"/>
    </w:p>
    <w:p>
      <w:pPr>
        <w:pStyle w:val="BookText"/>
        <w:rPr/>
      </w:pPr>
      <w:r>
        <w:rPr>
          <w:rFonts w:ascii="IRNazanin" w:hAnsi="IRNazanin" w:eastAsia="IRNazanin"/>
          <w:color w:val="111111"/>
          <w:sz w:val="28"/>
          <w:sz w:val="28"/>
          <w:szCs w:val="28"/>
          <w:rtl w:val="true"/>
          <w:lang w:bidi="fa-IR"/>
        </w:rPr>
        <w:t>در سخنان معصومان علیهم‌السلام روایات فراوانی در بارة عدل و عدالت آمده است که نمونه‌ای از آنها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باره جایگاه عدل می‌فرماید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العَدلَ میزانُ اللهِ سُبحانه الذی وَضَعَه فی الخَلقِ وَنَصَبَهُ لإقامَةِ الحَقِّ…؛</w:t>
      </w:r>
      <w:r>
        <w:rPr>
          <w:rStyle w:val="FootnoteAnchor"/>
          <w:rtl w:val="true"/>
        </w:rPr>
        <w:footnoteReference w:id="116"/>
      </w:r>
      <w:r>
        <w:rPr>
          <w:rFonts w:ascii="IRNazanin" w:hAnsi="IRNazanin" w:eastAsia="IRNazanin"/>
          <w:color w:val="111111"/>
          <w:sz w:val="28"/>
          <w:sz w:val="28"/>
          <w:szCs w:val="28"/>
          <w:rtl w:val="true"/>
          <w:lang w:bidi="fa-IR"/>
        </w:rPr>
        <w:t>عدالت، ترازوی خدای سبحان است که آن را در میان آفریده‌های خود نهاده و برای برپا داشتن حق، نصب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آن حضرت در پاسخ به اینکه آیا عدل برتر است یا بخشش؟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الْعَدْلُ یَضَعُ الْأُمُورَ مَوَاضِعَهَا وَ الْجُودُ یُخْرِجُهَا مِنْ جِهَتِهَا وَ الْعَدْلُ سَائِسٌ عَامٌّ وَ الْجُودُ عَارِضٌ خَاصٌّ فَالْعَدْلُ أَشْرَفُهُمَا وَ أَفْضَلُهُمَا؛</w:t>
      </w:r>
      <w:r>
        <w:rPr>
          <w:rStyle w:val="FootnoteAnchor"/>
          <w:rtl w:val="true"/>
        </w:rPr>
        <w:footnoteReference w:id="117"/>
      </w:r>
      <w:r>
        <w:rPr>
          <w:rFonts w:ascii="IRNazanin" w:hAnsi="IRNazanin" w:eastAsia="IRNazanin"/>
          <w:color w:val="111111"/>
          <w:sz w:val="28"/>
          <w:sz w:val="28"/>
          <w:szCs w:val="28"/>
          <w:rtl w:val="true"/>
          <w:lang w:bidi="fa-IR"/>
        </w:rPr>
        <w:t>عدالت کارها را بدانجا می‌نهد که باید و بخشش آن را از جایش برون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تدبیر کننده‌ای است به سود همگان، و بخشش به سود خاصگان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عدل شریفتر و با فضیلت‌تر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افزون بر تعبیر عدالت در بسیاری از روایات تعبیر قسط نیز به کار رفته که به بیانی مختصر بسنده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گفتة راغب اصفهانی، به دو معنای مقابل هم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بهرة عادلانه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لِیَجْزِیَ الَّذینَ آمَنُوا وَ عَمِلُوا الصَّالِحاتِ بِالْقِسْطِ؛</w:t>
      </w:r>
      <w:r>
        <w:rPr>
          <w:rStyle w:val="FootnoteAnchor"/>
          <w:rtl w:val="true"/>
        </w:rPr>
        <w:footnoteReference w:id="118"/>
      </w:r>
      <w:r>
        <w:rPr>
          <w:rFonts w:ascii="IRNazanin" w:hAnsi="IRNazanin" w:eastAsia="IRNazanin"/>
          <w:color w:val="111111"/>
          <w:sz w:val="28"/>
          <w:sz w:val="28"/>
          <w:szCs w:val="28"/>
          <w:rtl w:val="true"/>
          <w:lang w:bidi="fa-IR"/>
        </w:rPr>
        <w:t>تا کسانی را که ایمان آورده و کارهای شایسته کرده‌اند به عدالت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أَقیمُوا الْوَزْنَ بِالْقِسْط؛</w:t>
      </w:r>
      <w:r>
        <w:rPr>
          <w:rStyle w:val="FootnoteAnchor"/>
          <w:rtl w:val="true"/>
        </w:rPr>
        <w:footnoteReference w:id="119"/>
      </w:r>
      <w:r>
        <w:rPr>
          <w:rFonts w:ascii="IRNazanin" w:hAnsi="IRNazanin" w:eastAsia="IRNazanin"/>
          <w:color w:val="111111"/>
          <w:sz w:val="28"/>
          <w:sz w:val="28"/>
          <w:szCs w:val="28"/>
          <w:rtl w:val="true"/>
          <w:lang w:bidi="fa-IR"/>
        </w:rPr>
        <w:t>و وزن را به انصاف برپا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معنای جور و گرفتن بهره دیگران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ثلاثی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الْقاسِطُونَ فَکانُوا لِجَهَنَّمَ حَطَبا؛</w:t>
      </w:r>
      <w:r>
        <w:rPr>
          <w:rStyle w:val="FootnoteAnchor"/>
          <w:rtl w:val="true"/>
        </w:rPr>
        <w:footnoteReference w:id="120"/>
      </w:r>
      <w:r>
        <w:rPr>
          <w:rFonts w:ascii="IRNazanin" w:hAnsi="IRNazanin" w:eastAsia="IRNazanin"/>
          <w:color w:val="111111"/>
          <w:sz w:val="28"/>
          <w:sz w:val="28"/>
          <w:szCs w:val="28"/>
          <w:rtl w:val="true"/>
          <w:lang w:bidi="fa-IR"/>
        </w:rPr>
        <w:t>ولی منحرفان، هیزم جهنّم خواهند بود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البته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وجود دارد، عدالت به این گفته می‌شود که انسان حق هر کس را بپردازد، و نقطه مقابلش، آن است که ظلم و ستم کند و حقوق افراد را از آنها دریغ دارد،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آن است که حق کسی را به دیگری ندهد،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ندارد، و نقطه مقابلش آن است که حق کسی را به دیگری دهد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مفهوم وسیع این دو کلمه مخصوصاً هنگامی که جدا از یکدیگر به کار می‌روند </w:t>
      </w:r>
      <w:bookmarkStart w:id="173" w:name="pg12658_166739"/>
    </w:p>
    <w:p>
      <w:pPr>
        <w:pStyle w:val="BookText"/>
        <w:rPr/>
      </w:pPr>
      <w:bookmarkEnd w:id="173"/>
      <w:r>
        <w:rPr>
          <w:rFonts w:ascii="IRNazanin" w:hAnsi="IRNazanin" w:eastAsia="IRNazanin"/>
          <w:color w:val="111111"/>
          <w:sz w:val="28"/>
          <w:sz w:val="28"/>
          <w:szCs w:val="28"/>
          <w:rtl w:val="true"/>
          <w:lang w:bidi="fa-IR"/>
        </w:rPr>
        <w:t>تقریباً مساوی است و به معنی رعایت اعتدال در همه چیز و همه کار و هر چیز را به جای خویش قرار دادن می‌باشد</w:t>
      </w:r>
      <w:r>
        <w:rPr>
          <w:rFonts w:eastAsia="IRNazanin" w:cs="IRNazanin"/>
          <w:color w:val="111111"/>
          <w:sz w:val="28"/>
          <w:szCs w:val="28"/>
          <w:rtl w:val="true"/>
          <w:lang w:bidi="fa-IR"/>
        </w:rPr>
        <w:t>.</w:t>
      </w:r>
    </w:p>
    <w:p>
      <w:pPr>
        <w:pStyle w:val="Heading3"/>
        <w:numPr>
          <w:ilvl w:val="2"/>
          <w:numId w:val="1"/>
        </w:numPr>
        <w:rPr/>
      </w:pPr>
      <w:bookmarkStart w:id="174" w:name="__RefHeading___Toc643383_222507752"/>
      <w:bookmarkStart w:id="175" w:name="_Toc64"/>
      <w:bookmarkEnd w:id="174"/>
      <w:r>
        <w:rPr>
          <w:rtl w:val="true"/>
        </w:rPr>
        <w:t>عدالت در دولت مهدی موعود علیه‌السلام</w:t>
      </w:r>
      <w:bookmarkEnd w:id="175"/>
    </w:p>
    <w:p>
      <w:pPr>
        <w:pStyle w:val="BookText"/>
        <w:rPr/>
      </w:pPr>
      <w:r>
        <w:rPr>
          <w:rFonts w:ascii="IRNazanin" w:hAnsi="IRNazanin" w:eastAsia="IRNazanin"/>
          <w:color w:val="111111"/>
          <w:sz w:val="28"/>
          <w:sz w:val="28"/>
          <w:szCs w:val="28"/>
          <w:rtl w:val="true"/>
          <w:lang w:bidi="fa-IR"/>
        </w:rPr>
        <w:t>عدالت با این جایگاه بسیار والا و ویژه، شاخصة اصلی حکومت جهانی امام مهدی عجل‌الله‌فرجه است به گونه‌ای که هرگاه سخن از آن دولت کریمه به میان می‌آید به برپایی عدل و قسط نیز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از امیرالمؤمنین علیه‌السلام چنین نقل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المَهدی… یَملأُ الأرضَ عَدلا وَ قِسْطاً کَما مُلِئَتْ جَوراً و ظُلماً… ؛ مهدی زمین را از عدل و داد پر می‌کند؛ همان گونه که از ظلم و ستم، پر شده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از امام کاظم علیه‌السلام درباره تأویل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إعلَمُوا أَنَّ اللهَ یُحیی الأَرضَ بَعدَ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بدانید که خدا زمین را پس از مرگش زنده می‌گرداند؛سوال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یَبْعَثُ اللَّهُ رِجَالًا فَیُحْیُونَ الْعَدْلَ فَتُحْیَا الْأَرْضُ لِإِحْیَاءِ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خداوند بلند مرتبه، مردانی را بر می‌انگیزد تا عدل را احیا کنند؛ چون زمین با احیای عدل، زنده می‌شود</w:t>
      </w:r>
      <w:r>
        <w:rPr>
          <w:rFonts w:eastAsia="IRNazanin" w:cs="IRNazanin"/>
          <w:color w:val="111111"/>
          <w:sz w:val="28"/>
          <w:szCs w:val="28"/>
          <w:rtl w:val="true"/>
          <w:lang w:bidi="fa-IR"/>
        </w:rPr>
        <w:t>.</w:t>
      </w:r>
    </w:p>
    <w:p>
      <w:pPr>
        <w:pStyle w:val="Heading3"/>
        <w:numPr>
          <w:ilvl w:val="2"/>
          <w:numId w:val="1"/>
        </w:numPr>
        <w:rPr/>
      </w:pPr>
      <w:bookmarkStart w:id="176" w:name="__RefHeading___Toc643385_222507752"/>
      <w:bookmarkStart w:id="177" w:name="_Toc65"/>
      <w:bookmarkEnd w:id="176"/>
      <w:r>
        <w:rPr>
          <w:rtl w:val="true"/>
        </w:rPr>
        <w:t>راهبردهای عدالت‌گستری مهدوی</w:t>
      </w:r>
      <w:bookmarkEnd w:id="177"/>
    </w:p>
    <w:p>
      <w:pPr>
        <w:pStyle w:val="Heading4"/>
        <w:numPr>
          <w:ilvl w:val="3"/>
          <w:numId w:val="1"/>
        </w:numPr>
        <w:rPr/>
      </w:pPr>
      <w:bookmarkStart w:id="178" w:name="__RefHeading___Toc643387_222507752"/>
      <w:bookmarkStart w:id="179" w:name="_Toc66"/>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در جامعة مهدوی همة عناصر پدیدآورندة عدالت دست به هم خواهند داد تا نوید پروردگار در برپایی جامعة جهانی بر پایة عدل را شکل دهند؛ عناصری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دادگرانه، رهبر عادل، حکومت و کارگزاران عادل و جامعة عادل، که در این صورت عدل جهانی امری قطعی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عدالت راهکارهایی دارد که انجام آن‌ها سبب تعادل و از میان رفتن زمینه بی‌عدالتی خواهد شد که برخی از آن‌ها عبارتند از</w:t>
      </w:r>
      <w:r>
        <w:rPr>
          <w:rFonts w:eastAsia="IRNazanin" w:cs="IRNazanin"/>
          <w:color w:val="111111"/>
          <w:sz w:val="28"/>
          <w:szCs w:val="28"/>
          <w:rtl w:val="true"/>
          <w:lang w:bidi="fa-IR"/>
        </w:rPr>
        <w:t>:</w:t>
      </w:r>
    </w:p>
    <w:p>
      <w:pPr>
        <w:pStyle w:val="Heading4"/>
        <w:numPr>
          <w:ilvl w:val="3"/>
          <w:numId w:val="1"/>
        </w:numPr>
        <w:rPr/>
      </w:pPr>
      <w:bookmarkStart w:id="180" w:name="__RefHeading___Toc643389_222507752"/>
      <w:bookmarkStart w:id="181" w:name="_Toc67"/>
      <w:bookmarkEnd w:id="180"/>
      <w:r>
        <w:rPr>
          <w:rtl w:val="true"/>
        </w:rPr>
        <w:t>افزایش معرفت</w:t>
      </w:r>
      <w:bookmarkEnd w:id="18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بی‌عدالتی جهل و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ظهور، آگاهی‌های مردم </w:t>
      </w:r>
      <w:bookmarkStart w:id="182" w:name="pg12658_166741"/>
    </w:p>
    <w:p>
      <w:pPr>
        <w:pStyle w:val="BookText"/>
        <w:rPr/>
      </w:pPr>
      <w:bookmarkEnd w:id="182"/>
      <w:r>
        <w:rPr>
          <w:rFonts w:ascii="IRNazanin" w:hAnsi="IRNazanin" w:eastAsia="IRNazanin"/>
          <w:color w:val="111111"/>
          <w:sz w:val="28"/>
          <w:sz w:val="28"/>
          <w:szCs w:val="28"/>
          <w:rtl w:val="true"/>
          <w:lang w:bidi="fa-IR"/>
        </w:rPr>
        <w:t>افزایش چشم‌گیری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در بارة رشد آگاهی جامعه عصر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قَائِمُنَا وَضَعَ یَدَهُ عَلَی رُءُوسِ الْعِبَادِ فَجَمَعَ بِهَا عُقُولَهُمْ وَ کَمُلَتْ بِهَا أَحْلَامَهُمْ؛</w:t>
      </w:r>
      <w:r>
        <w:rPr>
          <w:rStyle w:val="FootnoteAnchor"/>
          <w:rtl w:val="true"/>
        </w:rPr>
        <w:footnoteReference w:id="125"/>
      </w:r>
      <w:r>
        <w:rPr>
          <w:rFonts w:ascii="IRNazanin" w:hAnsi="IRNazanin" w:eastAsia="IRNazanin"/>
          <w:color w:val="111111"/>
          <w:sz w:val="28"/>
          <w:sz w:val="28"/>
          <w:szCs w:val="28"/>
          <w:rtl w:val="true"/>
          <w:lang w:bidi="fa-IR"/>
        </w:rPr>
        <w:t>آن‌گاه که قائم ما قیام کند، دستش را بر سر بندگان می‌نهد؛ به این وسیله خداوند خردهای آن‌ها را جمع و کامل می‌گرداند</w:t>
      </w:r>
      <w:r>
        <w:rPr>
          <w:rFonts w:eastAsia="IRNazanin" w:cs="IRNazanin"/>
          <w:color w:val="111111"/>
          <w:sz w:val="28"/>
          <w:szCs w:val="28"/>
          <w:rtl w:val="true"/>
          <w:lang w:bidi="fa-IR"/>
        </w:rPr>
        <w:t>.</w:t>
      </w:r>
    </w:p>
    <w:p>
      <w:pPr>
        <w:pStyle w:val="Heading4"/>
        <w:numPr>
          <w:ilvl w:val="3"/>
          <w:numId w:val="1"/>
        </w:numPr>
        <w:rPr/>
      </w:pPr>
      <w:bookmarkStart w:id="183" w:name="__RefHeading___Toc643391_222507752"/>
      <w:bookmarkStart w:id="184" w:name="_Toc68"/>
      <w:bookmarkEnd w:id="183"/>
      <w:r>
        <w:rPr>
          <w:rtl w:val="true"/>
        </w:rPr>
        <w:t>گسترش انفاق</w:t>
      </w:r>
      <w:bookmarkEnd w:id="184"/>
    </w:p>
    <w:p>
      <w:pPr>
        <w:pStyle w:val="BookText"/>
        <w:rPr/>
      </w:pPr>
      <w:r>
        <w:rPr>
          <w:rFonts w:ascii="IRNazanin" w:hAnsi="IRNazanin" w:eastAsia="IRNazanin"/>
          <w:color w:val="111111"/>
          <w:sz w:val="28"/>
          <w:sz w:val="28"/>
          <w:szCs w:val="28"/>
          <w:rtl w:val="true"/>
          <w:lang w:bidi="fa-IR"/>
        </w:rPr>
        <w:t>از مهم‌ترین عوامل بی‌عدالتی فاصلة طبقاتی میان تهیدست و 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از طرف ثروتمندان نقش مهمی در نزدیک ساختن جامعه به برخورداری همگانی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حتی به صورت غیر واجب، به عنوان یک ارزش تلقی شده و پاداش عظیمی برای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حاکمیت حضرت مهدی انفاق مال به اوج خود می‌رسد به گونه‌ای که یکی از اسباب بی‌نیازشدن مردم خواهد بود</w:t>
      </w:r>
      <w:r>
        <w:rPr>
          <w:rFonts w:eastAsia="IRNazanin" w:cs="IRNazanin"/>
          <w:color w:val="111111"/>
          <w:sz w:val="28"/>
          <w:szCs w:val="28"/>
          <w:rtl w:val="true"/>
          <w:lang w:bidi="fa-IR"/>
        </w:rPr>
        <w:t>.</w:t>
      </w:r>
    </w:p>
    <w:p>
      <w:pPr>
        <w:pStyle w:val="Heading4"/>
        <w:numPr>
          <w:ilvl w:val="3"/>
          <w:numId w:val="1"/>
        </w:numPr>
        <w:rPr/>
      </w:pPr>
      <w:bookmarkStart w:id="185" w:name="__RefHeading___Toc643393_222507752"/>
      <w:bookmarkStart w:id="186" w:name="_Toc69"/>
      <w:bookmarkEnd w:id="185"/>
      <w:r>
        <w:rPr>
          <w:rtl w:val="true"/>
        </w:rPr>
        <w:t>توزیع دادگرانه</w:t>
      </w:r>
      <w:bookmarkEnd w:id="18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توزیع دادگرانة ثروت، عدالت اقتصادی در عصر ظهور، به معنای تقسیم دادگرانه ثروت میان تمام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بشارت می‌دهم به ظهور مهدی علیه‌السلام در میان امتم برانگیخته می‌شود…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یقسم المال صحاحا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همه مردم با مساوات برخورد خواهد کرد…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643395_222507752"/>
      <w:bookmarkStart w:id="188" w:name="_Toc70"/>
      <w:bookmarkEnd w:id="187"/>
      <w:r>
        <w:rPr>
          <w:rtl w:val="true"/>
        </w:rPr>
        <w:t>برداشتن افزون‌خواهی</w:t>
      </w:r>
      <w:bookmarkEnd w:id="188"/>
    </w:p>
    <w:p>
      <w:pPr>
        <w:pStyle w:val="BookText"/>
        <w:rPr/>
      </w:pPr>
      <w:r>
        <w:rPr>
          <w:rFonts w:ascii="IRNazanin" w:hAnsi="IRNazanin" w:eastAsia="IRNazanin"/>
          <w:color w:val="111111"/>
          <w:sz w:val="28"/>
          <w:sz w:val="28"/>
          <w:szCs w:val="28"/>
          <w:rtl w:val="true"/>
          <w:lang w:bidi="fa-IR"/>
        </w:rPr>
        <w:t>یکی از صفات ناپسند فزون‌خواهی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اسلامی افزون بر سفارش به قناعت از زیاده‌خواهی نیز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راهبردهای حکومت جهانی مهدوی مبارزه با زیاده‌خواهی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کثیر گوید از امام صادق علیه السلام شنیدم که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موسّعٌ علی شیعتنا أن ینفقوا ممّا فی أیدیهم بالمعروف، فاذا قام قائمنا </w:t>
      </w:r>
      <w:bookmarkStart w:id="189" w:name="pg12658_166743"/>
    </w:p>
    <w:p>
      <w:pPr>
        <w:pStyle w:val="BookText"/>
        <w:rPr/>
      </w:pPr>
      <w:bookmarkEnd w:id="189"/>
      <w:r>
        <w:rPr>
          <w:rFonts w:ascii="Amiri" w:hAnsi="Amiri" w:eastAsia="Amiri" w:cs="Amiri"/>
          <w:color w:val="111111"/>
          <w:sz w:val="28"/>
          <w:sz w:val="28"/>
          <w:szCs w:val="28"/>
          <w:rtl w:val="true"/>
          <w:lang w:bidi="ar-SA"/>
        </w:rPr>
        <w:t>علیه‌السلام حرّم علی کلّ ذی کنزٍ کنزه حتی یأتیه به فیستعینُ به علی عدوّه و هو قول الله عزّو جلّ فی کتابه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الَّذینَ یَکْنِزُونَ الذَّهَبَ وَ الْفِضَّةَ وَ لا یُنْفِقُونَها فی سَبیلِ اللَّهِ فَبَشِّرْهُمْ بِعَذابٍ أَلیمٍ</w:t>
      </w:r>
      <w:r>
        <w:rPr>
          <w:rFonts w:eastAsia="Amiri" w:cs="Amiri" w:ascii="Amiri" w:hAnsi="Amiri"/>
          <w:color w:val="111111"/>
          <w:sz w:val="28"/>
          <w:szCs w:val="28"/>
          <w:rtl w:val="true"/>
          <w:lang w:bidi="ar-SA"/>
        </w:rPr>
        <w:t>))</w:t>
      </w:r>
      <w:r>
        <w:rPr>
          <w:rStyle w:val="FootnoteAnchor"/>
          <w:rtl w:val="true"/>
        </w:rPr>
        <w:footnoteReference w:id="127"/>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زر و سیم را گنجینه می‌کنند و آن را در راه خدا هزینه نمی‌کنند، ایشان را از عذابی دردناک خبر ده</w:t>
      </w:r>
      <w:r>
        <w:rPr>
          <w:rFonts w:eastAsia="IRNazanin" w:cs="IRNazanin"/>
          <w:color w:val="111111"/>
          <w:sz w:val="28"/>
          <w:szCs w:val="28"/>
          <w:rtl w:val="true"/>
          <w:lang w:bidi="fa-IR"/>
        </w:rPr>
        <w:t>.</w:t>
      </w:r>
    </w:p>
    <w:p>
      <w:pPr>
        <w:pStyle w:val="Heading4"/>
        <w:numPr>
          <w:ilvl w:val="3"/>
          <w:numId w:val="1"/>
        </w:numPr>
        <w:rPr/>
      </w:pPr>
      <w:bookmarkStart w:id="190" w:name="__RefHeading___Toc643397_222507752"/>
      <w:bookmarkStart w:id="191" w:name="_Toc71"/>
      <w:bookmarkEnd w:id="190"/>
      <w:r>
        <w:rPr>
          <w:rtl w:val="true"/>
        </w:rPr>
        <w:t>احساس بی‌نیازی در مردم</w:t>
      </w:r>
      <w:bookmarkEnd w:id="191"/>
    </w:p>
    <w:p>
      <w:pPr>
        <w:pStyle w:val="BookText"/>
        <w:rPr/>
      </w:pPr>
      <w:r>
        <w:rPr>
          <w:rFonts w:ascii="IRNazanin" w:hAnsi="IRNazanin" w:eastAsia="IRNazanin"/>
          <w:color w:val="111111"/>
          <w:sz w:val="28"/>
          <w:sz w:val="28"/>
          <w:szCs w:val="28"/>
          <w:rtl w:val="true"/>
          <w:lang w:bidi="fa-IR"/>
        </w:rPr>
        <w:t>یکی از سازوکارهای مهم در برپایی عدالت، فروکاستن از آرزوهای مادی و خواسته‌ها‌ی فزاینده دنیوی است که با استغنای روحی انسان‌ها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بالارفتن ظرفیت‌های فکری و درونی مردم، توجه به نیازهای اصیل و فطری و ماندگار، پایین‌آوردن سطح خواسته‌های گوناگون و بی‌پایان مادی و غریزی، در اولویت قرار ندادن امور نازل و فانی و… از نشانه‌های غنای روحی و معنوی‌اند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رشد خردورزی در عصر ظهور به گونه‌ای کامل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شکل‌گیری هر چه بهتر عدالت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صلی‌الله‌علیه‌وآله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یَجْعَلُ اللَّهُ الْغِنَی فِی قُلُوبِ هَذِهِ الْأُمَّة؛</w:t>
      </w:r>
      <w:r>
        <w:rPr>
          <w:rStyle w:val="FootnoteAnchor"/>
          <w:rtl w:val="true"/>
        </w:rPr>
        <w:footnoteReference w:id="129"/>
      </w:r>
      <w:r>
        <w:rPr>
          <w:rFonts w:ascii="IRNazanin" w:hAnsi="IRNazanin" w:eastAsia="IRNazanin"/>
          <w:color w:val="111111"/>
          <w:sz w:val="28"/>
          <w:sz w:val="28"/>
          <w:szCs w:val="28"/>
          <w:rtl w:val="true"/>
          <w:lang w:bidi="fa-IR"/>
        </w:rPr>
        <w:t>و خداوند در دل‌های این امت بی‌نیازی قرار می‌دهد</w:t>
      </w:r>
      <w:r>
        <w:rPr>
          <w:rFonts w:eastAsia="IRNazanin" w:cs="IRNazanin"/>
          <w:color w:val="111111"/>
          <w:sz w:val="28"/>
          <w:szCs w:val="28"/>
          <w:rtl w:val="true"/>
          <w:lang w:bidi="fa-IR"/>
        </w:rPr>
        <w:t>.»</w:t>
      </w:r>
    </w:p>
    <w:p>
      <w:pPr>
        <w:pStyle w:val="Heading3"/>
        <w:numPr>
          <w:ilvl w:val="2"/>
          <w:numId w:val="1"/>
        </w:numPr>
        <w:rPr/>
      </w:pPr>
      <w:bookmarkStart w:id="192" w:name="__RefHeading___Toc643399_222507752"/>
      <w:bookmarkStart w:id="193" w:name="_Toc72"/>
      <w:bookmarkEnd w:id="192"/>
      <w:r>
        <w:rPr>
          <w:rtl w:val="true"/>
        </w:rPr>
        <w:t>گسترة عدالت مهدوی</w:t>
      </w:r>
      <w:bookmarkEnd w:id="193"/>
    </w:p>
    <w:p>
      <w:pPr>
        <w:pStyle w:val="Heading4"/>
        <w:numPr>
          <w:ilvl w:val="3"/>
          <w:numId w:val="1"/>
        </w:numPr>
        <w:rPr/>
      </w:pPr>
      <w:bookmarkStart w:id="194" w:name="__RefHeading___Toc643401_222507752"/>
      <w:bookmarkStart w:id="195" w:name="_Toc73"/>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در بارة گسترة عدالت در حکومت جهانی مهدوی اگرچه آنچه بیشتر در روایات به چشم می‌آید گسترة جغرافیایی است، ولی در برخی روایات به همه گروه‌های انسانی و نیز همه مصداق‌های عدالت می‌توان اشاره کرد</w:t>
      </w:r>
      <w:r>
        <w:rPr>
          <w:rFonts w:eastAsia="IRNazanin" w:cs="IRNazanin"/>
          <w:color w:val="111111"/>
          <w:sz w:val="28"/>
          <w:szCs w:val="28"/>
          <w:rtl w:val="true"/>
          <w:lang w:bidi="fa-IR"/>
        </w:rPr>
        <w:t>.</w:t>
      </w:r>
    </w:p>
    <w:p>
      <w:pPr>
        <w:pStyle w:val="Heading4"/>
        <w:numPr>
          <w:ilvl w:val="3"/>
          <w:numId w:val="1"/>
        </w:numPr>
        <w:rPr/>
      </w:pPr>
      <w:bookmarkStart w:id="196" w:name="__RefHeading___Toc643403_222507752"/>
      <w:bookmarkStart w:id="197" w:name="_Toc74"/>
      <w:bookmarkEnd w:id="196"/>
      <w:r>
        <w:rPr/>
        <w:t>1</w:t>
      </w:r>
      <w:r>
        <w:rPr>
          <w:rtl w:val="true"/>
        </w:rPr>
        <w:t xml:space="preserve">. </w:t>
      </w:r>
      <w:r>
        <w:rPr>
          <w:rtl w:val="true"/>
        </w:rPr>
        <w:t>گسترة انسانی</w:t>
      </w:r>
      <w:bookmarkEnd w:id="19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مهدوی هرگز ویژة گروهی خاص از انسان‌ها نخواهد بود، بلکه همة انسان‌ها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جنس، در هر سن و سال، با هر گویش و در هر منطقة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در برخی روایات فراگیری عدالت مهدوی دربرگیرنده انسان‌های بدکردار </w:t>
      </w:r>
      <w:bookmarkStart w:id="198" w:name="pg12658_166745"/>
    </w:p>
    <w:p>
      <w:pPr>
        <w:pStyle w:val="BookText"/>
        <w:rPr/>
      </w:pPr>
      <w:bookmarkEnd w:id="198"/>
      <w:r>
        <w:rPr>
          <w:rFonts w:ascii="Amiri" w:hAnsi="Amiri" w:eastAsia="Amiri" w:cs="Amiri"/>
          <w:color w:val="111111"/>
          <w:sz w:val="28"/>
          <w:sz w:val="28"/>
          <w:szCs w:val="28"/>
          <w:rtl w:val="true"/>
          <w:lang w:bidi="ar-SA"/>
        </w:rPr>
        <w:t>نیز می‌شود که البته این خود نیازمند تبیین است که مقصود از اجرای عدالت برای بدکاران فراهم کردن زمینه برای هدایت آنهاست و در صورتی که هدایت نشدند برخورد آن حضرت با آنها و یا بهره‌مندی از توزیع عادلانه ثروت که در این باره امام حسین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 الْعَدْلِ وَسِعَ عَدْلُهُ الْبَرَّ وَ الْفَاجِر؛</w:t>
      </w:r>
      <w:r>
        <w:rPr>
          <w:rStyle w:val="FootnoteAnchor"/>
          <w:rtl w:val="true"/>
        </w:rPr>
        <w:footnoteReference w:id="130"/>
      </w:r>
      <w:r>
        <w:rPr>
          <w:rFonts w:ascii="IRNazanin" w:hAnsi="IRNazanin" w:eastAsia="IRNazanin"/>
          <w:color w:val="111111"/>
          <w:sz w:val="28"/>
          <w:sz w:val="28"/>
          <w:szCs w:val="28"/>
          <w:rtl w:val="true"/>
          <w:lang w:bidi="fa-IR"/>
        </w:rPr>
        <w:t>… آن گاه که برپاکنندة عدل به‌پاخیزد، دادگری‌اش نیکوکار و فاجر رادر بر می‌گیرد</w:t>
      </w:r>
      <w:r>
        <w:rPr>
          <w:rFonts w:eastAsia="IRNazanin" w:cs="IRNazanin"/>
          <w:color w:val="111111"/>
          <w:sz w:val="28"/>
          <w:szCs w:val="28"/>
          <w:rtl w:val="true"/>
          <w:lang w:bidi="fa-IR"/>
        </w:rPr>
        <w:t>.»</w:t>
      </w:r>
    </w:p>
    <w:p>
      <w:pPr>
        <w:pStyle w:val="Heading4"/>
        <w:numPr>
          <w:ilvl w:val="3"/>
          <w:numId w:val="1"/>
        </w:numPr>
        <w:rPr/>
      </w:pPr>
      <w:bookmarkStart w:id="199" w:name="__RefHeading___Toc643405_222507752"/>
      <w:bookmarkStart w:id="200" w:name="_Toc75"/>
      <w:bookmarkEnd w:id="199"/>
      <w:r>
        <w:rPr/>
        <w:t>2</w:t>
      </w:r>
      <w:r>
        <w:rPr>
          <w:rtl w:val="true"/>
        </w:rPr>
        <w:t xml:space="preserve">. </w:t>
      </w:r>
      <w:r>
        <w:rPr>
          <w:rtl w:val="true"/>
        </w:rPr>
        <w:t>گسترة جغرافیایی</w:t>
      </w:r>
      <w:bookmarkEnd w:id="200"/>
    </w:p>
    <w:p>
      <w:pPr>
        <w:pStyle w:val="BookText"/>
        <w:rPr/>
      </w:pPr>
      <w:r>
        <w:rPr>
          <w:rFonts w:ascii="IRNazanin" w:hAnsi="IRNazanin" w:eastAsia="IRNazanin"/>
          <w:color w:val="111111"/>
          <w:sz w:val="28"/>
          <w:sz w:val="28"/>
          <w:szCs w:val="28"/>
          <w:rtl w:val="true"/>
          <w:lang w:bidi="fa-IR"/>
        </w:rPr>
        <w:t>از روایاتی که درباره روش حکومتی امام مهدی علیه‌السلام بیان شد، به دست می‌آید که در آن عصر، هستی با همة گستردگی‌اش در دایره حاکمیت عدل مهدوی در همة ابعاد حقوقی و سیاسی و فرهنگی و اقتصادی قرار خواهد گرفت و حکومت اسلامی به منطقه خاصی محدود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مهدوی فراگیر است و همة زمین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نگاه، جامعه مهدوی قابل قیاس با هیچ جامعه‌ای نیست؛ چرا که تصور حکومتی این‌چنین فراگیر نیز در ذهن کسی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حکومت و خلافت پیامبر اکرم صلی الله علیه وآله و امام علی علیه‌السلام نیز گستره‌ای این چنین وسیع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عدالت‌محوری در همة زمین فقط با نام امام مهدی علیه‌السلام آمیخته است</w:t>
      </w:r>
      <w:r>
        <w:rPr>
          <w:rFonts w:eastAsia="IRNazanin" w:cs="IRNazanin"/>
          <w:color w:val="111111"/>
          <w:sz w:val="28"/>
          <w:szCs w:val="28"/>
          <w:rtl w:val="true"/>
          <w:lang w:bidi="fa-IR"/>
        </w:rPr>
        <w:t>.</w:t>
      </w:r>
    </w:p>
    <w:p>
      <w:pPr>
        <w:pStyle w:val="Heading4"/>
        <w:numPr>
          <w:ilvl w:val="3"/>
          <w:numId w:val="1"/>
        </w:numPr>
        <w:rPr/>
      </w:pPr>
      <w:bookmarkStart w:id="201" w:name="__RefHeading___Toc643407_222507752"/>
      <w:bookmarkStart w:id="202" w:name="_Toc76"/>
      <w:bookmarkEnd w:id="201"/>
      <w:r>
        <w:rPr/>
        <w:t>3</w:t>
      </w:r>
      <w:r>
        <w:rPr>
          <w:rtl w:val="true"/>
        </w:rPr>
        <w:t xml:space="preserve">. </w:t>
      </w:r>
      <w:r>
        <w:rPr>
          <w:rtl w:val="true"/>
        </w:rPr>
        <w:t>گسترة مصداقی</w:t>
      </w:r>
      <w:bookmarkEnd w:id="202"/>
    </w:p>
    <w:p>
      <w:pPr>
        <w:pStyle w:val="Heading5"/>
        <w:numPr>
          <w:ilvl w:val="4"/>
          <w:numId w:val="1"/>
        </w:numPr>
        <w:rPr/>
      </w:pPr>
      <w:bookmarkStart w:id="203" w:name="__RefHeading___Toc643409_222507752"/>
      <w:bookmarkStart w:id="204" w:name="_Toc77"/>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افزون بر دو گسترة یادشده از برخی روایات به دست می‌آید که عدالت حضرت حوزه‌های گوناگونی را در بر می‌گیرد که برخی از این قرارند</w:t>
      </w:r>
      <w:r>
        <w:rPr>
          <w:rFonts w:eastAsia="IRNazanin" w:cs="IRNazanin"/>
          <w:color w:val="111111"/>
          <w:sz w:val="28"/>
          <w:szCs w:val="28"/>
          <w:rtl w:val="true"/>
          <w:lang w:bidi="fa-IR"/>
        </w:rPr>
        <w:t>:</w:t>
      </w:r>
    </w:p>
    <w:p>
      <w:pPr>
        <w:pStyle w:val="Heading5"/>
        <w:numPr>
          <w:ilvl w:val="4"/>
          <w:numId w:val="1"/>
        </w:numPr>
        <w:rPr/>
      </w:pPr>
      <w:bookmarkStart w:id="205" w:name="__RefHeading___Toc643411_222507752"/>
      <w:bookmarkStart w:id="206" w:name="_Toc78"/>
      <w:bookmarkEnd w:id="205"/>
      <w:r>
        <w:rPr>
          <w:rtl w:val="true"/>
        </w:rPr>
        <w:t>یک</w:t>
      </w:r>
      <w:r>
        <w:rPr>
          <w:rtl w:val="true"/>
        </w:rPr>
        <w:t xml:space="preserve">. </w:t>
      </w:r>
      <w:r>
        <w:rPr>
          <w:rtl w:val="true"/>
        </w:rPr>
        <w:t>عدالت  در داوری</w:t>
      </w:r>
      <w:bookmarkEnd w:id="206"/>
    </w:p>
    <w:p>
      <w:pPr>
        <w:pStyle w:val="BookText"/>
        <w:rPr/>
      </w:pPr>
      <w:r>
        <w:rPr>
          <w:rFonts w:ascii="IRNazanin" w:hAnsi="IRNazanin" w:eastAsia="IRNazanin"/>
          <w:color w:val="111111"/>
          <w:sz w:val="28"/>
          <w:sz w:val="28"/>
          <w:szCs w:val="28"/>
          <w:rtl w:val="true"/>
          <w:lang w:bidi="fa-IR"/>
        </w:rPr>
        <w:t>پیش از این اشاره شد در برخی آیات قرآن به داوری میان مردم بر پایة عدل فرمان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قضایی یکی از برنامه‌های اساسی حکومت جهانی حضرت مهدی علیه السلام است که در برخی روایات اشاره شده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خطبه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 این خصوص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علیه‌السلام </w:t>
      </w:r>
      <w:bookmarkStart w:id="207" w:name="pg12658_166747"/>
    </w:p>
    <w:p>
      <w:pPr>
        <w:pStyle w:val="BookText"/>
        <w:rPr/>
      </w:pPr>
      <w:bookmarkEnd w:id="207"/>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فردایی که شما را از آن هیچ شناختی نیست، زمام‌داری حاکمیت پیدا می‌کند که غیر از خاندان حکومت‌های امروزی است؛ اعمال و کارگزاران حکومت‌ها را بر اعمال بدشان کیفر می‌کند</w:t>
      </w:r>
      <w:r>
        <w:rPr>
          <w:rFonts w:eastAsia="IRNazanin" w:cs="IRNazanin"/>
          <w:color w:val="111111"/>
          <w:sz w:val="28"/>
          <w:szCs w:val="28"/>
          <w:rtl w:val="true"/>
          <w:lang w:bidi="fa-IR"/>
        </w:rPr>
        <w:t>.</w:t>
      </w:r>
    </w:p>
    <w:p>
      <w:pPr>
        <w:pStyle w:val="Heading5"/>
        <w:numPr>
          <w:ilvl w:val="4"/>
          <w:numId w:val="1"/>
        </w:numPr>
        <w:rPr/>
      </w:pPr>
      <w:bookmarkStart w:id="208" w:name="__RefHeading___Toc643413_222507752"/>
      <w:bookmarkStart w:id="209" w:name="_Toc79"/>
      <w:bookmarkEnd w:id="208"/>
      <w:r>
        <w:rPr>
          <w:rtl w:val="true"/>
        </w:rPr>
        <w:t>دو</w:t>
      </w:r>
      <w:r>
        <w:rPr>
          <w:rtl w:val="true"/>
        </w:rPr>
        <w:t xml:space="preserve">. </w:t>
      </w:r>
      <w:r>
        <w:rPr>
          <w:rtl w:val="true"/>
        </w:rPr>
        <w:t>عدالت در عرصه اقتصاد</w:t>
      </w:r>
      <w:bookmarkEnd w:id="209"/>
    </w:p>
    <w:p>
      <w:pPr>
        <w:pStyle w:val="BookText"/>
        <w:rPr/>
      </w:pPr>
      <w:r>
        <w:rPr>
          <w:rFonts w:ascii="IRNazanin" w:hAnsi="IRNazanin" w:eastAsia="IRNazanin"/>
          <w:color w:val="111111"/>
          <w:sz w:val="28"/>
          <w:sz w:val="28"/>
          <w:szCs w:val="28"/>
          <w:rtl w:val="true"/>
          <w:lang w:bidi="fa-IR"/>
        </w:rPr>
        <w:t>اگرچه درروایات به این نوع عدالت فراوان اشاره شده، ولی به نظر می‌رسد عدالت اقتصادی از جهت شأن و رتبه نقش تبعی دارد، اگر چه تا اندازه‌ای می‌تواند زمینه‌ساز عدالت در فرهنگ و آموزش به حساب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اقتصادی اسلام بر اساس عدالت است، یعنی طوری برنامه‌ریزی شده که حق کسی از میان نرود و هر صاحب حقی بتواند متناسب با کار یا نیازش زندگی راحتی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عدالت در عرصه‌های زیر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 زمان حکومت خود، همة تلاش خود را برای برپایی عدالت اقتصادی و اجتماعی انجام داد و در این زمینه دست به رفتاری زد که شاید هیچکس در طول تاریخ این کار را انجام نداده باشد و آن بازپس‌گیری اموال از ثروتمندان و رساندن آن به دست نیازمندان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بهره گیری و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اندازه مصرف نیز باید مراعات عدالت بشود و قرآن نیز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اشربوا و لاتسرفوا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هم از نعمت‌های خدا بخورید و بیاشامید و اسراف مـکنید</w:t>
      </w:r>
      <w:r>
        <w:rPr>
          <w:rFonts w:eastAsia="IRNazanin" w:cs="IRNazanin"/>
          <w:color w:val="111111"/>
          <w:sz w:val="28"/>
          <w:szCs w:val="28"/>
          <w:rtl w:val="true"/>
          <w:lang w:bidi="fa-IR"/>
        </w:rPr>
        <w:t>.</w:t>
      </w:r>
    </w:p>
    <w:p>
      <w:pPr>
        <w:pStyle w:val="Heading5"/>
        <w:numPr>
          <w:ilvl w:val="4"/>
          <w:numId w:val="1"/>
        </w:numPr>
        <w:rPr/>
      </w:pPr>
      <w:bookmarkStart w:id="210" w:name="__RefHeading___Toc643415_222507752"/>
      <w:bookmarkStart w:id="211" w:name="_Toc80"/>
      <w:bookmarkEnd w:id="210"/>
      <w:r>
        <w:rPr>
          <w:rtl w:val="true"/>
        </w:rPr>
        <w:t>سه</w:t>
      </w:r>
      <w:r>
        <w:rPr>
          <w:rtl w:val="true"/>
        </w:rPr>
        <w:t xml:space="preserve">. </w:t>
      </w:r>
      <w:r>
        <w:rPr>
          <w:rtl w:val="true"/>
        </w:rPr>
        <w:t>عدالت در عرصه سیاست</w:t>
      </w:r>
      <w:bookmarkEnd w:id="21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عدالت سیاسی این است که طبقه فرمانروا حقوق سیاسی مردم را بپردازد و مردم نیز حقوق طبقه حاکم را، حقوق طبقه حاکم همان فرمان‌برداری است و البته طبق بیان امام علی علیه‌السلام خیرخواهی و تذکر به حاکم در حضور و غیبت، نیز حقی است که حاکم بر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خطاب به مومنان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اطیعوالله و اطیعوالرسول و اولی الامر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خداوند را فرمان‌برداری کنید و از رسول و صاحب امرتان فرمان </w:t>
      </w:r>
      <w:bookmarkStart w:id="212" w:name="pg12658_166749"/>
    </w:p>
    <w:p>
      <w:pPr>
        <w:pStyle w:val="BookText"/>
        <w:rPr/>
      </w:pPr>
      <w:bookmarkEnd w:id="212"/>
      <w:r>
        <w:rPr>
          <w:rFonts w:ascii="IRNazanin" w:hAnsi="IRNazanin" w:eastAsia="IRNazanin"/>
          <w:color w:val="111111"/>
          <w:sz w:val="28"/>
          <w:sz w:val="28"/>
          <w:szCs w:val="28"/>
          <w:rtl w:val="true"/>
          <w:lang w:bidi="fa-IR"/>
        </w:rPr>
        <w:t>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حقوق سیاسی مردم نیز می‌توان به آیات مربوط به مشورت و شوری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امرهم شوری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مربوط به امر به معروف و نهی از منکر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امه اخرجت للناس تأمرون بالمعروف و تنهون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این که در قرآن عدالت به صورت بسیار گسترده مورد توجه و عنایت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کارگزاران ناشایست را بر کنار می‌کند و آنان که سیرت پسندیده دارند بر کار می‌گمارد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سیرة مدیریتی حضرت در برکناری کارگزاران اداری ـ امراء الجور ـ همانند سیرة امام علی علیه‌السلام در برکناری کسانی است که با مردم عدالت نمی‌ورزیدند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مهدوی، هیچ نیرنگ‌بازی وجود نخواهد داشت و سیرة او رفتاربر پایة عدل و قوانین دادگرانه خواهد بود</w:t>
      </w:r>
      <w:r>
        <w:rPr>
          <w:rFonts w:eastAsia="IRNazanin" w:cs="IRNazanin"/>
          <w:color w:val="111111"/>
          <w:sz w:val="28"/>
          <w:szCs w:val="28"/>
          <w:rtl w:val="true"/>
          <w:lang w:bidi="fa-IR"/>
        </w:rPr>
        <w:t>.</w:t>
      </w:r>
    </w:p>
    <w:p>
      <w:pPr>
        <w:pStyle w:val="Heading5"/>
        <w:numPr>
          <w:ilvl w:val="4"/>
          <w:numId w:val="1"/>
        </w:numPr>
        <w:rPr/>
      </w:pPr>
      <w:bookmarkStart w:id="213" w:name="__RefHeading___Toc643417_222507752"/>
      <w:bookmarkStart w:id="214" w:name="_Toc81"/>
      <w:bookmarkEnd w:id="213"/>
      <w:r>
        <w:rPr>
          <w:rtl w:val="true"/>
        </w:rPr>
        <w:t xml:space="preserve">چهار </w:t>
      </w:r>
      <w:r>
        <w:rPr>
          <w:rtl w:val="true"/>
        </w:rPr>
        <w:t xml:space="preserve">. </w:t>
      </w:r>
      <w:r>
        <w:rPr>
          <w:rtl w:val="true"/>
        </w:rPr>
        <w:t>عدالت در عرصه فرهنگ</w:t>
      </w:r>
      <w:bookmarkEnd w:id="214"/>
    </w:p>
    <w:p>
      <w:pPr>
        <w:pStyle w:val="BookText"/>
        <w:rPr/>
      </w:pPr>
      <w:r>
        <w:rPr>
          <w:rFonts w:ascii="IRNazanin" w:hAnsi="IRNazanin" w:eastAsia="IRNazanin"/>
          <w:color w:val="111111"/>
          <w:sz w:val="28"/>
          <w:sz w:val="28"/>
          <w:szCs w:val="28"/>
          <w:rtl w:val="true"/>
          <w:lang w:bidi="fa-IR"/>
        </w:rPr>
        <w:t>یکی از ابعاد عدالت مهدوی، فراهم‌شدن امکان رشد و کمال فرهنگی و آموزشی برای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خردها کانونی یگانه می‌یابد و همه به مقتضای توانایی خود از دانش و معرفت خوشه می چینند و حکمت می‌آموزند تا بتوانند آهنگ پرستش و عبودیت و فضائل اخلاقی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مهدوی اگرچه عدالت اقتصادی می‌تواند زمینه‌ساز عدالت فرهنگی باشد، ولی عدالت فرهنگی از شأن بالاتری برخوردار است و اقتصاد و دارایی رنگ حکمت و معنویت به خود می‌گیرد</w:t>
      </w:r>
      <w:r>
        <w:rPr>
          <w:rFonts w:eastAsia="IRNazanin" w:cs="IRNazanin"/>
          <w:color w:val="111111"/>
          <w:sz w:val="28"/>
          <w:szCs w:val="28"/>
          <w:rtl w:val="true"/>
          <w:lang w:bidi="fa-IR"/>
        </w:rPr>
        <w:t>.</w:t>
      </w:r>
    </w:p>
    <w:p>
      <w:pPr>
        <w:pStyle w:val="Heading3"/>
        <w:numPr>
          <w:ilvl w:val="2"/>
          <w:numId w:val="1"/>
        </w:numPr>
        <w:rPr/>
      </w:pPr>
      <w:bookmarkStart w:id="215" w:name="__RefHeading___Toc643419_222507752"/>
      <w:bookmarkStart w:id="216" w:name="_Toc82"/>
      <w:bookmarkEnd w:id="215"/>
      <w:r>
        <w:rPr>
          <w:rtl w:val="true"/>
        </w:rPr>
        <w:t>آثار و برکات عدالت</w:t>
      </w:r>
      <w:bookmarkEnd w:id="216"/>
    </w:p>
    <w:p>
      <w:pPr>
        <w:pStyle w:val="BookText"/>
        <w:rPr/>
      </w:pPr>
      <w:r>
        <w:rPr>
          <w:rFonts w:ascii="IRNazanin" w:hAnsi="IRNazanin" w:eastAsia="IRNazanin"/>
          <w:color w:val="111111"/>
          <w:sz w:val="28"/>
          <w:sz w:val="28"/>
          <w:szCs w:val="28"/>
          <w:rtl w:val="true"/>
          <w:lang w:bidi="fa-IR"/>
        </w:rPr>
        <w:t>اگر نبود، مگر فراهم‌شدن زمینه برای رشد و کمال و رسیدن انسان به قرب آفریدگار در پرتو برپایی حکومت عدل جهانی، انسان از برپایی این عدل گسترده بیشترین بهره را برده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احادیثی در دست است که به برخی از برکات برپایی عدالت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آثار، رفاه اقتصادی در دوران ظهور است به گونه‌ای که پس از اصل عدالت دومین موضوعی است که در آن دوران در جامعه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هر دو با یکدیگر </w:t>
      </w:r>
    </w:p>
    <w:p>
      <w:pPr>
        <w:pStyle w:val="BookText"/>
        <w:rPr/>
      </w:pPr>
      <w:r>
        <w:rPr>
          <w:rFonts w:ascii="IRNazanin" w:hAnsi="IRNazanin" w:eastAsia="IRNazanin"/>
          <w:color w:val="111111"/>
          <w:sz w:val="28"/>
          <w:sz w:val="28"/>
          <w:szCs w:val="28"/>
          <w:rtl w:val="true"/>
          <w:lang w:bidi="fa-IR"/>
        </w:rPr>
        <w:t>پیوندی ناگسستنی دارند، زیرا که اجرای دقیق عدالت برای از بین‌بردن روابط ستمگرانه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به نقل از امیر مؤمنان و نیز امام صادق علیهم السلام در این باره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النَّاسَ یَسْتَغْنُونَ إِذَا عُدِلَ بَیْنَهُمْ وَ تُنْزِلُ السَّمَاءُ رِزْقَهَا وَ تُخْرِجُ الْأَرْضُ بَرَکَتَهَا بِإِذْنِ اللَّهِ تَعَالَی؛</w:t>
      </w:r>
      <w:r>
        <w:rPr>
          <w:rStyle w:val="FootnoteAnchor"/>
          <w:rtl w:val="true"/>
        </w:rPr>
        <w:footnoteReference w:id="133"/>
      </w:r>
      <w:r>
        <w:rPr>
          <w:rFonts w:ascii="IRNazanin" w:hAnsi="IRNazanin" w:eastAsia="IRNazanin"/>
          <w:color w:val="111111"/>
          <w:sz w:val="28"/>
          <w:sz w:val="28"/>
          <w:szCs w:val="28"/>
          <w:rtl w:val="true"/>
          <w:lang w:bidi="fa-IR"/>
        </w:rPr>
        <w:t>… مردمان بی نیاز می‌شوند آنگاه که عدالت میانشان حاکم باشد و آسمان روزی‌اش را فرو می‌ریزد و زمین برکت‌هایش را بیرون می‌ریزد با خواست پروردگار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ششم همچنین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لَمْ یَتْرُکْ شَیْئاً مِنْ صُنُوفِ الْأَمْوَالِ إِلَّا وَ قَدْ قَسَمَهُ وَ أَعْطَی کُلَّ ذِی حَقٍّ حَقَّهُ الْخَاصَّةَ وَ الْعَامَّةَ وَ الْفُقَرَاءَ وَ الْمَسَاکِینَ وَ کُلَّ صِنْفٍ مِنْ صُنُوفِ النَّاسِ فَقَالَ لَوْ عُدِلَ فِی النَّاسِ لَاسْتَغْنَوْا؛</w:t>
      </w:r>
      <w:r>
        <w:rPr>
          <w:rStyle w:val="FootnoteAnchor"/>
          <w:rtl w:val="true"/>
        </w:rPr>
        <w:footnoteReference w:id="134"/>
      </w:r>
      <w:r>
        <w:rPr>
          <w:rFonts w:ascii="IRNazanin" w:hAnsi="IRNazanin" w:eastAsia="IRNazanin"/>
          <w:color w:val="111111"/>
          <w:sz w:val="28"/>
          <w:sz w:val="28"/>
          <w:szCs w:val="28"/>
          <w:rtl w:val="true"/>
          <w:lang w:bidi="fa-IR"/>
        </w:rPr>
        <w:t>خداوند همة ثروت‌ها را میان مردم قسمت کرده است، و به هر کس حقش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و تودة مردم و بینوایان و تهیدستان و هر گروهی از گروه‌های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عدالت برقرار شده بود همة مردم بی نیاز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رفاه و آسایش همگانی را یکی از برکات عدل جهانی مهدوی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قَامَ الْقَائِمُ حَکَمَ بِالْعَدْلِ وَ ارْتَفَعَ فِی أَیَّامِهِ الْجَوْرُ وَ أَمِنَتْ بِهِ السُّبُلُ وَ أَخْرَجَتِ الْأَرْضُ بَرَکَاتِهَا وَ رَدَّ کُلَّ حَقٍّ إِلَی أَهْلِه؛</w:t>
      </w:r>
      <w:r>
        <w:rPr>
          <w:rStyle w:val="FootnoteAnchor"/>
          <w:rtl w:val="true"/>
        </w:rPr>
        <w:footnoteReference w:id="135"/>
      </w:r>
      <w:r>
        <w:rPr>
          <w:rFonts w:ascii="IRNazanin" w:hAnsi="IRNazanin" w:eastAsia="IRNazanin"/>
          <w:color w:val="111111"/>
          <w:sz w:val="28"/>
          <w:sz w:val="28"/>
          <w:szCs w:val="28"/>
          <w:rtl w:val="true"/>
          <w:lang w:bidi="fa-IR"/>
        </w:rPr>
        <w:t>وقتی که قائم ما قیام کند، داوری را بر پایة عدالت قرار می‌دهد و ظلم و جور در دوران او برچیده می‌شود و جاده‌ها در پرتو وجودش امن و امان می‌گردد و زمین برکاتش را بیرون می‌سازد و هر حقی به صاحبش می‌رسد</w:t>
      </w:r>
      <w:r>
        <w:rPr>
          <w:rFonts w:eastAsia="IRNazanin" w:cs="IRNazanin"/>
          <w:color w:val="111111"/>
          <w:sz w:val="28"/>
          <w:szCs w:val="28"/>
          <w:rtl w:val="true"/>
          <w:lang w:bidi="fa-IR"/>
        </w:rPr>
        <w:t xml:space="preserve">. </w:t>
      </w:r>
      <w:bookmarkStart w:id="217" w:name="pg12658_166753"/>
    </w:p>
    <w:p>
      <w:pPr>
        <w:pStyle w:val="Heading3"/>
        <w:numPr>
          <w:ilvl w:val="2"/>
          <w:numId w:val="1"/>
        </w:numPr>
        <w:rPr/>
      </w:pPr>
      <w:bookmarkStart w:id="218" w:name="__RefHeading___Toc643421_222507752"/>
      <w:bookmarkStart w:id="219" w:name="_Toc83"/>
      <w:bookmarkEnd w:id="217"/>
      <w:bookmarkEnd w:id="218"/>
      <w:r>
        <w:rPr>
          <w:rtl w:val="true"/>
        </w:rPr>
        <w:t>خودآزمایی</w:t>
      </w:r>
      <w:bookmarkEnd w:id="2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را از نظر لغت و اصطلاح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نگاه آیات قرآن عدالت را توضیح داده؛ برخی مصادیق آن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راهبرد از راهبردهای گسترش عدالت در حکومت حضرت مهدی علیه‌السلام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گستره‌های عدالت مهدوی کدامند؟ آنها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خود را در بارة برکات گسترش عدالت بر کل زمین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643423_222507752"/>
      <w:bookmarkStart w:id="221" w:name="_Toc84"/>
      <w:bookmarkEnd w:id="220"/>
      <w:r>
        <w:rPr>
          <w:rtl w:val="true"/>
        </w:rPr>
        <w:t>منابع برای پژوهش</w:t>
      </w:r>
      <w:bookmarkEnd w:id="2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حکومت جهانی مهدی علیه‌السلام، قم،مدرسه امام علی علیه‌السلام،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خراسانی، محمد جواد، مهدی منتظر،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میرشفیعی خوانساری، قم، نور الاصفیاء،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 محمّد، تاریخ پس از ظهور، ترجمه حسن سجادی‌پور، چاپ اول، تهران، موعود عصر،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سلسله مباحث اسلام، سیاست و حکومت، قم،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کارگر، رحیم، آینده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سیاست در اندیشة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فرهنگی حضرت مهدی موعود،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12658_166756"/>
      <w:bookmarkStart w:id="223" w:name="pg12658_166756"/>
      <w:bookmarkEnd w:id="223"/>
    </w:p>
    <w:p>
      <w:pPr>
        <w:pStyle w:val="Heading2"/>
        <w:numPr>
          <w:ilvl w:val="1"/>
          <w:numId w:val="1"/>
        </w:numPr>
        <w:rPr/>
      </w:pPr>
      <w:bookmarkStart w:id="224" w:name="pg12658_166756"/>
      <w:bookmarkStart w:id="225" w:name="__RefHeading___Toc643425_222507752"/>
      <w:bookmarkStart w:id="226" w:name="_Toc85"/>
      <w:bookmarkEnd w:id="224"/>
      <w:bookmarkEnd w:id="225"/>
      <w:r>
        <w:rPr>
          <w:rtl w:val="true"/>
        </w:rPr>
        <w:t>درس پنجم</w:t>
      </w:r>
      <w:r>
        <w:rPr>
          <w:rtl w:val="true"/>
        </w:rPr>
        <w:t xml:space="preserve">: </w:t>
      </w:r>
      <w:r>
        <w:rPr>
          <w:rtl w:val="true"/>
        </w:rPr>
        <w:t>نظام امنیتی حکومت امام مهدی علیه‌السلام</w:t>
      </w:r>
      <w:bookmarkEnd w:id="226"/>
    </w:p>
    <w:p>
      <w:pPr>
        <w:pStyle w:val="Heading3"/>
        <w:numPr>
          <w:ilvl w:val="2"/>
          <w:numId w:val="1"/>
        </w:numPr>
        <w:rPr/>
      </w:pPr>
      <w:bookmarkStart w:id="227" w:name="__RefHeading___Toc643427_222507752"/>
      <w:bookmarkStart w:id="228" w:name="_Toc86"/>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لغت</w:t>
      </w:r>
    </w:p>
    <w:p>
      <w:pPr>
        <w:pStyle w:val="BookText"/>
        <w:rPr/>
      </w:pPr>
      <w:r>
        <w:rPr>
          <w:rFonts w:ascii="IRNazanin" w:hAnsi="IRNazanin" w:eastAsia="IRNazanin"/>
          <w:color w:val="111111"/>
          <w:sz w:val="28"/>
          <w:sz w:val="28"/>
          <w:szCs w:val="28"/>
          <w:rtl w:val="true"/>
          <w:lang w:bidi="fa-IR"/>
        </w:rPr>
        <w:t>از نگاه اصطلاح</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در قرآن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در روایات</w:t>
      </w:r>
    </w:p>
    <w:p>
      <w:pPr>
        <w:pStyle w:val="BookText"/>
        <w:rPr/>
      </w:pPr>
      <w:r>
        <w:rPr>
          <w:rFonts w:ascii="IRNazanin" w:hAnsi="IRNazanin" w:eastAsia="IRNazanin"/>
          <w:color w:val="111111"/>
          <w:sz w:val="28"/>
          <w:sz w:val="28"/>
          <w:szCs w:val="28"/>
          <w:rtl w:val="true"/>
          <w:lang w:bidi="fa-IR"/>
        </w:rPr>
        <w:t>نقش امام در تأمین امنیت</w:t>
      </w:r>
    </w:p>
    <w:p>
      <w:pPr>
        <w:pStyle w:val="BookText"/>
        <w:rPr/>
      </w:pPr>
      <w:r>
        <w:rPr>
          <w:rFonts w:ascii="IRNazanin" w:hAnsi="IRNazanin" w:eastAsia="IRNazanin"/>
          <w:color w:val="111111"/>
          <w:sz w:val="28"/>
          <w:sz w:val="28"/>
          <w:szCs w:val="28"/>
          <w:rtl w:val="true"/>
          <w:lang w:bidi="fa-IR"/>
        </w:rPr>
        <w:t>حکومت مهدوی و امنیت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گسترة امنیت در حکومت مهدوی </w:t>
      </w:r>
      <w:bookmarkStart w:id="229" w:name="pg12658_166758"/>
    </w:p>
    <w:p>
      <w:pPr>
        <w:pStyle w:val="Heading3"/>
        <w:numPr>
          <w:ilvl w:val="2"/>
          <w:numId w:val="1"/>
        </w:numPr>
        <w:rPr/>
      </w:pPr>
      <w:bookmarkStart w:id="230" w:name="__RefHeading___Toc643429_222507752"/>
      <w:bookmarkStart w:id="231" w:name="_Toc87"/>
      <w:bookmarkEnd w:id="229"/>
      <w:bookmarkEnd w:id="230"/>
      <w:r>
        <w:rPr>
          <w:rtl w:val="true"/>
        </w:rPr>
        <w:t>پیش‌درآمد</w:t>
      </w:r>
      <w:bookmarkEnd w:id="231"/>
    </w:p>
    <w:p>
      <w:pPr>
        <w:pStyle w:val="BookText"/>
        <w:rPr/>
      </w:pPr>
      <w:r>
        <w:rPr>
          <w:rFonts w:ascii="IRNazanin" w:hAnsi="IRNazanin" w:eastAsia="IRNazanin"/>
          <w:color w:val="111111"/>
          <w:sz w:val="28"/>
          <w:sz w:val="28"/>
          <w:szCs w:val="28"/>
          <w:rtl w:val="true"/>
          <w:lang w:bidi="fa-IR"/>
        </w:rPr>
        <w:t>امنیت،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نیاز هر جامعه در هر زمان و انتظار نخست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حکومت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که ابعاد گوناگون و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تأثیرپذیری امنیت از فرهنگ، اقتصاد، و جمعیت و تأثیرگذاری آن بر همة زندگی انسانی، به آن نقشی حیاتی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یکی از پایه‌های بنیادین و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برپایی حکومت و ابعاد آن، امنیت، چه امنیت فردی و چه اجتماعی به عنوان سنگ زیربنای زندگی فرد و جامعه است و پیش‌شرط هرگونه رشد، رفاه و ارتقای مادی و معنوی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p>
    <w:p>
      <w:pPr>
        <w:pStyle w:val="BookText"/>
        <w:rPr/>
      </w:pPr>
      <w:r>
        <w:rPr>
          <w:rFonts w:ascii="IRNazanin" w:hAnsi="IRNazanin" w:eastAsia="IRNazanin"/>
          <w:color w:val="111111"/>
          <w:sz w:val="28"/>
          <w:sz w:val="28"/>
          <w:szCs w:val="28"/>
          <w:rtl w:val="true"/>
          <w:lang w:bidi="fa-IR"/>
        </w:rPr>
        <w:t>حکومت جهانی و عدالت‌گستر حضرت مهدی علیه‌السلام نیز از این قاعده بیرون نیست و در این حکومت جهانی برای رسیدن به آرمان بزرگ شایستگان و فرجام سعادت‌بخش زندگی، فراهم‌شدن امنیت فراگیر، از ارزش ویژه  و والایی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تلاش شده تا به ابعاد و چگونگی این برقراری اشاره شده، پیوند امنیت با دیگر مؤلفه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حکومت فراگیر تبیین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ویژگی‌های جامعة بشری از آغاز تا کنون ناامنی، اضطراب و نگرانی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 و ناامنی همواره چهره‌های گوناگونی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در ساده‌ترین صورت از درندگان و حیوانات وحشی بود که با پناه‌بردن به غارها و یا ساخت پناهگاه به امنیت می‌رسید و زمانی در پیچیده‌ترین نوع خود و آنهم ترس از هم‌نوع خود، یعنی دیگر انسان‌ها بوده و است که جلوگیری از آن بسی دشوار‌تر و گاهی ناشدنی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این نگرانی در نوع دوم رفته رفته گسترده‌تر شده، می‌رود تا بر همة </w:t>
      </w:r>
      <w:bookmarkStart w:id="232" w:name="pg12658_166760"/>
    </w:p>
    <w:p>
      <w:pPr>
        <w:pStyle w:val="BookText"/>
        <w:rPr/>
      </w:pPr>
      <w:bookmarkEnd w:id="232"/>
      <w:r>
        <w:rPr>
          <w:rFonts w:ascii="IRNazanin" w:hAnsi="IRNazanin" w:eastAsia="IRNazanin"/>
          <w:color w:val="111111"/>
          <w:sz w:val="28"/>
          <w:sz w:val="28"/>
          <w:szCs w:val="28"/>
          <w:rtl w:val="true"/>
          <w:lang w:bidi="fa-IR"/>
        </w:rPr>
        <w:t>انسان‌ها و همة شئون زندگی آنها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امروزه ناامنی جزئی از زندگی همة انسان‌ها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نیاز اساسی به امنیت در آموزه‌های اسلامی فراوان مورد توجه و اهتمام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پیش از هر سخن به معناشناسی این واژه اشاره کنیم</w:t>
      </w:r>
      <w:r>
        <w:rPr>
          <w:rFonts w:eastAsia="IRNazanin" w:cs="IRNazanin"/>
          <w:color w:val="111111"/>
          <w:sz w:val="28"/>
          <w:szCs w:val="28"/>
          <w:rtl w:val="true"/>
          <w:lang w:bidi="fa-IR"/>
        </w:rPr>
        <w:t>.</w:t>
      </w:r>
    </w:p>
    <w:p>
      <w:pPr>
        <w:pStyle w:val="Heading3"/>
        <w:numPr>
          <w:ilvl w:val="2"/>
          <w:numId w:val="1"/>
        </w:numPr>
        <w:rPr/>
      </w:pPr>
      <w:bookmarkStart w:id="233" w:name="__RefHeading___Toc643431_222507752"/>
      <w:bookmarkStart w:id="234" w:name="_Toc88"/>
      <w:bookmarkEnd w:id="233"/>
      <w:r>
        <w:rPr>
          <w:rtl w:val="true"/>
        </w:rPr>
        <w:t>امنیت</w:t>
      </w:r>
      <w:bookmarkEnd w:id="234"/>
    </w:p>
    <w:p>
      <w:pPr>
        <w:pStyle w:val="BookText"/>
        <w:rPr/>
      </w:pPr>
      <w:r>
        <w:rPr>
          <w:rFonts w:ascii="IRNazanin" w:hAnsi="IRNazanin" w:eastAsia="IRNazanin"/>
          <w:color w:val="111111"/>
          <w:sz w:val="28"/>
          <w:sz w:val="28"/>
          <w:szCs w:val="28"/>
          <w:rtl w:val="true"/>
          <w:lang w:bidi="fa-IR"/>
        </w:rPr>
        <w:t>از نگاه لغت</w:t>
      </w:r>
    </w:p>
    <w:p>
      <w:pPr>
        <w:pStyle w:val="BookText"/>
        <w:rPr/>
      </w:pPr>
      <w:r>
        <w:rPr>
          <w:rFonts w:ascii="IRNazanin" w:hAnsi="IRNazanin" w:eastAsia="IRNazanin"/>
          <w:color w:val="111111"/>
          <w:sz w:val="28"/>
          <w:sz w:val="28"/>
          <w:szCs w:val="28"/>
          <w:rtl w:val="true"/>
          <w:lang w:bidi="fa-IR"/>
        </w:rPr>
        <w:t xml:space="preserve">ریشة لغوی این واژه از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مشتقاتی چونان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فارسی به ایمن‌شدن، درامان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بودن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بیمی،</w:t>
      </w:r>
      <w:r>
        <w:rPr>
          <w:rStyle w:val="FootnoteAnchor"/>
          <w:rtl w:val="true"/>
        </w:rPr>
        <w:footnoteReference w:id="136"/>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خاطریافتن و برطرف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ترس و بیم،</w:t>
      </w:r>
      <w:r>
        <w:rPr>
          <w:rStyle w:val="FootnoteAnchor"/>
          <w:rtl w:val="true"/>
        </w:rPr>
        <w:footnoteReference w:id="137"/>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زبان عربی به معانی پرشماری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کتاب مفردات امن و امنیت را در اصل به معنای آرامش نفس و از میان‌رفتن ترس دانسته،</w:t>
      </w:r>
      <w:r>
        <w:rPr>
          <w:rStyle w:val="FootnoteAnchor"/>
          <w:rtl w:val="true"/>
        </w:rPr>
        <w:footnoteReference w:id="138"/>
      </w:r>
      <w:r>
        <w:rPr>
          <w:rFonts w:ascii="IRNazanin" w:hAnsi="IRNazanin" w:eastAsia="IRNazanin"/>
          <w:color w:val="111111"/>
          <w:sz w:val="28"/>
          <w:sz w:val="28"/>
          <w:szCs w:val="28"/>
          <w:rtl w:val="true"/>
          <w:lang w:bidi="fa-IR"/>
        </w:rPr>
        <w:t xml:space="preserve">فیومی در المصباح المنیر با ذکر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زید الأسد 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امنیت را آرامش و از بین‌رفتن ترس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این واژه را هم از نظر وزن و هم از نظر معنا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با توجه به معانی لغوی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دارندة دو جهت ایجابی و سلبی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در آنجا که سخن از اطمینان، آرامش فکری و روحی است و سلب در آنجا که نبود ترس، دلهره و نگرانی مقصود است</w:t>
      </w:r>
      <w:r>
        <w:rPr>
          <w:rFonts w:eastAsia="IRNazanin" w:cs="IRNazanin"/>
          <w:color w:val="111111"/>
          <w:sz w:val="28"/>
          <w:szCs w:val="28"/>
          <w:rtl w:val="true"/>
          <w:lang w:bidi="fa-IR"/>
        </w:rPr>
        <w:t>.</w:t>
      </w:r>
    </w:p>
    <w:p>
      <w:pPr>
        <w:pStyle w:val="Heading3"/>
        <w:numPr>
          <w:ilvl w:val="2"/>
          <w:numId w:val="1"/>
        </w:numPr>
        <w:rPr/>
      </w:pPr>
      <w:bookmarkStart w:id="235" w:name="__RefHeading___Toc643433_222507752"/>
      <w:bookmarkStart w:id="236" w:name="_Toc89"/>
      <w:bookmarkEnd w:id="235"/>
      <w:r>
        <w:rPr>
          <w:rtl w:val="true"/>
        </w:rPr>
        <w:t>از نگاه اصطلاح</w:t>
      </w:r>
      <w:bookmarkEnd w:id="236"/>
    </w:p>
    <w:p>
      <w:pPr>
        <w:pStyle w:val="Heading4"/>
        <w:numPr>
          <w:ilvl w:val="3"/>
          <w:numId w:val="1"/>
        </w:numPr>
        <w:rPr/>
      </w:pPr>
      <w:bookmarkStart w:id="237" w:name="__RefHeading___Toc643435_222507752"/>
      <w:bookmarkStart w:id="238" w:name="_Toc90"/>
      <w:bookmarkEnd w:id="237"/>
      <w:r>
        <w:rPr>
          <w:rtl w:val="true"/>
        </w:rPr>
        <w:t>اشاره</w:t>
      </w:r>
      <w:bookmarkEnd w:id="23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 معنای اصطلاحی امنیت به دو منبع بنیادین قرآن و سنت نگاه می‌کنیم</w:t>
      </w:r>
      <w:r>
        <w:rPr>
          <w:rFonts w:eastAsia="IRNazanin" w:cs="IRNazanin"/>
          <w:color w:val="111111"/>
          <w:sz w:val="28"/>
          <w:szCs w:val="28"/>
          <w:rtl w:val="true"/>
          <w:lang w:bidi="fa-IR"/>
        </w:rPr>
        <w:t xml:space="preserve">: </w:t>
      </w:r>
      <w:bookmarkStart w:id="239" w:name="pg12658_166762"/>
    </w:p>
    <w:p>
      <w:pPr>
        <w:pStyle w:val="Heading4"/>
        <w:numPr>
          <w:ilvl w:val="3"/>
          <w:numId w:val="1"/>
        </w:numPr>
        <w:rPr/>
      </w:pPr>
      <w:bookmarkStart w:id="240" w:name="__RefHeading___Toc643437_222507752"/>
      <w:bookmarkStart w:id="241" w:name="_Toc91"/>
      <w:bookmarkEnd w:id="239"/>
      <w:bookmarkEnd w:id="240"/>
      <w:r>
        <w:rPr>
          <w:rtl w:val="true"/>
        </w:rPr>
        <w:t>الف</w:t>
      </w:r>
      <w:r>
        <w:rPr>
          <w:rtl w:val="true"/>
        </w:rPr>
        <w:t xml:space="preserve">) </w:t>
      </w:r>
      <w:r>
        <w:rPr>
          <w:rtl w:val="true"/>
        </w:rPr>
        <w:t>از نگاه قرآن</w:t>
      </w:r>
      <w:bookmarkEnd w:id="241"/>
    </w:p>
    <w:p>
      <w:pPr>
        <w:pStyle w:val="BookText"/>
        <w:rPr/>
      </w:pPr>
      <w:r>
        <w:rPr>
          <w:rFonts w:ascii="IRNazanin" w:hAnsi="IRNazanin" w:eastAsia="IRNazanin"/>
          <w:color w:val="111111"/>
          <w:sz w:val="28"/>
          <w:sz w:val="28"/>
          <w:szCs w:val="28"/>
          <w:rtl w:val="true"/>
          <w:lang w:bidi="fa-IR"/>
        </w:rPr>
        <w:t>پیش‌تر اشاره شد امنیت از پدیده‌های پایه‌ای است که در همة ابعاد زندگی فردی و گروهی انسان به گونه‌ای تأثیرگذار و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قرآن ـ بدان سبب که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 نیازهای حقیقی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ـ به آن به‌طور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پافشاری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صورت فارسی و عربی این کلمه با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اسلامی به چشم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ولی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مشتق از این ریشه به فراوانی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از ریشه 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مشتق شده است و نزدیک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به کار رفته است</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پیوند تنگاتنگ و ناگسستنی این واژه با کلمه‌های اسلام، ایمان و مؤمن گویای ارزش فراوان مفهوم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که افزون بر آیات قرآن و روایات معصومان علیهم‌السلام، به فراوانی در سخنان اندیشمندان اسلامی و شیعی به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این نکته بایسته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سوره‌های انعام، آیات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نساء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سوره بقره،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 سوره نور،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سوره‌های آل عمران، 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انفال،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سخنان فراوانی در ارزش و جایگاه ارزنده امنیت در زندگی فردی و اجتماعی انسان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نمونه‌هایی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یکی از اهداف برپایی حکومت شایستگان را پدیدآمدن امنیت در جامعة بشری دانسته است؛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وَ لَیُبَدِّلَنَّهُمْ مِنْ بَعْدِ خَوْفِهِمْ أَمْنا…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و بیمشان را به ایمنی مبدل گرداند،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کنند و چیزی را با من شریک نگردانند، و هر کس پس از آن به کفر گراید آنانند که نافرمانند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خداوند به مؤمنان که کارهای شایسته می‌کنند و به یاری خداوند، حکومت جهانی عدل‌محور را پدید خواهند آورد، نوید امنیت و آرامش و از بین‌رفتن همة اسباب ترس و وحشت را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نعمت امنیت را از پایه‌ای‌ترین نیاز فطری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دانسته،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خواستة پیامبر خود حضرت ابراهیم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بنانهادن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یاد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 قالَ إِبْراهیمُ رَبِّ اجْعَلْ هذا بَلَداً آمِنا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چون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شهری امن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 قالَ إِبْراهیمُ رَبِّ اجْعَلْ هذا البلد آمنا و…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خداوند نیز، بنا به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جَعَلْنَا الْبَیْتَ مَثابَةً لِلنَّاسِ وَ أَمْناً…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چون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مردم محل اجتماع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امنیت‌بخشی گزارش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پدیدة امنیت چنان بزرگ است که پروردگار به سبب آن بر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منت نهاد و خویش را شایستة سپاس و بندگی دانست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و نیز خداوند هستی به همین سرزمین دارای‌امنیت، برای بیان چگونگی آفرینش انسان سوگند خورده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امن‌دانستن خانة کعبه به دست خداوند بزرگ در حقیقت بیانگر جایگاه ارزندة امنیت است که این بنای مقدس با آن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کعبه در آیات فراوانی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در سوره تین شهر مکه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قرآن، از سرزمینی که از نعمت امنیت و آرامش برخوردار باشد، به عنوان سرزمین مثال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زدنی، نمونه و الگو،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وَضَرَبَ اللَّهُ مَثَلاً قَرْیَةً کانَتْ آمِنَةً مُطْمَئِنَّةً یَأْتیها رِزْقُها رَغَداً مِنْ کُلِّ مَکانٍ فَکَفَرَتْ بِأَنْعُمِ اللَّهِ</w:t>
      </w:r>
      <w:bookmarkStart w:id="242" w:name="pg12658_166765"/>
    </w:p>
    <w:p>
      <w:pPr>
        <w:pStyle w:val="BookText"/>
        <w:rPr/>
      </w:pPr>
      <w:bookmarkEnd w:id="242"/>
      <w:r>
        <w:rPr>
          <w:rFonts w:ascii="Amiri" w:hAnsi="Amiri" w:eastAsia="Amiri" w:cs="Amiri"/>
          <w:color w:val="111111"/>
          <w:sz w:val="28"/>
          <w:sz w:val="28"/>
          <w:szCs w:val="28"/>
          <w:rtl w:val="true"/>
          <w:lang w:bidi="ar-SA"/>
        </w:rPr>
        <w:t>فَأَذاقَهَا اللَّهُ لِباسَ الْجُوعِ وَ الْخَوْفِ بِما کانُوا یَصْنَعُونَ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 xml:space="preserve">و خدا شهری را مثل زده است که امن و امان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روزیش از هر سو فراوان می‌رسید،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خدا را ناسپاسی کردند، و خدا هم به سزای آنچه انجام می‌دادند، طعم گرسنگی و هراس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امنیت به عنوان بزرگ‌ترین پاداشی یاد شده که در تمیز اهل حق از باطل، به اهل حق داده می‌شود؛ همان‌گونه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 الفریقین احق بالامن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کدام یک از دو دسته شایسته امنیت هستند؟</w:t>
      </w:r>
    </w:p>
    <w:p>
      <w:pPr>
        <w:pStyle w:val="BookText"/>
        <w:rPr/>
      </w:pPr>
      <w:r>
        <w:rPr>
          <w:rFonts w:ascii="IRNazanin" w:hAnsi="IRNazanin" w:eastAsia="IRNazanin"/>
          <w:color w:val="111111"/>
          <w:sz w:val="28"/>
          <w:sz w:val="28"/>
          <w:szCs w:val="28"/>
          <w:rtl w:val="true"/>
          <w:lang w:bidi="fa-IR"/>
        </w:rPr>
        <w:t>این نشانگر آن است که نعمت امنیت پایة همة نعمت‌ها است؛ چرا که هر گاه امنیت از میان برود، دیگر مواهب مادی و معنوی نیز به خطر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گسترة ناامن، نه بندگی خداوند شدنی است، نه زندگی همراه با سربلندی و آسودگی فکر و نه تلاش و کوشش و جهاد برای پیشبرد هدف‌های اجتماعی</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بنابراین در فرهنگ قرآنی امنیت یک مفهوم گسترده، همگن و ژرف دارد و همة ابعاد زندگی و حوزه‌های سیاسی و اقتصادی و اجتماعی و فرهنگی را در بر می‌گیرد</w:t>
      </w:r>
      <w:r>
        <w:rPr>
          <w:rFonts w:eastAsia="IRNazanin" w:cs="IRNazanin"/>
          <w:color w:val="111111"/>
          <w:sz w:val="28"/>
          <w:szCs w:val="28"/>
          <w:rtl w:val="true"/>
          <w:lang w:bidi="fa-IR"/>
        </w:rPr>
        <w:t>.</w:t>
      </w:r>
    </w:p>
    <w:p>
      <w:pPr>
        <w:pStyle w:val="Heading4"/>
        <w:numPr>
          <w:ilvl w:val="3"/>
          <w:numId w:val="1"/>
        </w:numPr>
        <w:rPr/>
      </w:pPr>
      <w:bookmarkStart w:id="243" w:name="__RefHeading___Toc643439_222507752"/>
      <w:bookmarkStart w:id="244" w:name="_Toc92"/>
      <w:bookmarkEnd w:id="243"/>
      <w:r>
        <w:rPr>
          <w:rtl w:val="true"/>
        </w:rPr>
        <w:t>ب</w:t>
      </w:r>
      <w:r>
        <w:rPr>
          <w:rtl w:val="true"/>
        </w:rPr>
        <w:t xml:space="preserve">) </w:t>
      </w:r>
      <w:r>
        <w:rPr>
          <w:rtl w:val="true"/>
        </w:rPr>
        <w:t>از نگاه روایات</w:t>
      </w:r>
      <w:bookmarkEnd w:id="244"/>
    </w:p>
    <w:p>
      <w:pPr>
        <w:pStyle w:val="BookText"/>
        <w:rPr/>
      </w:pPr>
      <w:r>
        <w:rPr>
          <w:rFonts w:ascii="IRNazanin" w:hAnsi="IRNazanin" w:eastAsia="IRNazanin"/>
          <w:color w:val="111111"/>
          <w:sz w:val="28"/>
          <w:sz w:val="28"/>
          <w:szCs w:val="28"/>
          <w:rtl w:val="true"/>
          <w:lang w:bidi="fa-IR"/>
        </w:rPr>
        <w:t>روایات معصومان علیهم‌السلام همانند قرآن بیان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این نکتة مهم است که هرگونه امنیتی، در ایمان و باورهای معنوی و الهی ریشه دارد و هر گونه ناامنی در هر عرصه‌ای، ناگزیر ریشه‌اش به بی‌ایمانی و صفاتی مانند شرک، کفر، ظلم، استکبار و…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 علیه و آله وسلم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نِعْمَتَانِ مَکْفُورَتَانِ الْأَمْنُ وَ الْعَافِیَةُ؛</w:t>
      </w:r>
      <w:r>
        <w:rPr>
          <w:rStyle w:val="FootnoteAnchor"/>
          <w:rtl w:val="true"/>
        </w:rPr>
        <w:footnoteReference w:id="146"/>
      </w:r>
      <w:r>
        <w:rPr>
          <w:rFonts w:ascii="IRNazanin" w:hAnsi="IRNazanin" w:eastAsia="IRNazanin"/>
          <w:color w:val="111111"/>
          <w:sz w:val="28"/>
          <w:sz w:val="28"/>
          <w:szCs w:val="28"/>
          <w:rtl w:val="true"/>
          <w:lang w:bidi="fa-IR"/>
        </w:rPr>
        <w:t>دو نعمتند که قدر آنها شناخته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کفران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تندرستی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زندگی بدون امنیت را ناقص و ناگوار شمرده و در این راستا فرموده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خَمْسُ خِصَالٍ مَنْ فَقَدَ وَاحِدَةً مِنْهُنَّ لَمْ یَزَلْ نَاقِصَ الْعَیْشِ زَائِلَ الْعَقْلِ مَشْغُولَ </w:t>
      </w:r>
      <w:bookmarkStart w:id="245" w:name="pg12658_166767"/>
    </w:p>
    <w:p>
      <w:pPr>
        <w:pStyle w:val="BookText"/>
        <w:rPr/>
      </w:pPr>
      <w:bookmarkEnd w:id="245"/>
      <w:r>
        <w:rPr>
          <w:rFonts w:ascii="Amiri" w:hAnsi="Amiri" w:eastAsia="Amiri" w:cs="Amiri"/>
          <w:color w:val="111111"/>
          <w:sz w:val="28"/>
          <w:sz w:val="28"/>
          <w:szCs w:val="28"/>
          <w:rtl w:val="true"/>
          <w:lang w:bidi="ar-SA"/>
        </w:rPr>
        <w:t>الْقَلْبِ فَأَوَّلُهَا صِحَّةُ الْبَدَنِ وَ الثَّانِیَةُ الْأَمْنُ و… ؛</w:t>
      </w:r>
      <w:r>
        <w:rPr>
          <w:rStyle w:val="FootnoteAnchor"/>
          <w:rtl w:val="true"/>
        </w:rPr>
        <w:footnoteReference w:id="147"/>
      </w:r>
      <w:r>
        <w:rPr>
          <w:rFonts w:ascii="IRNazanin" w:hAnsi="IRNazanin" w:eastAsia="IRNazanin"/>
          <w:color w:val="111111"/>
          <w:sz w:val="28"/>
          <w:sz w:val="28"/>
          <w:szCs w:val="28"/>
          <w:rtl w:val="true"/>
          <w:lang w:bidi="fa-IR"/>
        </w:rPr>
        <w:t>پنج ویژگیست که اگر هریک از آنها از دست رود زندگی ناگوار، به‌دور از خردورزی و در دل‌مشغولی است پس نخست آنها صحت تن و دیگر امنیت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امنیت در کنار عدالت و فراوانی، به عنوان سه نیاز بنیادین مردم یاد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اشیاء یَحْتَاجُ النَّاسُ طُرّاً إِلَیْهَا الْأَمْنُ وَ الْعَدْلُ وَ…؛</w:t>
      </w:r>
      <w:r>
        <w:rPr>
          <w:rStyle w:val="FootnoteAnchor"/>
          <w:rtl w:val="true"/>
        </w:rPr>
        <w:footnoteReference w:id="148"/>
      </w:r>
      <w:r>
        <w:rPr>
          <w:rFonts w:ascii="IRNazanin" w:hAnsi="IRNazanin" w:eastAsia="IRNazanin"/>
          <w:color w:val="111111"/>
          <w:sz w:val="28"/>
          <w:sz w:val="28"/>
          <w:szCs w:val="28"/>
          <w:rtl w:val="true"/>
          <w:lang w:bidi="fa-IR"/>
        </w:rPr>
        <w:t>سه چیز است که همگان بدان نیازمندند امنیت، عدل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علیه‌السلام در بحث از اهداف برتر حکومت، یکی از دلیل‌های پذیرش حکومت را فراهم‌کردن امنیت برای بندگان و پشتیبانی از آن‌ها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حضرت در بیان نقش و جایگاه امنیت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رفاهیة العیش فی الأمن؛</w:t>
      </w:r>
      <w:r>
        <w:rPr>
          <w:rStyle w:val="FootnoteAnchor"/>
          <w:rtl w:val="true"/>
        </w:rPr>
        <w:footnoteReference w:id="149"/>
      </w:r>
      <w:r>
        <w:rPr>
          <w:rFonts w:ascii="Amiri" w:hAnsi="Amiri" w:eastAsia="Amiri" w:cs="Amiri"/>
          <w:color w:val="111111"/>
          <w:sz w:val="28"/>
          <w:sz w:val="28"/>
          <w:szCs w:val="28"/>
          <w:rtl w:val="true"/>
          <w:lang w:bidi="ar-SA"/>
        </w:rPr>
        <w:t>لا نعمة أهنأ من الأمن؛</w:t>
      </w:r>
      <w:r>
        <w:rPr>
          <w:rStyle w:val="FootnoteAnchor"/>
          <w:rtl w:val="true"/>
        </w:rPr>
        <w:footnoteReference w:id="150"/>
      </w:r>
      <w:r>
        <w:rPr>
          <w:rFonts w:ascii="IRNazanin" w:hAnsi="IRNazanin" w:eastAsia="IRNazanin"/>
          <w:color w:val="111111"/>
          <w:sz w:val="28"/>
          <w:sz w:val="28"/>
          <w:szCs w:val="28"/>
          <w:rtl w:val="true"/>
          <w:lang w:bidi="fa-IR"/>
        </w:rPr>
        <w:t>رفاه زندگی در امنیت است و هیچ نعمتی گواراتر از امنیت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امنیت در جامعه مسلمین به اندازه‌ای است که نخستین وظیفة مسلمین در رودررویی با یکدیگر آشکارکردن این مطلب به فرد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ابتدایی‌ترین راه،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46" w:name="__RefHeading___Toc643441_222507752"/>
      <w:bookmarkStart w:id="247" w:name="_Toc93"/>
      <w:bookmarkEnd w:id="246"/>
      <w:r>
        <w:rPr>
          <w:rtl w:val="true"/>
        </w:rPr>
        <w:t>زمینه‌های ترس، دلهره و ناامنی</w:t>
      </w:r>
      <w:bookmarkEnd w:id="247"/>
    </w:p>
    <w:p>
      <w:pPr>
        <w:pStyle w:val="BookText"/>
        <w:rPr/>
      </w:pPr>
      <w:r>
        <w:rPr>
          <w:rFonts w:ascii="IRNazanin" w:hAnsi="IRNazanin" w:eastAsia="IRNazanin"/>
          <w:color w:val="111111"/>
          <w:sz w:val="28"/>
          <w:sz w:val="28"/>
          <w:szCs w:val="28"/>
          <w:rtl w:val="true"/>
          <w:lang w:bidi="fa-IR"/>
        </w:rPr>
        <w:t>عوامل فراوانی سبب ناامنی می‌شوند که برخی از مهم‌ترین آنها از این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دورشدن از آفریدگار هستی به عنوان پایة همة امنیت‌ها؛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دورشدن از معنویت و باورهای دینی به‌ویژه باور به رستاخیز و کیفر کارها؛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تهی‌دستی به خاطر گسترش تبعیض و فاصلة طبقاتی؛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بی‌عدالتی، فزون‌خواهی و رفاه‌زدگی؛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شیوع فحشا و هرزگی به‌ویژه در دوران امروز با گسترش رسانه‌های جمعی؛ </w:t>
      </w:r>
      <w:bookmarkStart w:id="248" w:name="pg12658_166769"/>
    </w:p>
    <w:p>
      <w:pPr>
        <w:pStyle w:val="BookText"/>
        <w:rPr/>
      </w:pPr>
      <w:bookmarkEnd w:id="248"/>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سستی دستگاه‌های حاکمه در برپایی 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البته همة این عوامل و مانند آن در حکومت حضرت مهدی علیه‌السلام ریشه‌کن خواهد شد و ناامنی‌ها به امنیت خواهد رسید</w:t>
      </w:r>
      <w:r>
        <w:rPr>
          <w:rFonts w:eastAsia="IRNazanin" w:cs="IRNazanin"/>
          <w:color w:val="111111"/>
          <w:sz w:val="28"/>
          <w:szCs w:val="28"/>
          <w:rtl w:val="true"/>
          <w:lang w:bidi="fa-IR"/>
        </w:rPr>
        <w:t>.</w:t>
      </w:r>
    </w:p>
    <w:p>
      <w:pPr>
        <w:pStyle w:val="Heading3"/>
        <w:numPr>
          <w:ilvl w:val="2"/>
          <w:numId w:val="1"/>
        </w:numPr>
        <w:rPr/>
      </w:pPr>
      <w:bookmarkStart w:id="249" w:name="__RefHeading___Toc643443_222507752"/>
      <w:bookmarkStart w:id="250" w:name="_Toc94"/>
      <w:bookmarkEnd w:id="249"/>
      <w:r>
        <w:rPr>
          <w:rtl w:val="true"/>
        </w:rPr>
        <w:t>نقش امام در امنیت روانی و معنوی</w:t>
      </w:r>
      <w:bookmarkEnd w:id="250"/>
    </w:p>
    <w:p>
      <w:pPr>
        <w:pStyle w:val="BookText"/>
        <w:rPr/>
      </w:pPr>
      <w:r>
        <w:rPr>
          <w:rFonts w:ascii="IRNazanin" w:hAnsi="IRNazanin" w:eastAsia="IRNazanin"/>
          <w:color w:val="111111"/>
          <w:sz w:val="28"/>
          <w:sz w:val="28"/>
          <w:szCs w:val="28"/>
          <w:rtl w:val="true"/>
          <w:lang w:bidi="fa-IR"/>
        </w:rPr>
        <w:t>نقش معصوم علیه‌السلام در دو بُعد تکوین و تشریع، سبب فراهم‌شدن امنیت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در حدیثی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أَهْلَ بَیْتِی أَمَانٌ لَکُمْ فَأَحِبُّوهُمْ بِحُبِّی وَ تَمَسَّکُوا بِهِمْ لَنْ تَضِلُّوا؛</w:t>
      </w:r>
      <w:r>
        <w:rPr>
          <w:rStyle w:val="FootnoteAnchor"/>
          <w:rtl w:val="true"/>
        </w:rPr>
        <w:footnoteReference w:id="151"/>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اهل بیت من مایه امنیت برای شما هستند، پس همانطور که مرا دوست دارید آنها را نیز دوست بدارید و در نتیجه هرگز گمراه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ایشان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أَهْلُ بَیْتِی أَمَانٌ لِأُمَّتِی مِنَ الضَّلَالَةِ فِی أَدْیَانِهِم؛</w:t>
      </w:r>
      <w:r>
        <w:rPr>
          <w:rStyle w:val="FootnoteAnchor"/>
          <w:rtl w:val="true"/>
        </w:rPr>
        <w:footnoteReference w:id="152"/>
      </w:r>
      <w:r>
        <w:rPr>
          <w:rFonts w:ascii="IRNazanin" w:hAnsi="IRNazanin" w:eastAsia="IRNazanin"/>
          <w:color w:val="111111"/>
          <w:sz w:val="28"/>
          <w:sz w:val="28"/>
          <w:szCs w:val="28"/>
          <w:rtl w:val="true"/>
          <w:lang w:bidi="fa-IR"/>
        </w:rPr>
        <w:t>و اهل بیت من امان امتم از گمراهی و ضلالت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اهل بیت پیامبر صلی‌الله‌علیه‌وآله به خودی خود در فراهم‌کردن امنیت و رهائی از گمراهی در دین مهم و بنیادین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سخنی دیگر این ویژه امت‌بودن به یک امنیت فراگیر و جهانی ذکر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أَهْلُ بَیْتِی أَمَانٌ لِأَهْلِ الْأَرْض…؛ </w:t>
      </w:r>
      <w:r>
        <w:rPr>
          <w:rStyle w:val="FootnoteAnchor"/>
          <w:rtl w:val="true"/>
        </w:rPr>
        <w:footnoteReference w:id="153"/>
      </w:r>
      <w:r>
        <w:rPr>
          <w:rFonts w:ascii="IRNazanin" w:hAnsi="IRNazanin" w:eastAsia="IRNazanin"/>
          <w:color w:val="111111"/>
          <w:sz w:val="28"/>
          <w:sz w:val="28"/>
          <w:szCs w:val="28"/>
          <w:rtl w:val="true"/>
          <w:lang w:bidi="fa-IR"/>
        </w:rPr>
        <w:t>اهل بیت من مایة امنیت برای اهل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نیز حضرت مهدی علیه‌السلام از خود به عنوان مایة امنیت زمین و اهل آن یاد کرده است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أَمَانٌ لِأَهْلِ الْأَرْضِ کَمَا أَنَّ النُّجُومَ أَمَانٌ لِأَهْلِ السَّمَاءِ؛</w:t>
      </w:r>
      <w:r>
        <w:rPr>
          <w:rStyle w:val="FootnoteAnchor"/>
          <w:rtl w:val="true"/>
        </w:rPr>
        <w:footnoteReference w:id="154"/>
      </w:r>
      <w:r>
        <w:rPr>
          <w:rFonts w:ascii="IRNazanin" w:hAnsi="IRNazanin" w:eastAsia="IRNazanin"/>
          <w:color w:val="111111"/>
          <w:sz w:val="28"/>
          <w:sz w:val="28"/>
          <w:szCs w:val="28"/>
          <w:rtl w:val="true"/>
          <w:lang w:bidi="fa-IR"/>
        </w:rPr>
        <w:t>همانا من مایة امنیتم برای اهل زمین آن‌گونه که ستارگان مایة امنیت برای آسمانیانند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برکت حضور امام علیه‌السلام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نفس وجود امام در </w:t>
      </w:r>
      <w:bookmarkStart w:id="251" w:name="pg12658_166771"/>
    </w:p>
    <w:p>
      <w:pPr>
        <w:pStyle w:val="BookText"/>
        <w:rPr/>
      </w:pPr>
      <w:bookmarkEnd w:id="251"/>
      <w:r>
        <w:rPr>
          <w:rFonts w:ascii="IRNazanin" w:hAnsi="IRNazanin" w:eastAsia="IRNazanin"/>
          <w:color w:val="111111"/>
          <w:sz w:val="28"/>
          <w:sz w:val="28"/>
          <w:szCs w:val="28"/>
          <w:rtl w:val="true"/>
          <w:lang w:bidi="fa-IR"/>
        </w:rPr>
        <w:t>نظام آفرینش است که روایات پرشمار و معروفی است مبنی بر اینکه نبود حجت سبب فرو بردن زمین اهلش را می‌شود، که این همه ناامنی برای زمین و اهل آن است و دیگر اینکه امام با به دست‌گرفتن زمام امور سبب سروسامان کارها و عدالت می‌شود که نتیجة آن امنیت خواهد شد</w:t>
      </w:r>
      <w:r>
        <w:rPr>
          <w:rFonts w:eastAsia="IRNazanin" w:cs="IRNazanin"/>
          <w:color w:val="111111"/>
          <w:sz w:val="28"/>
          <w:szCs w:val="28"/>
          <w:rtl w:val="true"/>
          <w:lang w:bidi="fa-IR"/>
        </w:rPr>
        <w:t>.</w:t>
      </w:r>
    </w:p>
    <w:p>
      <w:pPr>
        <w:pStyle w:val="Heading3"/>
        <w:numPr>
          <w:ilvl w:val="2"/>
          <w:numId w:val="1"/>
        </w:numPr>
        <w:rPr/>
      </w:pPr>
      <w:bookmarkStart w:id="252" w:name="__RefHeading___Toc643445_222507752"/>
      <w:bookmarkStart w:id="253" w:name="_Toc95"/>
      <w:bookmarkEnd w:id="252"/>
      <w:r>
        <w:rPr>
          <w:rtl w:val="true"/>
        </w:rPr>
        <w:t>حکومت مهدوی و امنیت</w:t>
      </w:r>
      <w:bookmarkEnd w:id="253"/>
    </w:p>
    <w:p>
      <w:pPr>
        <w:pStyle w:val="BookText"/>
        <w:rPr/>
      </w:pPr>
      <w:r>
        <w:rPr>
          <w:rFonts w:ascii="IRNazanin" w:hAnsi="IRNazanin" w:eastAsia="IRNazanin"/>
          <w:color w:val="111111"/>
          <w:sz w:val="28"/>
          <w:sz w:val="28"/>
          <w:szCs w:val="28"/>
          <w:rtl w:val="true"/>
          <w:lang w:bidi="fa-IR"/>
        </w:rPr>
        <w:t>در حوزة مباحث مهدویت امنیت یکی از مهم‌ترین و پایه‌ای‌ترین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حکومت جهانی حضرت مهدی علیه‌السلام است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آیات و روایات فراوانی از آن به عنوان رکن بنیادین حاکمیت حضرت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آرمان و هدف به گونه‌ای دارای ارزش است که همة اهداف و برنامه‌های منجی قائم با آن پیوند و بستگی دارد، و در صورت پدیدارشدن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اهداف اقتصادی، فرهنگی، سیاسی، فکری و اخلاقی در سطح گسترده جامه عمل به خود می‌پوشند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پیوند میان عدالت و امنیت پیوندی دو سویه است؛ امنیت کمک می‌کند تا راه برای اجرای عدالت هموار شود و در جامعة بر پایة عدالت، امنیت را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ارزش امنیت آنگاه به روشنی دریافت می‌شود که بدانیم جامعة انسانی پیش از آن و در آستانة آن انقلاب بزرگ در نهایت ناامنی زندگی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پرهرج و مرجی که حیات انسانی را از بنیان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حکومت جهانی آن حضرت به امنیت دگرگون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این امنیت بنابر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نور، این‌گونه است که چون پارسایان، به رهبری امام عصر علیه‌السلام خلیفة خدا شوند و دین حاکم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نوید الهی، امنیت جای ترس را می‌گیرد و بندگان خدا به خشنودی و خوشبختی حقیقی دست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برکت حضور و ظهور واپسین حجت الهی بر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در روایتی به شکل گسترده فراوانی ناامنی و بی‌عدالتی پیش از ظهور را چنین بیان فرموده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 مَهْدِیُ هَذِهِ الْأُمَّةِ إِذَا صَارَتِ الدُّنْیَا هَرْجاً وَ مَرْجاً وَ تَظَاهَرَتِ الْفِتَنُ وَ </w:t>
      </w:r>
      <w:bookmarkStart w:id="254" w:name="pg12658_166773"/>
    </w:p>
    <w:p>
      <w:pPr>
        <w:pStyle w:val="BookText"/>
        <w:rPr/>
      </w:pPr>
      <w:bookmarkEnd w:id="254"/>
      <w:r>
        <w:rPr>
          <w:rFonts w:ascii="Amiri" w:hAnsi="Amiri" w:eastAsia="Amiri" w:cs="Amiri"/>
          <w:color w:val="111111"/>
          <w:sz w:val="28"/>
          <w:sz w:val="28"/>
          <w:szCs w:val="28"/>
          <w:rtl w:val="true"/>
          <w:lang w:bidi="ar-SA"/>
        </w:rPr>
        <w:t>تَقَطَّعَتِ السُّبُلُ وَ أَغَارَ بَعْضُهُمْ عَلَی بَعْضٍ فَلَا کَبِیرٌ یَرْحَمُ صَغِیراً وَ لَا صَغِیرٌ یُوَقِّرُ کَبِیراً فَیَبْعَثُ اللَّهُ عِنْدَ ذَلِکَ مَهْدِیَّنَا التَّاسِعَ مِنْ صُلْبِ الْحُسَیْنِ یَفْتَحُ حُصُونَ الضَّلَالَةِ وَ قُلُوباً غُفْلًا یَقُومُ فِی الدِّینِ فِی آخِرِ الزَّمَانِ کَمَا قُمْتُ بِهِ فِی أَوَّلِ الزَّمَانِ وَ یَمْلَأُ الْأَرْضَ عَدْلًا کَمَا مُلِئَتْ جَوْراً؛</w:t>
      </w:r>
      <w:r>
        <w:rPr>
          <w:rStyle w:val="FootnoteAnchor"/>
          <w:rtl w:val="true"/>
        </w:rPr>
        <w:footnoteReference w:id="155"/>
      </w:r>
      <w:r>
        <w:rPr>
          <w:rFonts w:ascii="IRNazanin" w:hAnsi="IRNazanin" w:eastAsia="IRNazanin"/>
          <w:color w:val="111111"/>
          <w:sz w:val="28"/>
          <w:sz w:val="28"/>
          <w:szCs w:val="28"/>
          <w:rtl w:val="true"/>
          <w:lang w:bidi="fa-IR"/>
        </w:rPr>
        <w:t>مهدی این امت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در دنیا هرج و مرج شده و آشوب‌ها آشکار شود و راه‌ها مورد راهزنی قرار گرفته و بعضی از مردم به بعض دیگر تهاجم کنند و بزرگ به کوچک رحم نکند و کوچک‌تر احترام بزرگ‌تر را نگه ندارد، در چنین زمانی مهدی ما که نهمین امام از صلب حسین است؛ برج و باروهای گمراهی و قلب‌های قفل شده را فتح می‌کند و در آخرالزمان به‌خاطر دین قیام می‌کند؛ همان گونه که من در اول زمان، بدین قیام مبادرت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زمینی را که از جور پر شده، از عدل و داد، پر و سرشار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دربارة عدل‌گستری و امنیت در عصر ظهور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تحقیق، قائم ما به پا خیزد، به سبب ولایت و عدالت او، آسمان آن‌چنان که باید، می‌بارد و زمین نیز رستنی‌هایش را بیرون می‌دهد و کینه از دل‌های بندگان زدوده می‌شود و میان دد و دام آشتی برقرار می‌شود؛ به گونه‌ای که یک زن میان عراق و شام پیاده خواهد رفت و آسیبی نخواهد دید و هر جا قدم می‌گذارد، همه سبزه و رستنی است و بر روی سرش زینت‌هایش را گذارده و نه ددی او را آزار دهد و نه بترساند</w:t>
      </w:r>
      <w:r>
        <w:rPr>
          <w:rFonts w:eastAsia="IRNazanin" w:cs="IRNazanin"/>
          <w:color w:val="111111"/>
          <w:sz w:val="28"/>
          <w:szCs w:val="28"/>
          <w:rtl w:val="true"/>
          <w:lang w:bidi="fa-IR"/>
        </w:rPr>
        <w:t xml:space="preserve">. </w:t>
      </w:r>
      <w:r>
        <w:rPr>
          <w:rStyle w:val="FootnoteAnchor"/>
          <w:rtl w:val="true"/>
        </w:rPr>
        <w:footnoteReference w:id="156"/>
      </w:r>
    </w:p>
    <w:p>
      <w:pPr>
        <w:pStyle w:val="Heading3"/>
        <w:numPr>
          <w:ilvl w:val="2"/>
          <w:numId w:val="1"/>
        </w:numPr>
        <w:rPr/>
      </w:pPr>
      <w:bookmarkStart w:id="255" w:name="__RefHeading___Toc643447_222507752"/>
      <w:bookmarkStart w:id="256" w:name="_Toc96"/>
      <w:bookmarkEnd w:id="255"/>
      <w:r>
        <w:rPr>
          <w:rtl w:val="true"/>
        </w:rPr>
        <w:t>گسترة امنیت در حکومت مهدوی</w:t>
      </w:r>
      <w:bookmarkEnd w:id="256"/>
    </w:p>
    <w:p>
      <w:pPr>
        <w:pStyle w:val="Heading4"/>
        <w:numPr>
          <w:ilvl w:val="3"/>
          <w:numId w:val="1"/>
        </w:numPr>
        <w:rPr/>
      </w:pPr>
      <w:bookmarkStart w:id="257" w:name="__RefHeading___Toc643449_222507752"/>
      <w:bookmarkStart w:id="258" w:name="_Toc97"/>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امنیت در دوران حکومت حضرت مهدی علیه‌السلام در دو گسترة زندگی راه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و اجتماعی</w:t>
      </w:r>
      <w:r>
        <w:rPr>
          <w:rFonts w:eastAsia="IRNazanin" w:cs="IRNazanin"/>
          <w:color w:val="111111"/>
          <w:sz w:val="28"/>
          <w:szCs w:val="28"/>
          <w:rtl w:val="true"/>
          <w:lang w:bidi="fa-IR"/>
        </w:rPr>
        <w:t>.</w:t>
      </w:r>
    </w:p>
    <w:p>
      <w:pPr>
        <w:pStyle w:val="Heading4"/>
        <w:numPr>
          <w:ilvl w:val="3"/>
          <w:numId w:val="1"/>
        </w:numPr>
        <w:rPr/>
      </w:pPr>
      <w:bookmarkStart w:id="259" w:name="__RefHeading___Toc643451_222507752"/>
      <w:bookmarkStart w:id="260" w:name="_Toc98"/>
      <w:bookmarkEnd w:id="259"/>
      <w:r>
        <w:rPr>
          <w:rtl w:val="true"/>
        </w:rPr>
        <w:t xml:space="preserve">یک </w:t>
      </w:r>
      <w:r>
        <w:rPr>
          <w:rtl w:val="true"/>
        </w:rPr>
        <w:t xml:space="preserve">. </w:t>
      </w:r>
      <w:r>
        <w:rPr>
          <w:rtl w:val="true"/>
        </w:rPr>
        <w:t>امنیت فردی</w:t>
      </w:r>
      <w:bookmarkEnd w:id="26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آنگاه که سخن از امنیت به میان می‌آید بیشتر امنیت گروهی و اجتماعی به ذهن می‌آید، ولی هرگز نباید سبب شود تا از امنیت فردی غفلت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گاهی انسان بدون اینکه دیگر انسان‌های جامعه نقشی داشته باشند احساس ناامنی و اضطراب </w:t>
      </w:r>
      <w:bookmarkStart w:id="261" w:name="pg12658_166774"/>
    </w:p>
    <w:p>
      <w:pPr>
        <w:pStyle w:val="BookText"/>
        <w:rPr/>
      </w:pPr>
      <w:bookmarkEnd w:id="261"/>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حکومت حضرت مهدی علیه‌السلام برخی ویژگی‌ها سبب می‌شود در حوزة فردی نیز انسان‌ها احساس امنیت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امنیت فردی را باید در ایمان راستین و حقیقی و آرامش روحی و اطمینان و طمانینه نفس و یاد خداوند متعال جست‌وجو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بذکرالله تطمئن القلوب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یکی از این ویژگی‌های رشد ایمان و باور انسان‌ها به خداوند است که سبب می‌شود مردمان به امنیت خاطر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اخلاق الهی نیز نشانة ایمنی انسان مؤمن از وسوسه‌های شیطانی و غفلت است، چنانکه پیامبر صلی‌الله‌علیه‌وآله برای تکمیل مکارم اخلاق مبعوث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بعثت لاتمم مکارم الاخلاق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در حکومت مهدوی نیز مردم از اخلاق ناب محمدی به صورت کامل به برکت حضور ظاهری امام عصر بهره می‌برند و از آسیب‌های روحی و روانی ناشی از اخلاق ناشایست ایمن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سلامتی جسمی و ایمنی از آفات و بیماری‌ها به طور عمده از شاخصه‌های امنیت فردی در حکومت مهدوی علیه‌السلام به شمار می‌آید که در روایاتی به آن اشاره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قائم قیام کند، خداوند بیماری‌ها را از مومنان دور می‌سازد و تندرستی را به آنان باز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در حکومتی که مردمش از لحاظ آسیب‌های روحی و روانی در امان باشند، سلامت و توان جسمانی وجود دارد و وقتی دغدغه‌های زندگی مادی و آزار و ظلم و ستم نباشد آرامش و امنیت روحی به دست می‌آید و به همراه آن سلامت جسمانی دوام می‌یابد</w:t>
      </w:r>
      <w:r>
        <w:rPr>
          <w:rFonts w:eastAsia="IRNazanin" w:cs="IRNazanin"/>
          <w:color w:val="111111"/>
          <w:sz w:val="28"/>
          <w:szCs w:val="28"/>
          <w:rtl w:val="true"/>
          <w:lang w:bidi="fa-IR"/>
        </w:rPr>
        <w:t>.</w:t>
      </w:r>
    </w:p>
    <w:p>
      <w:pPr>
        <w:pStyle w:val="Heading4"/>
        <w:numPr>
          <w:ilvl w:val="3"/>
          <w:numId w:val="1"/>
        </w:numPr>
        <w:rPr/>
      </w:pPr>
      <w:bookmarkStart w:id="262" w:name="__RefHeading___Toc643453_222507752"/>
      <w:bookmarkStart w:id="263" w:name="_Toc99"/>
      <w:bookmarkEnd w:id="262"/>
      <w:r>
        <w:rPr>
          <w:rtl w:val="true"/>
        </w:rPr>
        <w:t xml:space="preserve">دو </w:t>
      </w:r>
      <w:r>
        <w:rPr>
          <w:rtl w:val="true"/>
        </w:rPr>
        <w:t xml:space="preserve">. </w:t>
      </w:r>
      <w:r>
        <w:rPr>
          <w:rtl w:val="true"/>
        </w:rPr>
        <w:t>امنیت اجتماعی</w:t>
      </w:r>
      <w:bookmarkEnd w:id="263"/>
    </w:p>
    <w:p>
      <w:pPr>
        <w:pStyle w:val="Heading5"/>
        <w:numPr>
          <w:ilvl w:val="4"/>
          <w:numId w:val="1"/>
        </w:numPr>
        <w:rPr/>
      </w:pPr>
      <w:bookmarkStart w:id="264" w:name="__RefHeading___Toc643455_222507752"/>
      <w:bookmarkStart w:id="265" w:name="_Toc100"/>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افزون بر امنیت فردی که یادشد، مردم در امنیت اجتماعی فراگیر نیز به سر خواهند برد و البته گسترة این امنیت عرصه‌های فراوانی را در بر می‌گیرد؛ مانند</w:t>
      </w:r>
      <w:r>
        <w:rPr>
          <w:rFonts w:eastAsia="IRNazanin" w:cs="IRNazanin"/>
          <w:color w:val="111111"/>
          <w:sz w:val="28"/>
          <w:szCs w:val="28"/>
          <w:rtl w:val="true"/>
          <w:lang w:bidi="fa-IR"/>
        </w:rPr>
        <w:t>:</w:t>
      </w:r>
    </w:p>
    <w:p>
      <w:pPr>
        <w:pStyle w:val="Heading5"/>
        <w:numPr>
          <w:ilvl w:val="4"/>
          <w:numId w:val="1"/>
        </w:numPr>
        <w:rPr/>
      </w:pPr>
      <w:bookmarkStart w:id="266" w:name="__RefHeading___Toc643457_222507752"/>
      <w:bookmarkStart w:id="267" w:name="_Toc101"/>
      <w:bookmarkEnd w:id="266"/>
      <w:r>
        <w:rPr/>
        <w:t>1</w:t>
      </w:r>
      <w:r>
        <w:rPr>
          <w:rtl w:val="true"/>
        </w:rPr>
        <w:t xml:space="preserve">. </w:t>
      </w:r>
      <w:r>
        <w:rPr>
          <w:rtl w:val="true"/>
        </w:rPr>
        <w:t>امنیت عقیدتی ـ فرهنگی</w:t>
      </w:r>
      <w:bookmarkEnd w:id="26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عمومی و فراگیری و کمال دانش که در این بخش نقش عمده‌ای دارد از سویی و باورهای راستین و گسترش آن در حکومت مهدوی و نابودی شرک و انگیزه‌های منافقانه و نیز پرورش دل‌ها و خردها و تکامل آنها و نیز اخلاق کمال‌یافته در </w:t>
      </w:r>
      <w:bookmarkStart w:id="268" w:name="pg12658_166776"/>
    </w:p>
    <w:p>
      <w:pPr>
        <w:pStyle w:val="BookText"/>
        <w:rPr/>
      </w:pPr>
      <w:bookmarkEnd w:id="268"/>
      <w:r>
        <w:rPr>
          <w:rFonts w:ascii="IRNazanin" w:hAnsi="IRNazanin" w:eastAsia="IRNazanin"/>
          <w:color w:val="111111"/>
          <w:sz w:val="28"/>
          <w:sz w:val="28"/>
          <w:szCs w:val="28"/>
          <w:rtl w:val="true"/>
          <w:lang w:bidi="fa-IR"/>
        </w:rPr>
        <w:t>میان مردمان، از سوی دیگر، ترسیمی زیبا از اوضاع فرهنگی ـ عقیدتی اجتماع مهدوی در نگاه‌ها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قرآنی حاکم بر جامعه مهدوی که دارای زوایای پرشمار و آستانه‌ای بلند است تا بدانجا می‌رسد که همگان بر پایة آموزه‌های آن زندگی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محبت و دوستی میان جامعة مهدوی در راستای حکومت آموزه‌های قرآن و سنت پیامبر صلی الله علیه وآله میان انسان‌ها رواج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این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ندارید که خداوند حق و عدل را در همه شهرها آشکار کند و همه را با یک کلمه جمع کند و میان دل‌های گوناگون پیوند اندازد و در هیچ زمینی نافرمانی خدا نکنند و دستورات خدا در میان بندگان اجرا گردد و حق به اهلش برگردد، کمال حق ظاهر شود به گونه‌ای که هیچ چیز از حق به سبب ترس از هیچ آفریده‌ای پنهان نشود و یا مخفی انجام داده نشود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بدبینی و جهل و ناامنی بلائی خطرناک است که در حکومت مهدوی تبدیل به احساس امنیت و محبت در کنار یکدیگر می‌شود</w:t>
      </w:r>
      <w:r>
        <w:rPr>
          <w:rFonts w:eastAsia="IRNazanin" w:cs="IRNazanin"/>
          <w:color w:val="111111"/>
          <w:sz w:val="28"/>
          <w:szCs w:val="28"/>
          <w:rtl w:val="true"/>
          <w:lang w:bidi="fa-IR"/>
        </w:rPr>
        <w:t>.</w:t>
      </w:r>
    </w:p>
    <w:p>
      <w:pPr>
        <w:pStyle w:val="Heading5"/>
        <w:numPr>
          <w:ilvl w:val="4"/>
          <w:numId w:val="1"/>
        </w:numPr>
        <w:rPr/>
      </w:pPr>
      <w:bookmarkStart w:id="269" w:name="__RefHeading___Toc643459_222507752"/>
      <w:bookmarkStart w:id="270" w:name="_Toc102"/>
      <w:bookmarkEnd w:id="269"/>
      <w:r>
        <w:rPr/>
        <w:t>2</w:t>
      </w:r>
      <w:r>
        <w:rPr>
          <w:rtl w:val="true"/>
        </w:rPr>
        <w:t xml:space="preserve">. </w:t>
      </w:r>
      <w:r>
        <w:rPr>
          <w:rtl w:val="true"/>
        </w:rPr>
        <w:t>امنیت اقتصادی</w:t>
      </w:r>
      <w:bookmarkEnd w:id="270"/>
    </w:p>
    <w:p>
      <w:pPr>
        <w:pStyle w:val="BookText"/>
        <w:rPr/>
      </w:pPr>
      <w:r>
        <w:rPr>
          <w:rFonts w:ascii="IRNazanin" w:hAnsi="IRNazanin" w:eastAsia="IRNazanin"/>
          <w:color w:val="111111"/>
          <w:sz w:val="28"/>
          <w:sz w:val="28"/>
          <w:szCs w:val="28"/>
          <w:rtl w:val="true"/>
          <w:lang w:bidi="fa-IR"/>
        </w:rPr>
        <w:t>در حکومت حضرت مهدی علیه‌السلام بر خلاف پندار برخی که رفاه همگانی را منحصر در امدادهای الهی می‌دانند تلاش همگانی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پایة دستور العمل‌ها و مقررات پی‌ریزی شده بر پایة آموزه‌های اسلام تولید را به حد کفایت می‌رسانند و ثروت به طور دادگرانه توزیع می‌شود تا مردم به سطحی از رفاه عمومی برسند که احساس بی‌نیازی کنند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کمال خردورزی نیز در این عرصه به یاری آمده روحیة افزون‌خواهی و اسراف را از میان خواهد برد که نقشی کلیدی در این عرصه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آن روزگار زراندوزی و ذخیرة ثروت به هر صورت ممکن حتی در مراکز نگه‌داری </w:t>
      </w:r>
      <w:bookmarkStart w:id="271" w:name="pg12658_166778"/>
    </w:p>
    <w:p>
      <w:pPr>
        <w:pStyle w:val="BookText"/>
        <w:rPr/>
      </w:pPr>
      <w:bookmarkEnd w:id="271"/>
      <w:r>
        <w:rPr>
          <w:rFonts w:ascii="IRNazanin" w:hAnsi="IRNazanin" w:eastAsia="IRNazanin"/>
          <w:color w:val="111111"/>
          <w:sz w:val="28"/>
          <w:sz w:val="28"/>
          <w:szCs w:val="28"/>
          <w:rtl w:val="true"/>
          <w:lang w:bidi="fa-IR"/>
        </w:rPr>
        <w:t>اموال منتفی خواهد بود؛ چرا که همة اسبابی که امروزه سبب این اقدام می‌شود برطرف خواهد شد</w:t>
      </w:r>
      <w:r>
        <w:rPr>
          <w:rFonts w:eastAsia="IRNazanin" w:cs="IRNazanin"/>
          <w:color w:val="111111"/>
          <w:sz w:val="28"/>
          <w:szCs w:val="28"/>
          <w:rtl w:val="true"/>
          <w:lang w:bidi="fa-IR"/>
        </w:rPr>
        <w:t>.</w:t>
      </w:r>
    </w:p>
    <w:p>
      <w:pPr>
        <w:pStyle w:val="Heading5"/>
        <w:numPr>
          <w:ilvl w:val="4"/>
          <w:numId w:val="1"/>
        </w:numPr>
        <w:rPr/>
      </w:pPr>
      <w:bookmarkStart w:id="272" w:name="__RefHeading___Toc643461_222507752"/>
      <w:bookmarkStart w:id="273" w:name="_Toc103"/>
      <w:bookmarkEnd w:id="272"/>
      <w:r>
        <w:rPr/>
        <w:t>3</w:t>
      </w:r>
      <w:r>
        <w:rPr>
          <w:rtl w:val="true"/>
        </w:rPr>
        <w:t xml:space="preserve">. </w:t>
      </w:r>
      <w:r>
        <w:rPr>
          <w:rtl w:val="true"/>
        </w:rPr>
        <w:t>امنیت داوری</w:t>
      </w:r>
      <w:bookmarkEnd w:id="273"/>
    </w:p>
    <w:p>
      <w:pPr>
        <w:pStyle w:val="BookText"/>
        <w:rPr/>
      </w:pPr>
      <w:r>
        <w:rPr>
          <w:rFonts w:ascii="IRNazanin" w:hAnsi="IRNazanin" w:eastAsia="IRNazanin"/>
          <w:color w:val="111111"/>
          <w:sz w:val="28"/>
          <w:sz w:val="28"/>
          <w:szCs w:val="28"/>
          <w:rtl w:val="true"/>
          <w:lang w:bidi="fa-IR"/>
        </w:rPr>
        <w:t>در حکومت مهدوی امنیت داوری و دادرسی برای مردمان به همة ابعاد آن فراهم خواهد بود و ریشة آن عدالت جامع و فراگیر حاکم بر آن جامعه است و لذا به واسطة امنیت قضایی حدود الهی برپاداشته می‌شود، 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یَظْهَرُ عِنْدَ الرُّکْنِ وَ الْمَقَامِ یُطَهِّرُ الْأَرْضَ وَ یَضَعُ مِیزَانَ الْعَدْلِ فَلَا یَظْلِمُ أَحَدٌ أَحَدا؛</w:t>
      </w:r>
      <w:r>
        <w:rPr>
          <w:rStyle w:val="FootnoteAnchor"/>
          <w:rtl w:val="true"/>
        </w:rPr>
        <w:footnoteReference w:id="158"/>
      </w:r>
      <w:r>
        <w:rPr>
          <w:rFonts w:ascii="IRNazanin" w:hAnsi="IRNazanin" w:eastAsia="IRNazanin"/>
          <w:color w:val="111111"/>
          <w:sz w:val="28"/>
          <w:sz w:val="28"/>
          <w:szCs w:val="28"/>
          <w:rtl w:val="true"/>
          <w:lang w:bidi="fa-IR"/>
        </w:rPr>
        <w:t>نزدیک رکن و مقام ظهور می‌کند و زمین را پاک می‌کند و ترازوی عدل می‌نهد پس هیچ کس دیگری را ستم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در این باره روایات فراوانی نقل شده است که می‌بایست به منابع مفصل مراجعه کرد</w:t>
      </w:r>
      <w:r>
        <w:rPr>
          <w:rFonts w:eastAsia="IRNazanin" w:cs="IRNazanin"/>
          <w:color w:val="111111"/>
          <w:sz w:val="28"/>
          <w:szCs w:val="28"/>
          <w:rtl w:val="true"/>
          <w:lang w:bidi="fa-IR"/>
        </w:rPr>
        <w:t>.</w:t>
      </w:r>
    </w:p>
    <w:p>
      <w:pPr>
        <w:pStyle w:val="Heading3"/>
        <w:numPr>
          <w:ilvl w:val="2"/>
          <w:numId w:val="1"/>
        </w:numPr>
        <w:rPr/>
      </w:pPr>
      <w:bookmarkStart w:id="274" w:name="__RefHeading___Toc643463_222507752"/>
      <w:bookmarkStart w:id="275" w:name="_Toc104"/>
      <w:bookmarkEnd w:id="274"/>
      <w:r>
        <w:rPr>
          <w:rtl w:val="true"/>
        </w:rPr>
        <w:t>هم‌زیستی مسالمت‌آمیز</w:t>
      </w:r>
      <w:bookmarkEnd w:id="275"/>
    </w:p>
    <w:p>
      <w:pPr>
        <w:pStyle w:val="Heading4"/>
        <w:numPr>
          <w:ilvl w:val="3"/>
          <w:numId w:val="1"/>
        </w:numPr>
        <w:rPr/>
      </w:pPr>
      <w:bookmarkStart w:id="276" w:name="__RefHeading___Toc643465_222507752"/>
      <w:bookmarkStart w:id="277" w:name="_Toc105"/>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همة ویژگی‌های حکومت عدل جهانی مهدوی سبب می‌شود تا انسان‌ها به بهترین وجه ممکن به صورت همدل و همزبان با هم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برخی روایات که نیازمند درنگ‌های جدّی است سخن از زیست برخی حیوانات وحشی در کنار همدیگر است که ضمن عدم اعتبار لازم این روایات و نقل بیشتر آنها از منابع اهل سنت و برخی اسرائیلیات، توجه به این نکته بایسته است که هرگز چنین ارتباطی میان حیوانات مصداق ظلم نیست تا در حکومت مهدوی اقتضای عدل آن را منتفی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نظام اکنون آفرینش، نظام احسن است؛ این دگرگونی چندان وجهی ندارد، ضمن اینکه در برخی روایات سخن از معدود حیوانات درنده برده شده است؛ این در حالی است که میلیاردها گونة حیوانی و جانوری در دریا و خشکی است که بقای آنها به خوردن انواع دیگر بستگی 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همة اینها در برخی روایات از بهره‌مندی انسان در آن دوران از گوشت لذیذ پرندگان و چرندگان و ماهیان سخن به میان آمده است که اگر بناباشد کشتن حیوانات </w:t>
      </w:r>
      <w:bookmarkStart w:id="278" w:name="pg12658_166780"/>
    </w:p>
    <w:p>
      <w:pPr>
        <w:pStyle w:val="BookText"/>
        <w:rPr/>
      </w:pPr>
      <w:bookmarkEnd w:id="278"/>
      <w:r>
        <w:rPr>
          <w:rFonts w:ascii="IRNazanin" w:hAnsi="IRNazanin" w:eastAsia="IRNazanin"/>
          <w:color w:val="111111"/>
          <w:sz w:val="28"/>
          <w:sz w:val="28"/>
          <w:szCs w:val="28"/>
          <w:rtl w:val="true"/>
          <w:lang w:bidi="fa-IR"/>
        </w:rPr>
        <w:t>مصداق بی‌عدالتی باشد این موارد را نیز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سوگمندانه امروزه بدون درنگ در این گونه سخنان و توجه به منابع اصلی به‌دور از هرگونه تحلیلی و القای این گونه سخنان بحث‌های فراوانی را به دنبال داشته است</w:t>
      </w:r>
      <w:r>
        <w:rPr>
          <w:rFonts w:eastAsia="IRNazanin" w:cs="IRNazanin"/>
          <w:color w:val="111111"/>
          <w:sz w:val="28"/>
          <w:szCs w:val="28"/>
          <w:rtl w:val="true"/>
          <w:lang w:bidi="fa-IR"/>
        </w:rPr>
        <w:t>.</w:t>
      </w:r>
    </w:p>
    <w:p>
      <w:pPr>
        <w:pStyle w:val="Heading4"/>
        <w:numPr>
          <w:ilvl w:val="3"/>
          <w:numId w:val="1"/>
        </w:numPr>
        <w:rPr/>
      </w:pPr>
      <w:bookmarkStart w:id="279" w:name="__RefHeading___Toc643467_222507752"/>
      <w:bookmarkStart w:id="280" w:name="_Toc106"/>
      <w:bookmarkEnd w:id="279"/>
      <w:r>
        <w:rPr>
          <w:rtl w:val="true"/>
        </w:rPr>
        <w:t>سخن آخر</w:t>
      </w:r>
      <w:bookmarkEnd w:id="28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فراگیرشدن امنیت به صورت کامل است که گسترش عمران و آبادانی سرزمین‌ها و به دنبال آن پدیدآمدن رفاه عمومی، گسترش و تعمیق صفا و صمیمیّت و برقراری پیوند دوستی خالصانه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پایان عمر دنیا جلوه‌ای از زندگی دل انگیز بهشتی که در سرای آخرت نصیب پارسایان خواهد شد، در این جهان به نمایش گذاشته می‌شود</w:t>
      </w:r>
      <w:r>
        <w:rPr>
          <w:rFonts w:eastAsia="IRNazanin" w:cs="IRNazanin"/>
          <w:color w:val="111111"/>
          <w:sz w:val="28"/>
          <w:szCs w:val="28"/>
          <w:rtl w:val="true"/>
          <w:lang w:bidi="fa-IR"/>
        </w:rPr>
        <w:t xml:space="preserve">. </w:t>
      </w:r>
      <w:bookmarkStart w:id="281" w:name="pg12658_166782"/>
    </w:p>
    <w:p>
      <w:pPr>
        <w:pStyle w:val="Heading3"/>
        <w:numPr>
          <w:ilvl w:val="2"/>
          <w:numId w:val="1"/>
        </w:numPr>
        <w:rPr/>
      </w:pPr>
      <w:bookmarkStart w:id="282" w:name="__RefHeading___Toc643469_222507752"/>
      <w:bookmarkStart w:id="283" w:name="_Toc107"/>
      <w:bookmarkEnd w:id="281"/>
      <w:bookmarkEnd w:id="282"/>
      <w:r>
        <w:rPr>
          <w:rtl w:val="true"/>
        </w:rPr>
        <w:t>خودآزمایی</w:t>
      </w:r>
      <w:bookmarkEnd w:id="2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امنیت را با نگاه به آیات قرآن تبیین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معصومان علیهم‌السلام جایگاه امنیت چگونه تبییش شده،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زمینه‌های ناامنی را شمرده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استناد به روایات نقش امام را در امنیت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فردی و اجتماعی در حکومت مهدی علیه‌السلام چگونه خواهد بود؟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643471_222507752"/>
      <w:bookmarkStart w:id="285" w:name="_Toc108"/>
      <w:bookmarkEnd w:id="284"/>
      <w:r>
        <w:rPr>
          <w:rtl w:val="true"/>
        </w:rPr>
        <w:t>منابع برای پژوهش</w:t>
      </w:r>
      <w:bookmarkEnd w:id="2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طبسی، نجم الدین، چشم اندازی به حکومت مهدی، قم، بوستان کتاب،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حکومت جهانی مهدی، قم، مدرسه امام علی،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خراسانی، محمد جواد، مهدی منتظر،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میرشفیعی خوانساری، قم، نور الاصفیاء،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سیّد محمّد، تاریخ پس از ظهور، ترجمه حسن سجادی‌پور، تهران، موعود عصر،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6" w:name="pg12658_166786"/>
      <w:bookmarkStart w:id="287" w:name="pg12658_166786"/>
      <w:bookmarkEnd w:id="287"/>
    </w:p>
    <w:p>
      <w:pPr>
        <w:pStyle w:val="Heading2"/>
        <w:numPr>
          <w:ilvl w:val="1"/>
          <w:numId w:val="1"/>
        </w:numPr>
        <w:rPr/>
      </w:pPr>
      <w:bookmarkStart w:id="288" w:name="pg12658_166786"/>
      <w:bookmarkStart w:id="289" w:name="__RefHeading___Toc643473_222507752"/>
      <w:bookmarkStart w:id="290" w:name="_Toc109"/>
      <w:bookmarkEnd w:id="288"/>
      <w:bookmarkEnd w:id="289"/>
      <w:r>
        <w:rPr>
          <w:rtl w:val="true"/>
        </w:rPr>
        <w:t>درس ششم</w:t>
      </w:r>
      <w:r>
        <w:rPr>
          <w:rtl w:val="true"/>
        </w:rPr>
        <w:t>:   </w:t>
      </w:r>
      <w:r>
        <w:rPr>
          <w:rtl w:val="true"/>
        </w:rPr>
        <w:t xml:space="preserve">نظام سیاسی حکومت امام مهدی علیه‌السلام </w:t>
      </w:r>
      <w:r>
        <w:rPr>
          <w:rtl w:val="true"/>
        </w:rPr>
        <w:t>(</w:t>
      </w:r>
      <w:r>
        <w:rPr/>
        <w:t>1</w:t>
      </w:r>
      <w:r>
        <w:rPr>
          <w:rtl w:val="true"/>
        </w:rPr>
        <w:t>)</w:t>
      </w:r>
      <w:bookmarkEnd w:id="290"/>
    </w:p>
    <w:p>
      <w:pPr>
        <w:pStyle w:val="Heading3"/>
        <w:numPr>
          <w:ilvl w:val="2"/>
          <w:numId w:val="1"/>
        </w:numPr>
        <w:rPr/>
      </w:pPr>
      <w:bookmarkStart w:id="291" w:name="__RefHeading___Toc643475_222507752"/>
      <w:bookmarkStart w:id="292" w:name="_Toc110"/>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w:t>
      </w:r>
    </w:p>
    <w:p>
      <w:pPr>
        <w:pStyle w:val="BookText"/>
        <w:rPr/>
      </w:pPr>
      <w:r>
        <w:rPr>
          <w:rFonts w:ascii="IRNazanin" w:hAnsi="IRNazanin" w:eastAsia="IRNazanin"/>
          <w:color w:val="111111"/>
          <w:sz w:val="28"/>
          <w:sz w:val="28"/>
          <w:szCs w:val="28"/>
          <w:rtl w:val="true"/>
          <w:lang w:bidi="fa-IR"/>
        </w:rPr>
        <w:t>مفهوم شناسی</w:t>
      </w:r>
    </w:p>
    <w:p>
      <w:pPr>
        <w:pStyle w:val="BookText"/>
        <w:rPr/>
      </w:pPr>
      <w:r>
        <w:rPr>
          <w:rFonts w:ascii="IRNazanin" w:hAnsi="IRNazanin" w:eastAsia="IRNazanin"/>
          <w:color w:val="111111"/>
          <w:sz w:val="28"/>
          <w:sz w:val="28"/>
          <w:szCs w:val="28"/>
          <w:rtl w:val="true"/>
          <w:lang w:bidi="fa-IR"/>
        </w:rPr>
        <w:t>تفاوت مشروعیت در عرف سیاسی با مشروعیت در اندیشه سیاسی اسلام</w:t>
      </w:r>
    </w:p>
    <w:p>
      <w:pPr>
        <w:pStyle w:val="BookText"/>
        <w:rPr/>
      </w:pPr>
      <w:r>
        <w:rPr>
          <w:rFonts w:ascii="IRNazanin" w:hAnsi="IRNazanin" w:eastAsia="IRNazanin"/>
          <w:color w:val="111111"/>
          <w:sz w:val="28"/>
          <w:sz w:val="28"/>
          <w:szCs w:val="28"/>
          <w:rtl w:val="true"/>
          <w:lang w:bidi="fa-IR"/>
        </w:rPr>
        <w:t>انواع مشروعیت الهی</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علیه‌السلام، مشروعیت الهی، مقبولیت مردمی</w:t>
      </w:r>
    </w:p>
    <w:p>
      <w:pPr>
        <w:pStyle w:val="BookText"/>
        <w:rPr/>
      </w:pPr>
      <w:r>
        <w:rPr>
          <w:rFonts w:ascii="IRNazanin" w:hAnsi="IRNazanin" w:eastAsia="IRNazanin"/>
          <w:color w:val="111111"/>
          <w:sz w:val="28"/>
          <w:sz w:val="28"/>
          <w:szCs w:val="28"/>
          <w:rtl w:val="true"/>
          <w:lang w:bidi="fa-IR"/>
        </w:rPr>
        <w:t>پذیرش حاکمیت، اجابت درخواست مردم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مردم بر حضرت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حضرت بر مردم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مدیریتی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کارگزاران حکومت</w:t>
      </w:r>
      <w:r>
        <w:rPr>
          <w:rFonts w:eastAsia="IRNazanin" w:cs="IRNazanin"/>
          <w:color w:val="111111"/>
          <w:sz w:val="28"/>
          <w:szCs w:val="28"/>
          <w:rtl w:val="true"/>
          <w:lang w:bidi="fa-IR"/>
        </w:rPr>
        <w:t xml:space="preserve">) </w:t>
      </w:r>
      <w:bookmarkStart w:id="293" w:name="pg12658_166788"/>
    </w:p>
    <w:p>
      <w:pPr>
        <w:pStyle w:val="Heading3"/>
        <w:numPr>
          <w:ilvl w:val="2"/>
          <w:numId w:val="1"/>
        </w:numPr>
        <w:rPr/>
      </w:pPr>
      <w:bookmarkStart w:id="294" w:name="__RefHeading___Toc643477_222507752"/>
      <w:bookmarkStart w:id="295" w:name="_Toc111"/>
      <w:bookmarkEnd w:id="293"/>
      <w:bookmarkEnd w:id="294"/>
      <w:r>
        <w:rPr>
          <w:rtl w:val="true"/>
        </w:rPr>
        <w:t>پیش‌درآمد</w:t>
      </w:r>
      <w:bookmarkEnd w:id="295"/>
    </w:p>
    <w:p>
      <w:pPr>
        <w:pStyle w:val="BookText"/>
        <w:rPr/>
      </w:pPr>
      <w:r>
        <w:rPr>
          <w:rFonts w:ascii="IRNazanin" w:hAnsi="IRNazanin" w:eastAsia="IRNazanin"/>
          <w:color w:val="111111"/>
          <w:sz w:val="28"/>
          <w:sz w:val="28"/>
          <w:szCs w:val="28"/>
          <w:rtl w:val="true"/>
          <w:lang w:bidi="fa-IR"/>
        </w:rPr>
        <w:t>حکومت جهانی حضرت مهدی موعود علیه‌السلام بر پایة بهره‌مندی آگاهانه، خردمندانه و خداپرستانه از همة منابع موجود و ظرفیت‌های ممکن در کرة زمین در راستای رشد و تعالی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برجسته‌ترین ظرفیت‌ها، تودة مردم است که در آن انقلاب جهانی نقشی کلیدی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پس از رهبری این قیام جهانی، در شکل‌دهی به نظام سیاسی آن حکومت جهانی، جایگاه بس ویژه‌ای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جایگاه و نقش، افزون بر آیات قرآن در برخی روایات نیز اشاره شده است که تلاش می‌شود در این درس به صورت کوتاه و گذرا بدان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بر این باور روشن است که اگرچه مشروعیت پیشوایان معصوم علیهم‌السلام در گرو گزینش الهی است، ولی پذیرش مردم رکنی اساسی برای اقدام ظاهری امام برای برپایی حکومت است که نبود آن سبب می‌شود تا امام از هرگونه تلاش برای گرفتن زمام امور حاکمیت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ارتباط مردم با حاکمیت معصوم علیه‌السلام دارای ارزش است</w:t>
      </w:r>
      <w:r>
        <w:rPr>
          <w:rFonts w:eastAsia="IRNazanin" w:cs="IRNazanin"/>
          <w:color w:val="111111"/>
          <w:sz w:val="28"/>
          <w:szCs w:val="28"/>
          <w:rtl w:val="true"/>
          <w:lang w:bidi="fa-IR"/>
        </w:rPr>
        <w:t>.</w:t>
      </w:r>
    </w:p>
    <w:p>
      <w:pPr>
        <w:pStyle w:val="Heading3"/>
        <w:numPr>
          <w:ilvl w:val="2"/>
          <w:numId w:val="1"/>
        </w:numPr>
        <w:rPr/>
      </w:pPr>
      <w:bookmarkStart w:id="296" w:name="__RefHeading___Toc643479_222507752"/>
      <w:bookmarkStart w:id="297" w:name="_Toc112"/>
      <w:bookmarkEnd w:id="296"/>
      <w:r>
        <w:rPr>
          <w:rtl w:val="true"/>
        </w:rPr>
        <w:t>یک</w:t>
      </w:r>
      <w:r>
        <w:rPr>
          <w:rtl w:val="true"/>
        </w:rPr>
        <w:t xml:space="preserve">. </w:t>
      </w:r>
      <w:r>
        <w:rPr>
          <w:rtl w:val="true"/>
        </w:rPr>
        <w:t>مشروعیت</w:t>
      </w:r>
      <w:bookmarkEnd w:id="297"/>
    </w:p>
    <w:p>
      <w:pPr>
        <w:pStyle w:val="Heading4"/>
        <w:numPr>
          <w:ilvl w:val="3"/>
          <w:numId w:val="1"/>
        </w:numPr>
        <w:rPr/>
      </w:pPr>
      <w:bookmarkStart w:id="298" w:name="__RefHeading___Toc643481_222507752"/>
      <w:bookmarkStart w:id="299" w:name="_Toc113"/>
      <w:bookmarkEnd w:id="298"/>
      <w:r>
        <w:rPr>
          <w:rtl w:val="true"/>
        </w:rPr>
        <w:t>اشاره</w:t>
      </w:r>
      <w:bookmarkEnd w:id="29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کهن‌ترین، پایه‌ای‌ترین و مهمترین مباحث فلسفه سیاسی و از بنیادی‌ترین و ریشه‌دارترین مسائل مربوط به حکومت و دولت در گذر تاریخ زندگی اجتماعی بشر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بیشترین مسائل سیاسی، اجتماعی و حکومتی بر این شالوده استوار بوده و ناهمگونی 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اندیشه‌وران علوم سیاسی نیز از این موضوع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تقسیم‌بندی حکومت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نیز با این مسأله رابطه تنگاتنگ </w:t>
      </w:r>
      <w:bookmarkStart w:id="300" w:name="pg12658_166790"/>
    </w:p>
    <w:p>
      <w:pPr>
        <w:pStyle w:val="BookText"/>
        <w:rPr/>
      </w:pPr>
      <w:bookmarkEnd w:id="300"/>
      <w:r>
        <w:rPr>
          <w:rFonts w:ascii="IRNazanin" w:hAnsi="IRNazanin" w:eastAsia="IRNazanin"/>
          <w:color w:val="111111"/>
          <w:sz w:val="28"/>
          <w:sz w:val="28"/>
          <w:szCs w:val="28"/>
          <w:rtl w:val="true"/>
          <w:lang w:bidi="fa-IR"/>
        </w:rPr>
        <w:t>و ناگسستنی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بررسی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مربوط به مشروعیت در پاسخ به این پرسش</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اساسی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حکومتی مشروع است؟</w:t>
      </w:r>
      <w:r>
        <w:rPr>
          <w:rFonts w:eastAsia="IRNazanin" w:cs="IRNazanin"/>
          <w:color w:val="111111"/>
          <w:sz w:val="28"/>
          <w:szCs w:val="28"/>
          <w:rtl w:val="true"/>
          <w:lang w:bidi="fa-IR"/>
        </w:rPr>
        <w:t>.</w:t>
      </w:r>
    </w:p>
    <w:p>
      <w:pPr>
        <w:pStyle w:val="Heading4"/>
        <w:numPr>
          <w:ilvl w:val="3"/>
          <w:numId w:val="1"/>
        </w:numPr>
        <w:rPr/>
      </w:pPr>
      <w:bookmarkStart w:id="301" w:name="__RefHeading___Toc643483_222507752"/>
      <w:bookmarkStart w:id="302" w:name="_Toc114"/>
      <w:bookmarkEnd w:id="301"/>
      <w:r>
        <w:rPr>
          <w:rtl w:val="true"/>
        </w:rPr>
        <w:t>مفهوم شناسی</w:t>
      </w:r>
      <w:bookmarkEnd w:id="302"/>
    </w:p>
    <w:p>
      <w:pPr>
        <w:pStyle w:val="Heading5"/>
        <w:numPr>
          <w:ilvl w:val="4"/>
          <w:numId w:val="1"/>
        </w:numPr>
        <w:rPr/>
      </w:pPr>
      <w:bookmarkStart w:id="303" w:name="__RefHeading___Toc643485_222507752"/>
      <w:bookmarkStart w:id="304" w:name="_Toc115"/>
      <w:bookmarkEnd w:id="303"/>
      <w:r>
        <w:rPr>
          <w:rtl w:val="true"/>
        </w:rPr>
        <w:t>الف</w:t>
      </w:r>
      <w:r>
        <w:rPr>
          <w:rtl w:val="true"/>
        </w:rPr>
        <w:t xml:space="preserve">) </w:t>
      </w:r>
      <w:r>
        <w:rPr>
          <w:rtl w:val="true"/>
        </w:rPr>
        <w:t>از نگاه لغت</w:t>
      </w:r>
      <w:bookmarkEnd w:id="304"/>
    </w:p>
    <w:p>
      <w:pPr>
        <w:pStyle w:val="BookText"/>
        <w:rPr/>
      </w:pPr>
      <w:r>
        <w:rPr>
          <w:rFonts w:ascii="IRNazanin" w:hAnsi="IRNazanin" w:eastAsia="IRNazanin"/>
          <w:color w:val="111111"/>
          <w:sz w:val="28"/>
          <w:sz w:val="28"/>
          <w:szCs w:val="28"/>
          <w:rtl w:val="true"/>
          <w:lang w:bidi="fa-IR"/>
        </w:rPr>
        <w:t xml:space="preserve">در لغت فارسی،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جعلی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فهم آن باید به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موافق شرع باشد، چیزی که طبق شرع جایز باشد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مشروع، یعنی حکومت مشروعه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حکومتی که منطبق بر قوانین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و در لغت عربی، برابر آن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دینی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نشان‌دادن و ترسیم راه روشن، اعم از مادّی و معنوی 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راه توسط خداوند ترسیم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از سوی شیاطین جنّی و انسی ترسیم شده باشد، باطل است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شرعی یعنی آنچه مطابق احکام و دستورات خداوند باشد</w:t>
      </w:r>
      <w:r>
        <w:rPr>
          <w:rFonts w:eastAsia="IRNazanin" w:cs="IRNazanin"/>
          <w:color w:val="111111"/>
          <w:sz w:val="28"/>
          <w:szCs w:val="28"/>
          <w:rtl w:val="true"/>
          <w:lang w:bidi="fa-IR"/>
        </w:rPr>
        <w:t>.</w:t>
      </w:r>
    </w:p>
    <w:p>
      <w:pPr>
        <w:pStyle w:val="Heading5"/>
        <w:numPr>
          <w:ilvl w:val="4"/>
          <w:numId w:val="1"/>
        </w:numPr>
        <w:rPr/>
      </w:pPr>
      <w:bookmarkStart w:id="305" w:name="__RefHeading___Toc643487_222507752"/>
      <w:bookmarkStart w:id="306" w:name="_Toc116"/>
      <w:bookmarkEnd w:id="305"/>
      <w:r>
        <w:rPr>
          <w:rtl w:val="true"/>
        </w:rPr>
        <w:t>ب</w:t>
      </w:r>
      <w:r>
        <w:rPr>
          <w:rtl w:val="true"/>
        </w:rPr>
        <w:t xml:space="preserve">) </w:t>
      </w:r>
      <w:r>
        <w:rPr>
          <w:rtl w:val="true"/>
        </w:rPr>
        <w:t>از نگاه اصطلاح</w:t>
      </w:r>
      <w:bookmarkEnd w:id="30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اصطلاح، در حوزه اندیشة سیاسی،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مختلفی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همة آن‌ها به نوعی به فرمان‌برداری مردم از زمامداران بر مردم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مقصود مطابقت با موازین و آموزه‌های شریعت اسلام است؛ یعنی حکومت و حاکمی مشروع است که پایگاه دینی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پایه، حکومتی </w:t>
      </w:r>
      <w:bookmarkStart w:id="307" w:name="pg12658_166792"/>
    </w:p>
    <w:p>
      <w:pPr>
        <w:pStyle w:val="BookText"/>
        <w:rPr/>
      </w:pPr>
      <w:bookmarkEnd w:id="307"/>
      <w:r>
        <w:rPr>
          <w:rFonts w:ascii="IRNazanin" w:hAnsi="IRNazanin" w:eastAsia="IRNazanin"/>
          <w:color w:val="111111"/>
          <w:sz w:val="28"/>
          <w:sz w:val="28"/>
          <w:szCs w:val="28"/>
          <w:rtl w:val="true"/>
          <w:lang w:bidi="fa-IR"/>
        </w:rPr>
        <w:t>که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 به موازین شرعی و الهی باشد، حقّانیت دارد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حکومت اسلامی گرچه وارستگی رهبر، مدیران و کارگزاران، بر اطاعت پذیری، علاقه و خشنودی مردم تأثیر روان‌شناختی دارد، ولی این نکته از حقّانیت حاکم و حکومت به‌طور کامل جدا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دیدگاه سیاسی اسلام، اگر حکومت یا حاکمی همة اسباب خشنودی مردم را فراهم کند، ولی هماهنگ موازین شریعت رفتار ننماید، مشروعیت دینی پیدا نمی‌کند و در برابر، حکومت و حاکمی که آموزه‌های دینی را رعایت کند و به احکام الهی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 باشد، همچنان که مشروعیت دینی دارد، باید اسباب خشنودی بیشتر مردم و حقوق طبیعی و شرعی ملّت را نیز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دینداران به سبب باور و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به شریعت، مشروعیت و مقبولیت جامعه‌شناسانه را نیز پدید می‌آورند</w:t>
      </w:r>
      <w:r>
        <w:rPr>
          <w:rFonts w:eastAsia="IRNazanin" w:cs="IRNazanin"/>
          <w:color w:val="111111"/>
          <w:sz w:val="28"/>
          <w:szCs w:val="28"/>
          <w:rtl w:val="true"/>
          <w:lang w:bidi="fa-IR"/>
        </w:rPr>
        <w:t>.</w:t>
      </w:r>
    </w:p>
    <w:p>
      <w:pPr>
        <w:pStyle w:val="Heading4"/>
        <w:numPr>
          <w:ilvl w:val="3"/>
          <w:numId w:val="1"/>
        </w:numPr>
        <w:rPr/>
      </w:pPr>
      <w:bookmarkStart w:id="308" w:name="__RefHeading___Toc643489_222507752"/>
      <w:bookmarkStart w:id="309" w:name="_Toc117"/>
      <w:bookmarkEnd w:id="308"/>
      <w:r>
        <w:rPr>
          <w:rtl w:val="true"/>
        </w:rPr>
        <w:t>تفاوت مشروعیت در عرف سیاسی با مشروعیت در اندیشه سیاسی اسلام</w:t>
      </w:r>
      <w:bookmarkEnd w:id="309"/>
    </w:p>
    <w:p>
      <w:pPr>
        <w:pStyle w:val="BookText"/>
        <w:rPr/>
      </w:pPr>
      <w:r>
        <w:rPr>
          <w:rFonts w:ascii="IRNazanin" w:hAnsi="IRNazanin" w:eastAsia="IRNazanin"/>
          <w:color w:val="111111"/>
          <w:sz w:val="28"/>
          <w:sz w:val="28"/>
          <w:szCs w:val="28"/>
          <w:rtl w:val="true"/>
          <w:lang w:bidi="fa-IR"/>
        </w:rPr>
        <w:t>تفاوت مشروعیت در دو عرصه اسلامی و سیاسی، در چهار بخش قابل‌دسته‌بندی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مشروعیت سیاسی، به فرمان‌برداری شهروندان از دستورهای حکومت بستگی دارد؛ بدین معنا که هرچه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 خشنودی فرمان‌برداری کنند، مشروعیت آن حکومت بیش‌تر؛ در برابر، چنان‌چه مردم فرمانبرداری چندانی از دستورات حکومتی نداشته باشند، مشروعیت آن حکومت کم‌تر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بینش اسلامی، یک حکومت یا مشروع است و یا مشروعیت ندارد و حد وسطی میان این دو تصوّر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مشروعیت سیاسی می‌تواند منابع مختلفی داشته باشد؛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سنتی، عقلانی یا قانونی؛</w:t>
      </w:r>
      <w:r>
        <w:rPr>
          <w:rStyle w:val="FootnoteAnchor"/>
          <w:rtl w:val="true"/>
        </w:rPr>
        <w:footnoteReference w:id="164"/>
      </w:r>
      <w:r>
        <w:rPr>
          <w:rFonts w:ascii="IRNazanin" w:hAnsi="IRNazanin" w:eastAsia="IRNazanin"/>
          <w:color w:val="111111"/>
          <w:sz w:val="28"/>
          <w:sz w:val="28"/>
          <w:szCs w:val="28"/>
          <w:rtl w:val="true"/>
          <w:lang w:bidi="fa-IR"/>
        </w:rPr>
        <w:t>ولی منبع مشروعیت در بینش اسلامی فقط نص و نظر شارع مقدس است که در دوران غیبت با اجتهاد فقیهان و کارشناسان اسلامی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مشروعیت سیاسی، نظر اکثریت مردم چه در مرحله تأسیس حکومت و چه پس از آن، معیار بنیادین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دیدگاه، حکومتی که در مرحله تأسیس هیچ </w:t>
      </w:r>
      <w:bookmarkStart w:id="310" w:name="pg12658_166794"/>
    </w:p>
    <w:p>
      <w:pPr>
        <w:pStyle w:val="BookText"/>
        <w:rPr/>
      </w:pPr>
      <w:bookmarkEnd w:id="310"/>
      <w:r>
        <w:rPr>
          <w:rFonts w:ascii="IRNazanin" w:hAnsi="IRNazanin" w:eastAsia="IRNazanin"/>
          <w:color w:val="111111"/>
          <w:sz w:val="28"/>
          <w:sz w:val="28"/>
          <w:szCs w:val="28"/>
          <w:rtl w:val="true"/>
          <w:lang w:bidi="fa-IR"/>
        </w:rPr>
        <w:t>مشروعیت سیاسی ندارد، می‌تواند بر اساس کارآمدی ناشی از اقدامات سیاسی، اجتماعی، فرهنگی، اقتصادی و نظامی خویش، خشنودی مردم را جلب کرده، مشروع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منظر اسلامی به طور معمول مشروعیت یک حکومت، بر تأسیس آن مقدم است؛ یعنی اگر حاکم مشروعیت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 وی نامشروع و غاصبانه خواهد بود، اگر چه خشنودی مردم پس از تشکیل حکومت جلب شود</w:t>
      </w:r>
      <w:r>
        <w:rPr>
          <w:rFonts w:eastAsia="IRNazanin" w:cs="IRNazanin"/>
          <w:color w:val="111111"/>
          <w:sz w:val="28"/>
          <w:szCs w:val="28"/>
          <w:rtl w:val="true"/>
          <w:lang w:bidi="fa-IR"/>
        </w:rPr>
        <w:t>.</w:t>
      </w:r>
      <w:r>
        <w:rPr>
          <w:rStyle w:val="FootnoteAnchor"/>
          <w:rtl w:val="true"/>
        </w:rPr>
        <w:footnoteReference w:id="165"/>
      </w:r>
    </w:p>
    <w:p>
      <w:pPr>
        <w:pStyle w:val="Heading4"/>
        <w:numPr>
          <w:ilvl w:val="3"/>
          <w:numId w:val="1"/>
        </w:numPr>
        <w:rPr/>
      </w:pPr>
      <w:bookmarkStart w:id="311" w:name="__RefHeading___Toc643491_222507752"/>
      <w:bookmarkStart w:id="312" w:name="_Toc118"/>
      <w:bookmarkEnd w:id="311"/>
      <w:r>
        <w:rPr>
          <w:rtl w:val="true"/>
        </w:rPr>
        <w:t>انواع مشروعیت الهی</w:t>
      </w:r>
      <w:bookmarkEnd w:id="312"/>
    </w:p>
    <w:p>
      <w:pPr>
        <w:pStyle w:val="Heading5"/>
        <w:numPr>
          <w:ilvl w:val="4"/>
          <w:numId w:val="1"/>
        </w:numPr>
        <w:rPr/>
      </w:pPr>
      <w:bookmarkStart w:id="313" w:name="__RefHeading___Toc643493_222507752"/>
      <w:bookmarkStart w:id="314" w:name="_Toc119"/>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اندیشمندان و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نظران اسلامی برای پاسخ به این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کسی باید حکومت کند؟ می‌گویند فقط خدا یا نمایندة او حق حاکمیت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از دو جنبه توحیدی و هستی شناسی از یک سوی و نیز انسان‌شناختی از سوی دیگر، بررسی می‌شود</w:t>
      </w:r>
      <w:r>
        <w:rPr>
          <w:rFonts w:eastAsia="IRNazanin" w:cs="IRNazanin"/>
          <w:color w:val="111111"/>
          <w:sz w:val="28"/>
          <w:szCs w:val="28"/>
          <w:rtl w:val="true"/>
          <w:lang w:bidi="fa-IR"/>
        </w:rPr>
        <w:t>.</w:t>
      </w:r>
    </w:p>
    <w:p>
      <w:pPr>
        <w:pStyle w:val="Heading5"/>
        <w:numPr>
          <w:ilvl w:val="4"/>
          <w:numId w:val="1"/>
        </w:numPr>
        <w:rPr/>
      </w:pPr>
      <w:bookmarkStart w:id="315" w:name="__RefHeading___Toc643495_222507752"/>
      <w:bookmarkStart w:id="316" w:name="_Toc120"/>
      <w:bookmarkEnd w:id="315"/>
      <w:r>
        <w:rPr>
          <w:rtl w:val="true"/>
        </w:rPr>
        <w:t>الف</w:t>
      </w:r>
      <w:r>
        <w:rPr>
          <w:rtl w:val="true"/>
        </w:rPr>
        <w:t xml:space="preserve">) </w:t>
      </w:r>
      <w:r>
        <w:rPr>
          <w:rtl w:val="true"/>
        </w:rPr>
        <w:t>مشروعیت الهی از جنبه هستی شناختی و توحید</w:t>
      </w:r>
      <w:bookmarkEnd w:id="316"/>
    </w:p>
    <w:p>
      <w:pPr>
        <w:pStyle w:val="BookText"/>
        <w:rPr/>
      </w:pPr>
      <w:r>
        <w:rPr>
          <w:rFonts w:ascii="IRNazanin" w:hAnsi="IRNazanin" w:eastAsia="IRNazanin"/>
          <w:color w:val="111111"/>
          <w:sz w:val="28"/>
          <w:sz w:val="28"/>
          <w:szCs w:val="28"/>
          <w:rtl w:val="true"/>
          <w:lang w:bidi="fa-IR"/>
        </w:rPr>
        <w:t>براین پایه، نه فقط آفرینندگی ویژه خداوند است، بلکه سرپرستی و ادارة امور جهان نیز از آنِ او است و کس دیگری جز او شایسته چنین جایگاهی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پیامبران و پیشوایان معصوم علیهم‌السلام به صرف برخورداری از مقام پیامبری و پیشوایی و فضیلت علم، چنین حقی را ندارند که بتوانند بر مردم حکومت یا داوری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هرگونه تصرّف و دخالت در نظام هستی و نیز در امور آدمیان، نیازمند اجازه خداوند است و هیچ‌کس از پیش خود، حق دخالت در سرنوشت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انحصار حق حاکمیت و ولایت خدای متعال آن است که او یگانه آفریدگار و یگانه مالک همگان است؛ به همین دلیل هرگونه تصرف او در مخلوقات در واقع تصرف در قلمرو ملک و سلطنت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فقط با اذن خداوند، فردی می‌تواند برسایرین حکمرانی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داشتن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مالک مطلق جهان، حکومت وی مشروعیت می‌یابد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قرآن به وضوح مشروعیت انحصاری حاکمیت خداوند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317" w:name="pg12658_166796"/>
    </w:p>
    <w:p>
      <w:pPr>
        <w:pStyle w:val="BookText"/>
        <w:rPr/>
      </w:pPr>
      <w:bookmarkEnd w:id="317"/>
      <w:r>
        <w:rPr>
          <w:rFonts w:ascii="Amiri" w:hAnsi="Amiri" w:eastAsia="Amiri" w:cs="Amiri"/>
          <w:color w:val="111111"/>
          <w:sz w:val="28"/>
          <w:sz w:val="28"/>
          <w:szCs w:val="28"/>
          <w:rtl w:val="true"/>
          <w:lang w:bidi="ar-SA"/>
        </w:rPr>
        <w:t>جمله 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الْحُکْمُ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حکم و فرمان تنها از آن خداست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و بدانید داوری مخصوص اوست و دیگر آیات که بیان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این بحث ضرورتی ندارد</w:t>
      </w:r>
      <w:r>
        <w:rPr>
          <w:rFonts w:eastAsia="IRNazanin" w:cs="IRNazanin"/>
          <w:color w:val="111111"/>
          <w:sz w:val="28"/>
          <w:szCs w:val="28"/>
          <w:rtl w:val="true"/>
          <w:lang w:bidi="fa-IR"/>
        </w:rPr>
        <w:t>.</w:t>
      </w:r>
      <w:r>
        <w:rPr>
          <w:rStyle w:val="FootnoteAnchor"/>
          <w:rtl w:val="true"/>
        </w:rPr>
        <w:footnoteReference w:id="168"/>
      </w:r>
    </w:p>
    <w:p>
      <w:pPr>
        <w:pStyle w:val="Heading5"/>
        <w:numPr>
          <w:ilvl w:val="4"/>
          <w:numId w:val="1"/>
        </w:numPr>
        <w:rPr/>
      </w:pPr>
      <w:bookmarkStart w:id="318" w:name="__RefHeading___Toc643497_222507752"/>
      <w:bookmarkStart w:id="319" w:name="_Toc121"/>
      <w:bookmarkEnd w:id="318"/>
      <w:r>
        <w:rPr>
          <w:rtl w:val="true"/>
        </w:rPr>
        <w:t>ب</w:t>
      </w:r>
      <w:r>
        <w:rPr>
          <w:rtl w:val="true"/>
        </w:rPr>
        <w:t xml:space="preserve">) </w:t>
      </w:r>
      <w:r>
        <w:rPr>
          <w:rtl w:val="true"/>
        </w:rPr>
        <w:t>مشروعیت الهی از جنبه انسان شناختی</w:t>
      </w:r>
      <w:bookmarkEnd w:id="319"/>
    </w:p>
    <w:p>
      <w:pPr>
        <w:pStyle w:val="BookText"/>
        <w:rPr/>
      </w:pPr>
      <w:r>
        <w:rPr>
          <w:rFonts w:ascii="IRNazanin" w:hAnsi="IRNazanin" w:eastAsia="IRNazanin"/>
          <w:color w:val="111111"/>
          <w:sz w:val="28"/>
          <w:sz w:val="28"/>
          <w:szCs w:val="28"/>
          <w:rtl w:val="true"/>
          <w:lang w:bidi="fa-IR"/>
        </w:rPr>
        <w:t>هر یک از ما در نهاد خود احساس آزادی، اراده و استقلال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خود را دارای خرد و فهم و صاحب نیروهای جسمی و روحی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همه موهبت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الهی که در همة افراد انسان به مراتب گوناگون و با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موهبت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خداوندی و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طبیعی اما، موجب نمی‌شود که فردی بر دیگری حق حاکمیت و ولایت پیدا کند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امام علی علیه‌السلام خطاب به فرزند خود، امام حسن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تَکُنْ عَبْدَ غَیْرِکَ وَ قَدْ جَعَلَکَ اللَّهُ حُرّاً؛</w:t>
      </w:r>
      <w:r>
        <w:rPr>
          <w:rStyle w:val="FootnoteAnchor"/>
          <w:rtl w:val="true"/>
        </w:rPr>
        <w:footnoteReference w:id="170"/>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دیگران مباش،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تو را آزاد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در جهان‌بینی الهی در همة عرصه‌های زندگی فردی و اجتماعی انسان، حضور خدا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عرصه‌های قانون‌گزاری، روش‌ها و شیوه‌های اجرای قوانین، تعلیم و تربیت، رهبری و حاکمیت در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نظریه حکومت به خودی خود اصالت ندارد، بلکه بستری است برای برپایی عدالت و تعالی انسان و سرانجام نزدیکی او به خداوند و رسیدن به سعادت جاودانه</w:t>
      </w:r>
      <w:r>
        <w:rPr>
          <w:rFonts w:eastAsia="IRNazanin" w:cs="IRNazanin"/>
          <w:color w:val="111111"/>
          <w:sz w:val="28"/>
          <w:szCs w:val="28"/>
          <w:rtl w:val="true"/>
          <w:lang w:bidi="fa-IR"/>
        </w:rPr>
        <w:t>.</w:t>
      </w:r>
    </w:p>
    <w:p>
      <w:pPr>
        <w:pStyle w:val="Heading3"/>
        <w:numPr>
          <w:ilvl w:val="2"/>
          <w:numId w:val="1"/>
        </w:numPr>
        <w:rPr/>
      </w:pPr>
      <w:bookmarkStart w:id="320" w:name="__RefHeading___Toc643499_222507752"/>
      <w:bookmarkStart w:id="321" w:name="_Toc122"/>
      <w:bookmarkEnd w:id="320"/>
      <w:r>
        <w:rPr>
          <w:rtl w:val="true"/>
        </w:rPr>
        <w:t>دو</w:t>
      </w:r>
      <w:r>
        <w:rPr>
          <w:rtl w:val="true"/>
        </w:rPr>
        <w:t xml:space="preserve">. </w:t>
      </w:r>
      <w:r>
        <w:rPr>
          <w:rtl w:val="true"/>
        </w:rPr>
        <w:t xml:space="preserve">مقبولیت </w:t>
      </w:r>
      <w:r>
        <w:rPr>
          <w:rtl w:val="true"/>
        </w:rPr>
        <w:t>(</w:t>
      </w:r>
      <w:r>
        <w:rPr>
          <w:rtl w:val="true"/>
        </w:rPr>
        <w:t>پذیرش مردم</w:t>
      </w:r>
      <w:r>
        <w:rPr>
          <w:rtl w:val="true"/>
        </w:rPr>
        <w:t>)</w:t>
      </w:r>
      <w:bookmarkEnd w:id="321"/>
    </w:p>
    <w:p>
      <w:pPr>
        <w:pStyle w:val="Heading4"/>
        <w:numPr>
          <w:ilvl w:val="3"/>
          <w:numId w:val="1"/>
        </w:numPr>
        <w:rPr/>
      </w:pPr>
      <w:bookmarkStart w:id="322" w:name="__RefHeading___Toc643501_222507752"/>
      <w:bookmarkStart w:id="323" w:name="_Toc123"/>
      <w:bookmarkEnd w:id="322"/>
      <w:r>
        <w:rPr>
          <w:rtl w:val="true"/>
        </w:rPr>
        <w:t>اشاره</w:t>
      </w:r>
      <w:bookmarkEnd w:id="32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مردم نباید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توانند پشتوانة اعتبار و مشروعیت حکومت اسلامی باشند و به‌طور اساسی حکومت اسلامی نمود حاکمیت الهی است که در مشروعیت خویش </w:t>
      </w:r>
    </w:p>
    <w:p>
      <w:pPr>
        <w:pStyle w:val="BookText"/>
        <w:rPr/>
      </w:pPr>
      <w:r>
        <w:rPr>
          <w:rFonts w:ascii="IRNazanin" w:hAnsi="IRNazanin" w:eastAsia="IRNazanin"/>
          <w:color w:val="111111"/>
          <w:sz w:val="28"/>
          <w:sz w:val="28"/>
          <w:szCs w:val="28"/>
          <w:rtl w:val="true"/>
          <w:lang w:bidi="fa-IR"/>
        </w:rPr>
        <w:t>نیازمند اندیشه و رأی انسان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بلکه مشروعیت آن با اصل آن آمیخته است، ولی جریان و عینیت‌یافتن حکومت اسلامی جز با رأی موافق و هم‌سوی مردم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بحثی با عنوان مقبولیت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پذیرفته‌شده و پسندیده، گرفته شده است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و از نظر حکومت و سیاست یعنی اقبال همگانی و پذیرش مردمی که بنابراین با واژه مشروعیت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سیاسی اسلام، مقبولیت و رأی مردم جایگاه خود را دارد، ولی مشروعیت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اگر اسلام چیزی را نهی کرده است، مردم حق ندارند با رأی و گزینش خود آن را پذیرفته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رأی و نظر مردم تا آنگاه است که با دین تناقضی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پایة این مبانی، مشروعیت دینی محور است و بر مقبولیت مردمی برتری دارد و اگر مقبولیت برود، مشروعیت از میان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بلکه پدیدآمدن آن با چالش روبه‌رو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پیامبر اکرم صلی‌الله علیه و آله وسلم در بارة حقیقت اقبال و توجه مردم به حضرت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إِنَّمَا أَنْتَ بِمَنْزِلَةِ الْکَعْبَةِ تُؤْتَی وَ لَا تَأْتِی فَإِنْ أَتَاکَ هَؤُلَاءِ الْقَوْمُ فَسَلَّمُوا لَکَ هَذَا الْأَمْرَ فَاقْبَلْهُ مِنْهُمْ وَ إِنْ لَمْ یَأْتُوکَ فَلَا تَأْتِهِم؛</w:t>
      </w:r>
      <w:r>
        <w:rPr>
          <w:rStyle w:val="FootnoteAnchor"/>
          <w:rtl w:val="true"/>
        </w:rPr>
        <w:footnoteReference w:id="173"/>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منزلة کعبه هستی که نزد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او نزد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مردمان نزد تو آمدند و امر حکومت را بر تو عرضه داشتند پس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نزد تو نیامدند تو پیش آنها نرو</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و احادیث مانند آن، به روشنی‌می‌رساند در صورتی امام برای برپایی حکومت وظیفه دارد، که مردم به سوی او آیند و زمینة تشکیل حکومت او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امام نسبت به برپایی حکومت وظیفه‌ای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چنانچه حضرت علی علیه‌السلام پس از رحلت پیامبر صلی الله علیه و آله از حکومت کناره‌گیری کرد، اگر چه هرگز مسلمانان را در برابر مشکلات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تنها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و تأثیر مقبولیت مردمی در جامعة اسلامی تا آن‌جا ارزش دارد که امام علی علیه‌السلام یکی از عوامل مهم پذیرش خلافت را همین مسأله برمی‌شمارد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 الَّذِی فَلَقَ الْحَبَّةَ وَ بَرَأَ النَّسَمَةَ لَوْ لَا حُضُورُ الْحَاضِرِ وَ قِیَامُ الْحُجَّةِ بِوُجُودِ النَّاصِرِ وَ مَا أَخَذَ اللَّهُ عَلَی الْعُلَمَاءِ أَلَّا یُقَارُّوا عَلَی کِظَّةِ ظَالِمٍ وَ لَا سَغَبِ مَظْلُومٍ لَأَلْقَیْتُ حَبْلَهَا عَلَی غَارِبِهَا وَ لَسَقَیْتُ آخِرَهَا بِکَأْسِ أَوَّلِهَا؛</w:t>
      </w:r>
      <w:r>
        <w:rPr>
          <w:rStyle w:val="FootnoteAnchor"/>
          <w:rtl w:val="true"/>
        </w:rPr>
        <w:footnoteReference w:id="174"/>
      </w:r>
      <w:r>
        <w:rPr>
          <w:rFonts w:ascii="IRNazanin" w:hAnsi="IRNazanin" w:eastAsia="IRNazanin"/>
          <w:color w:val="111111"/>
          <w:sz w:val="28"/>
          <w:sz w:val="28"/>
          <w:szCs w:val="28"/>
          <w:rtl w:val="true"/>
          <w:lang w:bidi="fa-IR"/>
        </w:rPr>
        <w:t>به خدایی که دانه را شکافت و جان را آفرید، اگر این بیعت کنندگان نبودند، و یاران، حجّت بر من تمام نمی‌نمودند، و خدا علما را نفرموده بود تا ستمکار شکمباره را برنتابند و به یاری گرسنگان ستمدیده بشتابند، رشته این کار را از دست می‌گذاشتم و پایانش را چون آغازش می‌انگاشتم و چون گذشته، خود را به کناری می‌داشتم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این که امام معصوم از سوی خداوند به حکومت منصوب شده است، ولی این مردم هستند که باید به سوی او روی آورند و با حمایت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دریغ خود زمینة برپایی حکومت را فراهم آورند و تا آنگاه که چنین آمادگی در جامعه پدید نیامده است، امام اقدام به برپایی حکومت نمی‌کند، بلکه فقط خود را در معرض خلافت و رهبری قرار می‌دهد و مردم را به سوی خویش فرا می‌خواند تا چنین زمینه‌ای در جامعه پدید آید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پایه با جداکردن میان مشروعیت و مقبولیت، با وجود پافشاری بر قوانین و حاکمیت الهی و جانشینان او، به نقش مردم در فرایند تصمیم‌گیری نیز توجهی ویژه می‌شود؛ زیرا مقتضای حکومت دینی، پذیرش مردمی است و مردم در نظام‌های ولایی محجور و مجبور نیستند</w:t>
      </w:r>
      <w:r>
        <w:rPr>
          <w:rFonts w:eastAsia="IRNazanin" w:cs="IRNazanin"/>
          <w:color w:val="111111"/>
          <w:sz w:val="28"/>
          <w:szCs w:val="28"/>
          <w:rtl w:val="true"/>
          <w:lang w:bidi="fa-IR"/>
        </w:rPr>
        <w:t xml:space="preserve">. </w:t>
      </w:r>
      <w:bookmarkStart w:id="324" w:name="pg12658_166803"/>
    </w:p>
    <w:p>
      <w:pPr>
        <w:pStyle w:val="Heading4"/>
        <w:numPr>
          <w:ilvl w:val="3"/>
          <w:numId w:val="1"/>
        </w:numPr>
        <w:rPr/>
      </w:pPr>
      <w:bookmarkStart w:id="325" w:name="__RefHeading___Toc643503_222507752"/>
      <w:bookmarkStart w:id="326" w:name="_Toc124"/>
      <w:bookmarkEnd w:id="324"/>
      <w:bookmarkEnd w:id="325"/>
      <w:r>
        <w:rPr>
          <w:rtl w:val="true"/>
        </w:rPr>
        <w:t>امام مهدی علیه‌السلام؛ مشروعیت الهی، مقبولیت مردمی</w:t>
      </w:r>
      <w:bookmarkEnd w:id="326"/>
    </w:p>
    <w:p>
      <w:pPr>
        <w:pStyle w:val="BookText"/>
        <w:rPr/>
      </w:pPr>
      <w:r>
        <w:rPr>
          <w:rFonts w:ascii="IRNazanin" w:hAnsi="IRNazanin" w:eastAsia="IRNazanin"/>
          <w:color w:val="111111"/>
          <w:sz w:val="28"/>
          <w:sz w:val="28"/>
          <w:szCs w:val="28"/>
          <w:rtl w:val="true"/>
          <w:lang w:bidi="fa-IR"/>
        </w:rPr>
        <w:t>در پدیدآمدن حاکمیت مهدوی نیز از دو جهت مشروعیت و مقبولیت بررسی‌شدنی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معتبری در دست است که مشروعیت حکومت حضرت مهدی علیه‌السلام را به خداوند استناد می‌دهند و حضرتش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مضمون با تعبیرهای گوناگون در روایات شیعه و اهل سنت به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منابع اهل سنت می‌توان به مسند احمد بن حنبل،</w:t>
      </w:r>
      <w:r>
        <w:rPr>
          <w:rStyle w:val="FootnoteAnchor"/>
          <w:rtl w:val="true"/>
        </w:rPr>
        <w:footnoteReference w:id="175"/>
      </w:r>
      <w:r>
        <w:rPr>
          <w:rFonts w:ascii="IRNazanin" w:hAnsi="IRNazanin" w:eastAsia="IRNazanin"/>
          <w:color w:val="111111"/>
          <w:sz w:val="28"/>
          <w:sz w:val="28"/>
          <w:szCs w:val="28"/>
          <w:rtl w:val="true"/>
          <w:lang w:bidi="fa-IR"/>
        </w:rPr>
        <w:t>المستدرک حاکم،</w:t>
      </w:r>
      <w:r>
        <w:rPr>
          <w:rStyle w:val="FootnoteAnchor"/>
          <w:rtl w:val="true"/>
        </w:rPr>
        <w:footnoteReference w:id="176"/>
      </w:r>
      <w:r>
        <w:rPr>
          <w:rFonts w:ascii="IRNazanin" w:hAnsi="IRNazanin" w:eastAsia="IRNazanin"/>
          <w:color w:val="111111"/>
          <w:sz w:val="28"/>
          <w:sz w:val="28"/>
          <w:szCs w:val="28"/>
          <w:rtl w:val="true"/>
          <w:lang w:bidi="fa-IR"/>
        </w:rPr>
        <w:t>البدایه و النهایه ابن کثیر،</w:t>
      </w:r>
      <w:r>
        <w:rPr>
          <w:rStyle w:val="FootnoteAnchor"/>
          <w:rtl w:val="true"/>
        </w:rPr>
        <w:footnoteReference w:id="177"/>
      </w:r>
      <w:r>
        <w:rPr>
          <w:rFonts w:ascii="IRNazanin" w:hAnsi="IRNazanin" w:eastAsia="IRNazanin"/>
          <w:color w:val="111111"/>
          <w:sz w:val="28"/>
          <w:sz w:val="28"/>
          <w:szCs w:val="28"/>
          <w:rtl w:val="true"/>
          <w:lang w:bidi="fa-IR"/>
        </w:rPr>
        <w:t>الدر المنثور سیوطی</w:t>
      </w:r>
      <w:r>
        <w:rPr>
          <w:rStyle w:val="FootnoteAnchor"/>
          <w:rtl w:val="true"/>
        </w:rPr>
        <w:footnoteReference w:id="178"/>
      </w:r>
      <w:r>
        <w:rPr>
          <w:rFonts w:ascii="IRNazanin" w:hAnsi="IRNazanin" w:eastAsia="IRNazanin"/>
          <w:color w:val="111111"/>
          <w:sz w:val="28"/>
          <w:sz w:val="28"/>
          <w:szCs w:val="28"/>
          <w:rtl w:val="true"/>
          <w:lang w:bidi="fa-IR"/>
        </w:rPr>
        <w:t>و کنز العمال متقی هندی</w:t>
      </w:r>
      <w:r>
        <w:rPr>
          <w:rStyle w:val="FootnoteAnchor"/>
          <w:rtl w:val="true"/>
        </w:rPr>
        <w:footnoteReference w:id="179"/>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منابع روایی شیعی آثاری چون عیون اخبار الرضا علیه‌السلام،</w:t>
      </w:r>
      <w:r>
        <w:rPr>
          <w:rStyle w:val="FootnoteAnchor"/>
          <w:rtl w:val="true"/>
        </w:rPr>
        <w:footnoteReference w:id="180"/>
      </w:r>
      <w:r>
        <w:rPr>
          <w:rFonts w:ascii="IRNazanin" w:hAnsi="IRNazanin" w:eastAsia="IRNazanin"/>
          <w:color w:val="111111"/>
          <w:sz w:val="28"/>
          <w:sz w:val="28"/>
          <w:szCs w:val="28"/>
          <w:rtl w:val="true"/>
          <w:lang w:bidi="fa-IR"/>
        </w:rPr>
        <w:t>کشف الغمه،</w:t>
      </w:r>
      <w:r>
        <w:rPr>
          <w:rStyle w:val="FootnoteAnchor"/>
          <w:rtl w:val="true"/>
        </w:rPr>
        <w:footnoteReference w:id="181"/>
      </w:r>
      <w:r>
        <w:rPr>
          <w:rFonts w:ascii="IRNazanin" w:hAnsi="IRNazanin" w:eastAsia="IRNazanin"/>
          <w:color w:val="111111"/>
          <w:sz w:val="28"/>
          <w:sz w:val="28"/>
          <w:szCs w:val="28"/>
          <w:rtl w:val="true"/>
          <w:lang w:bidi="fa-IR"/>
        </w:rPr>
        <w:t>کفایة الاثر،</w:t>
      </w:r>
      <w:r>
        <w:rPr>
          <w:rStyle w:val="FootnoteAnchor"/>
          <w:rtl w:val="true"/>
        </w:rPr>
        <w:footnoteReference w:id="182"/>
      </w:r>
      <w:r>
        <w:rPr>
          <w:rFonts w:ascii="IRNazanin" w:hAnsi="IRNazanin" w:eastAsia="IRNazanin"/>
          <w:color w:val="111111"/>
          <w:sz w:val="28"/>
          <w:sz w:val="28"/>
          <w:szCs w:val="28"/>
          <w:rtl w:val="true"/>
          <w:lang w:bidi="fa-IR"/>
        </w:rPr>
        <w:t>و آثار دیگر، روایاتی را با این مضمون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روایات، امام خلیفه خدا و جانشین پیامبر صلی الله علیه و آله است و وکیلی نیست که مردم او را برگزیده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مسئله گزینش مردم بود، این امر از سقیفه بر می‌آمد و نیازی به غدیر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مردم‌سالاری مهدوی به این معنا نیست که امام را مردم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امام مهدی علیه‌السلام به نصب الهی مشروعیت یافته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 آنگاه که قرار است حکومتی به‌گونه‌ای کامل الهی باشد و احکام و قوانین خداوند را در ابعاد گوناگون در جامعة بشری اجرا کند، رهبرش باید از دو ویژگی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آگاهی کامل به شریعت و دیگر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ویژگی‌هایی که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تشخیص آن در افراد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انتصاب الهی ضرورت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327" w:name="pg12658_166805"/>
    </w:p>
    <w:p>
      <w:pPr>
        <w:pStyle w:val="BookText"/>
        <w:rPr/>
      </w:pPr>
      <w:bookmarkEnd w:id="327"/>
      <w:r>
        <w:rPr>
          <w:rFonts w:ascii="IRNazanin" w:hAnsi="IRNazanin" w:eastAsia="IRNazanin"/>
          <w:color w:val="111111"/>
          <w:sz w:val="28"/>
          <w:sz w:val="28"/>
          <w:szCs w:val="28"/>
          <w:rtl w:val="true"/>
          <w:lang w:bidi="fa-IR"/>
        </w:rPr>
        <w:t>سوی دیگر، در روایات آمده است که راهبر حکومت موعود جهانی دین را تجدید می‌کند</w:t>
      </w:r>
      <w:r>
        <w:rPr>
          <w:rFonts w:eastAsia="IRNazanin" w:cs="IRNazanin"/>
          <w:color w:val="111111"/>
          <w:sz w:val="28"/>
          <w:szCs w:val="28"/>
          <w:rtl w:val="true"/>
          <w:lang w:bidi="fa-IR"/>
        </w:rPr>
        <w:t>.</w:t>
      </w:r>
    </w:p>
    <w:p>
      <w:pPr>
        <w:pStyle w:val="Heading4"/>
        <w:numPr>
          <w:ilvl w:val="3"/>
          <w:numId w:val="1"/>
        </w:numPr>
        <w:rPr/>
      </w:pPr>
      <w:bookmarkStart w:id="328" w:name="__RefHeading___Toc643505_222507752"/>
      <w:bookmarkStart w:id="329" w:name="_Toc125"/>
      <w:bookmarkEnd w:id="328"/>
      <w:r>
        <w:rPr>
          <w:rtl w:val="true"/>
        </w:rPr>
        <w:t>پذیرش حاکمیت، اجابت درخواست مردم</w:t>
      </w:r>
      <w:bookmarkEnd w:id="329"/>
    </w:p>
    <w:p>
      <w:pPr>
        <w:pStyle w:val="BookText"/>
        <w:rPr/>
      </w:pPr>
      <w:r>
        <w:rPr>
          <w:rFonts w:ascii="IRNazanin" w:hAnsi="IRNazanin" w:eastAsia="IRNazanin"/>
          <w:color w:val="111111"/>
          <w:sz w:val="28"/>
          <w:sz w:val="28"/>
          <w:szCs w:val="28"/>
          <w:rtl w:val="true"/>
          <w:lang w:bidi="fa-IR"/>
        </w:rPr>
        <w:t>نقش مردم در حکومت آن حضرت، فراهم‌آوردن مقدمات و برپایی زمینه برای شکل‌گیری حکومت جهانی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پذیرش مردمی فقط در، خواست و رأی اکثریت جلوه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بیشتر مردم با امام بیعت می‌کنند، بلکه زمانی فرا خواهد رسید که آنان به چنان عطش و شیفتگی می‌رسند که نیاز به حکومت جهانی موعود را با تمام وجود درک می‌کنند و آن را یگانه سازوکار برای شکل‌گیری آرمان‌ها و اهداف عالی انسانی می‌دانند و به آن عشق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نظام سیاسی نه فقط بر آرای مردمی متکی است و پذیرش مردمی را به هم‌راه دارد،بلکه اطمینان خاطر مردم را نیز سبب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نظام، میان حکومت امام و مردم فقط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ـ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بلکه رابطه مرید و مراد و محبوب و محب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از امام باقر علیه‌السلام روایت کرده که در بارة ورود حضرت مهدی علیه‌السلام به کوفه و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رانی برای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خاطر اشتیاق به آن حضرت آنگونه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سخنان مهدی علیه‌السلام شنیده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مردم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انسانی که برای رسیدن به خوش‌بختی هر راهی را پیش گرفته و به بن‌بست رسیده، حال این‌گونه به اشتیاق و اضطرار حکومت موعود علیه‌السلام می‌رسد و با همة هستی آمادة یاری و جان‌بازی در کنار او می‌گردد</w:t>
      </w:r>
      <w:r>
        <w:rPr>
          <w:rFonts w:eastAsia="IRNazanin" w:cs="IRNazanin"/>
          <w:color w:val="111111"/>
          <w:sz w:val="28"/>
          <w:szCs w:val="28"/>
          <w:rtl w:val="true"/>
          <w:lang w:bidi="fa-IR"/>
        </w:rPr>
        <w:t>.</w:t>
      </w:r>
    </w:p>
    <w:p>
      <w:pPr>
        <w:pStyle w:val="Heading4"/>
        <w:numPr>
          <w:ilvl w:val="3"/>
          <w:numId w:val="1"/>
        </w:numPr>
        <w:rPr/>
      </w:pPr>
      <w:bookmarkStart w:id="330" w:name="__RefHeading___Toc643507_222507752"/>
      <w:bookmarkStart w:id="331" w:name="_Toc126"/>
      <w:bookmarkEnd w:id="330"/>
      <w:r>
        <w:rPr>
          <w:rtl w:val="true"/>
        </w:rPr>
        <w:t xml:space="preserve">همکاری همگانی </w:t>
      </w:r>
      <w:r>
        <w:rPr>
          <w:rtl w:val="true"/>
        </w:rPr>
        <w:t>(</w:t>
      </w:r>
      <w:r>
        <w:rPr>
          <w:rtl w:val="true"/>
        </w:rPr>
        <w:t>رابطه ولی و مولی</w:t>
      </w:r>
      <w:r>
        <w:rPr>
          <w:rtl w:val="true"/>
        </w:rPr>
        <w:t>)</w:t>
      </w:r>
      <w:bookmarkEnd w:id="331"/>
    </w:p>
    <w:p>
      <w:pPr>
        <w:pStyle w:val="Heading5"/>
        <w:numPr>
          <w:ilvl w:val="4"/>
          <w:numId w:val="1"/>
        </w:numPr>
        <w:rPr/>
      </w:pPr>
      <w:bookmarkStart w:id="332" w:name="__RefHeading___Toc643509_222507752"/>
      <w:bookmarkStart w:id="333" w:name="_Toc127"/>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با توجه به آنچه گذشت به این نتیجه می‌رسیم که مردم و نهاد حاکمیت از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جدا نبوده، یار و پشتیبان هم هستند، و والی و مردم بر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حقوق متقابلی دارند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این حقوق در روایات اشاره شده است</w:t>
      </w:r>
      <w:r>
        <w:rPr>
          <w:rFonts w:eastAsia="IRNazanin" w:cs="IRNazanin"/>
          <w:color w:val="111111"/>
          <w:sz w:val="28"/>
          <w:szCs w:val="28"/>
          <w:rtl w:val="true"/>
          <w:lang w:bidi="fa-IR"/>
        </w:rPr>
        <w:t xml:space="preserve">: </w:t>
      </w:r>
      <w:bookmarkStart w:id="334" w:name="pg12658_166807"/>
    </w:p>
    <w:p>
      <w:pPr>
        <w:pStyle w:val="Heading5"/>
        <w:numPr>
          <w:ilvl w:val="4"/>
          <w:numId w:val="1"/>
        </w:numPr>
        <w:rPr/>
      </w:pPr>
      <w:bookmarkStart w:id="335" w:name="__RefHeading___Toc643511_222507752"/>
      <w:bookmarkStart w:id="336" w:name="_Toc128"/>
      <w:bookmarkEnd w:id="334"/>
      <w:bookmarkEnd w:id="335"/>
      <w:r>
        <w:rPr/>
        <w:t>1</w:t>
      </w:r>
      <w:r>
        <w:rPr>
          <w:rtl w:val="true"/>
        </w:rPr>
        <w:t xml:space="preserve">. </w:t>
      </w:r>
      <w:r>
        <w:rPr>
          <w:rtl w:val="true"/>
        </w:rPr>
        <w:t>حقوق مردم بر حضرت</w:t>
      </w:r>
      <w:bookmarkEnd w:id="336"/>
    </w:p>
    <w:p>
      <w:pPr>
        <w:pStyle w:val="Heading6"/>
        <w:numPr>
          <w:ilvl w:val="5"/>
          <w:numId w:val="1"/>
        </w:numPr>
        <w:rPr/>
      </w:pPr>
      <w:bookmarkStart w:id="337" w:name="__RefHeading___Toc643513_222507752"/>
      <w:bookmarkStart w:id="338" w:name="_Toc129"/>
      <w:bookmarkEnd w:id="337"/>
      <w:r>
        <w:rPr>
          <w:rtl w:val="true"/>
        </w:rPr>
        <w:t>یک</w:t>
      </w:r>
      <w:r>
        <w:rPr>
          <w:rtl w:val="true"/>
        </w:rPr>
        <w:t xml:space="preserve">. </w:t>
      </w:r>
      <w:r>
        <w:rPr>
          <w:rtl w:val="true"/>
        </w:rPr>
        <w:t>خیرخواهی</w:t>
      </w:r>
      <w:bookmarkEnd w:id="338"/>
    </w:p>
    <w:p>
      <w:pPr>
        <w:pStyle w:val="BookText"/>
        <w:rPr/>
      </w:pPr>
      <w:r>
        <w:rPr>
          <w:rFonts w:ascii="IRNazanin" w:hAnsi="IRNazanin" w:eastAsia="IRNazanin"/>
          <w:color w:val="111111"/>
          <w:sz w:val="28"/>
          <w:sz w:val="28"/>
          <w:szCs w:val="28"/>
          <w:rtl w:val="true"/>
          <w:lang w:bidi="fa-IR"/>
        </w:rPr>
        <w:t>بنیاد و شالودة حکومت در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بر خیرخواهی برای مردم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برپایی حکومت عدل جهانی به دست موعود منجی در یک مقیاس جهانی بر این امر پافشاری 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پایة این حکومت بر اجرای عدالت بر کرة زمین است و چه خیرخواهی بالاتر از گسترش عدالت در همة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همة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Style w:val="FootnoteAnchor"/>
          <w:rtl w:val="true"/>
        </w:rPr>
        <w:footnoteReference w:id="184"/>
      </w:r>
    </w:p>
    <w:p>
      <w:pPr>
        <w:pStyle w:val="Heading6"/>
        <w:numPr>
          <w:ilvl w:val="5"/>
          <w:numId w:val="1"/>
        </w:numPr>
        <w:rPr/>
      </w:pPr>
      <w:bookmarkStart w:id="339" w:name="__RefHeading___Toc643515_222507752"/>
      <w:bookmarkStart w:id="340" w:name="_Toc130"/>
      <w:bookmarkEnd w:id="339"/>
      <w:r>
        <w:rPr>
          <w:rtl w:val="true"/>
        </w:rPr>
        <w:t>دو</w:t>
      </w:r>
      <w:r>
        <w:rPr>
          <w:rtl w:val="true"/>
        </w:rPr>
        <w:t xml:space="preserve">. </w:t>
      </w:r>
      <w:r>
        <w:rPr>
          <w:rtl w:val="true"/>
        </w:rPr>
        <w:t>رفاه و آسایش</w:t>
      </w:r>
      <w:bookmarkEnd w:id="340"/>
    </w:p>
    <w:p>
      <w:pPr>
        <w:pStyle w:val="BookText"/>
        <w:rPr/>
      </w:pPr>
      <w:r>
        <w:rPr>
          <w:rFonts w:ascii="IRNazanin" w:hAnsi="IRNazanin" w:eastAsia="IRNazanin"/>
          <w:color w:val="111111"/>
          <w:sz w:val="28"/>
          <w:sz w:val="28"/>
          <w:szCs w:val="28"/>
          <w:rtl w:val="true"/>
          <w:lang w:bidi="fa-IR"/>
        </w:rPr>
        <w:t>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مهم حکومت جهانی حضرت مهدی علیه‌السلام فراهم‌ساختن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رفاه همگانی و آسایش برای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رفاهی که سبب دوری مردم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نه رفاهی که خود به خود حاصل شود که در پس تدبیر آن حضرت و تلاش فراوان مردم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در وصف این رفاه و آسایش گفته شده مانند آن را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هرگز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Style w:val="FootnoteAnchor"/>
          <w:rtl w:val="true"/>
        </w:rPr>
        <w:footnoteReference w:id="185"/>
      </w:r>
    </w:p>
    <w:p>
      <w:pPr>
        <w:pStyle w:val="Heading6"/>
        <w:numPr>
          <w:ilvl w:val="5"/>
          <w:numId w:val="1"/>
        </w:numPr>
        <w:rPr/>
      </w:pPr>
      <w:bookmarkStart w:id="341" w:name="__RefHeading___Toc643517_222507752"/>
      <w:bookmarkStart w:id="342" w:name="_Toc131"/>
      <w:bookmarkEnd w:id="341"/>
      <w:r>
        <w:rPr>
          <w:rtl w:val="true"/>
        </w:rPr>
        <w:t>سه</w:t>
      </w:r>
      <w:r>
        <w:rPr>
          <w:rtl w:val="true"/>
        </w:rPr>
        <w:t xml:space="preserve">. </w:t>
      </w:r>
      <w:r>
        <w:rPr>
          <w:rtl w:val="true"/>
        </w:rPr>
        <w:t>آموزش</w:t>
      </w:r>
      <w:bookmarkEnd w:id="342"/>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گمان آموزش در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زندگی فردی و اجتماعی، نقش ارزنده و اساسی در رشد و کمال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شاخص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حکومت جهانی حضرت مهدی علیه‌السلام گسترش علم و دانش میان همة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w:t>
      </w:r>
      <w:r>
        <w:rPr>
          <w:rStyle w:val="FootnoteAnchor"/>
          <w:rtl w:val="true"/>
        </w:rPr>
        <w:footnoteReference w:id="186"/>
      </w:r>
    </w:p>
    <w:p>
      <w:pPr>
        <w:pStyle w:val="Heading6"/>
        <w:numPr>
          <w:ilvl w:val="5"/>
          <w:numId w:val="1"/>
        </w:numPr>
        <w:rPr/>
      </w:pPr>
      <w:bookmarkStart w:id="343" w:name="__RefHeading___Toc643519_222507752"/>
      <w:bookmarkStart w:id="344" w:name="_Toc132"/>
      <w:bookmarkEnd w:id="343"/>
      <w:r>
        <w:rPr>
          <w:rtl w:val="true"/>
        </w:rPr>
        <w:t>چهار</w:t>
      </w:r>
      <w:r>
        <w:rPr>
          <w:rtl w:val="true"/>
        </w:rPr>
        <w:t xml:space="preserve">. </w:t>
      </w:r>
      <w:r>
        <w:rPr>
          <w:rtl w:val="true"/>
        </w:rPr>
        <w:t>گسترش خرد انسان</w:t>
      </w:r>
      <w:r>
        <w:rPr>
          <w:rtl w:val="true"/>
        </w:rPr>
        <w:softHyphen/>
      </w:r>
      <w:r>
        <w:rPr>
          <w:rtl w:val="true"/>
        </w:rPr>
        <w:t>ها</w:t>
      </w:r>
      <w:bookmarkEnd w:id="34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رسیدن به کمال انسانی رشد عقلانی جوامع انسانی است که حضرت مهدی علیه‌السلام به عنوان حجت الهی همة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ظرفیت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ممکن را در این راه به </w:t>
      </w:r>
      <w:bookmarkStart w:id="345" w:name="pg12658_166809"/>
    </w:p>
    <w:p>
      <w:pPr>
        <w:pStyle w:val="BookText"/>
        <w:rPr/>
      </w:pPr>
      <w:bookmarkEnd w:id="345"/>
      <w:r>
        <w:rPr>
          <w:rFonts w:ascii="IRNazanin" w:hAnsi="IRNazanin" w:eastAsia="IRNazanin"/>
          <w:color w:val="111111"/>
          <w:sz w:val="28"/>
          <w:sz w:val="28"/>
          <w:szCs w:val="28"/>
          <w:rtl w:val="true"/>
          <w:lang w:bidi="fa-IR"/>
        </w:rPr>
        <w:t>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r>
        <w:rPr>
          <w:rStyle w:val="FootnoteAnchor"/>
          <w:rtl w:val="true"/>
        </w:rPr>
        <w:footnoteReference w:id="187"/>
      </w:r>
    </w:p>
    <w:p>
      <w:pPr>
        <w:pStyle w:val="Heading6"/>
        <w:numPr>
          <w:ilvl w:val="5"/>
          <w:numId w:val="1"/>
        </w:numPr>
        <w:rPr/>
      </w:pPr>
      <w:bookmarkStart w:id="346" w:name="__RefHeading___Toc643521_222507752"/>
      <w:bookmarkStart w:id="347" w:name="_Toc133"/>
      <w:bookmarkEnd w:id="346"/>
      <w:r>
        <w:rPr>
          <w:rtl w:val="true"/>
        </w:rPr>
        <w:t>پنج</w:t>
      </w:r>
      <w:r>
        <w:rPr>
          <w:rtl w:val="true"/>
        </w:rPr>
        <w:t xml:space="preserve">. </w:t>
      </w:r>
      <w:r>
        <w:rPr>
          <w:rtl w:val="true"/>
        </w:rPr>
        <w:t>رشد و تربیت</w:t>
      </w:r>
      <w:bookmarkEnd w:id="347"/>
    </w:p>
    <w:p>
      <w:pPr>
        <w:pStyle w:val="BookText"/>
        <w:rPr/>
      </w:pPr>
      <w:r>
        <w:rPr>
          <w:rFonts w:ascii="IRNazanin" w:hAnsi="IRNazanin" w:eastAsia="IRNazanin"/>
          <w:color w:val="111111"/>
          <w:sz w:val="28"/>
          <w:sz w:val="28"/>
          <w:szCs w:val="28"/>
          <w:rtl w:val="true"/>
          <w:lang w:bidi="fa-IR"/>
        </w:rPr>
        <w:t>از اهداف مهم پیامبران خداوند، پرورش الهی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علیه‌السلام به عنوان واپسین ذخیرة الهی از همة ظرفیت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ممکن برای تربیت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تا در واپسین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عمر انسان‌ها بر زمین این هدف پیامبران الهی را به انجام رسانده، کامل کند</w:t>
      </w:r>
      <w:r>
        <w:rPr>
          <w:rFonts w:eastAsia="IRNazanin" w:cs="IRNazanin"/>
          <w:color w:val="111111"/>
          <w:sz w:val="28"/>
          <w:szCs w:val="28"/>
          <w:rtl w:val="true"/>
          <w:lang w:bidi="fa-IR"/>
        </w:rPr>
        <w:t>.</w:t>
      </w:r>
    </w:p>
    <w:p>
      <w:pPr>
        <w:pStyle w:val="Heading5"/>
        <w:numPr>
          <w:ilvl w:val="4"/>
          <w:numId w:val="1"/>
        </w:numPr>
        <w:rPr/>
      </w:pPr>
      <w:bookmarkStart w:id="348" w:name="__RefHeading___Toc643523_222507752"/>
      <w:bookmarkStart w:id="349" w:name="_Toc134"/>
      <w:bookmarkEnd w:id="348"/>
      <w:r>
        <w:rPr/>
        <w:t>2</w:t>
      </w:r>
      <w:r>
        <w:rPr>
          <w:rtl w:val="true"/>
        </w:rPr>
        <w:t xml:space="preserve">. </w:t>
      </w:r>
      <w:r>
        <w:rPr>
          <w:rtl w:val="true"/>
        </w:rPr>
        <w:t>حقوق حضرت بر مردم</w:t>
      </w:r>
      <w:bookmarkEnd w:id="349"/>
    </w:p>
    <w:p>
      <w:pPr>
        <w:pStyle w:val="Heading6"/>
        <w:numPr>
          <w:ilvl w:val="5"/>
          <w:numId w:val="1"/>
        </w:numPr>
        <w:rPr/>
      </w:pPr>
      <w:bookmarkStart w:id="350" w:name="__RefHeading___Toc643525_222507752"/>
      <w:bookmarkStart w:id="351" w:name="_Toc135"/>
      <w:bookmarkEnd w:id="350"/>
      <w:r>
        <w:rPr>
          <w:rtl w:val="true"/>
        </w:rPr>
        <w:t>یک</w:t>
      </w:r>
      <w:r>
        <w:rPr>
          <w:rtl w:val="true"/>
        </w:rPr>
        <w:t xml:space="preserve">. </w:t>
      </w:r>
      <w:r>
        <w:rPr>
          <w:rtl w:val="true"/>
        </w:rPr>
        <w:t>استواری بر بیعت</w:t>
      </w:r>
      <w:bookmarkEnd w:id="351"/>
    </w:p>
    <w:p>
      <w:pPr>
        <w:pStyle w:val="BookText"/>
        <w:rPr/>
      </w:pPr>
      <w:r>
        <w:rPr>
          <w:rFonts w:ascii="IRNazanin" w:hAnsi="IRNazanin" w:eastAsia="IRNazanin"/>
          <w:color w:val="111111"/>
          <w:sz w:val="28"/>
          <w:sz w:val="28"/>
          <w:szCs w:val="28"/>
          <w:rtl w:val="true"/>
          <w:lang w:bidi="fa-IR"/>
        </w:rPr>
        <w:t>در جای خود گفته شده از ارکان حکومت حضرت مهدی علیه‌السلام بیعت مردم بر پذیرش و فرمان‌برداری از حاکمیت است</w:t>
      </w:r>
      <w:r>
        <w:rPr>
          <w:rFonts w:eastAsia="IRNazanin" w:cs="IRNazanin"/>
          <w:color w:val="111111"/>
          <w:sz w:val="28"/>
          <w:szCs w:val="28"/>
          <w:rtl w:val="true"/>
          <w:lang w:bidi="fa-IR"/>
        </w:rPr>
        <w:t>.</w:t>
      </w:r>
    </w:p>
    <w:p>
      <w:pPr>
        <w:pStyle w:val="Heading6"/>
        <w:numPr>
          <w:ilvl w:val="5"/>
          <w:numId w:val="1"/>
        </w:numPr>
        <w:rPr/>
      </w:pPr>
      <w:bookmarkStart w:id="352" w:name="__RefHeading___Toc643527_222507752"/>
      <w:bookmarkStart w:id="353" w:name="_Toc136"/>
      <w:bookmarkEnd w:id="352"/>
      <w:r>
        <w:rPr>
          <w:rtl w:val="true"/>
        </w:rPr>
        <w:t>دو</w:t>
      </w:r>
      <w:r>
        <w:rPr>
          <w:rtl w:val="true"/>
        </w:rPr>
        <w:t xml:space="preserve">. </w:t>
      </w:r>
      <w:r>
        <w:rPr>
          <w:rtl w:val="true"/>
        </w:rPr>
        <w:t>خیرخواهی در امور حکومت</w:t>
      </w:r>
      <w:bookmarkEnd w:id="353"/>
    </w:p>
    <w:p>
      <w:pPr>
        <w:pStyle w:val="BookText"/>
        <w:rPr/>
      </w:pPr>
      <w:r>
        <w:rPr>
          <w:rFonts w:ascii="IRNazanin" w:hAnsi="IRNazanin" w:eastAsia="IRNazanin"/>
          <w:color w:val="111111"/>
          <w:sz w:val="28"/>
          <w:sz w:val="28"/>
          <w:szCs w:val="28"/>
          <w:rtl w:val="true"/>
          <w:lang w:bidi="fa-IR"/>
        </w:rPr>
        <w:t>مردم عصر ظهور در امور عمومی و فعالیت‌های دولت و زمام‌داران خیرخواهند و همواره با هوشیاری کارها را زیر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با دل‌سوزی و مصلحت‌اندیشی دولت اسلامی و مسؤولان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خواه در حضور آن‌ها باشند یا در نبود آن‌ها</w:t>
      </w:r>
      <w:r>
        <w:rPr>
          <w:rFonts w:eastAsia="IRNazanin" w:cs="IRNazanin"/>
          <w:color w:val="111111"/>
          <w:sz w:val="28"/>
          <w:szCs w:val="28"/>
          <w:rtl w:val="true"/>
          <w:lang w:bidi="fa-IR"/>
        </w:rPr>
        <w:t>.</w:t>
      </w:r>
      <w:r>
        <w:rPr>
          <w:rStyle w:val="FootnoteAnchor"/>
          <w:rtl w:val="true"/>
        </w:rPr>
        <w:footnoteReference w:id="188"/>
      </w:r>
    </w:p>
    <w:p>
      <w:pPr>
        <w:pStyle w:val="Heading6"/>
        <w:numPr>
          <w:ilvl w:val="5"/>
          <w:numId w:val="1"/>
        </w:numPr>
        <w:rPr/>
      </w:pPr>
      <w:bookmarkStart w:id="354" w:name="__RefHeading___Toc643529_222507752"/>
      <w:bookmarkStart w:id="355" w:name="_Toc137"/>
      <w:bookmarkEnd w:id="354"/>
      <w:r>
        <w:rPr>
          <w:rtl w:val="true"/>
        </w:rPr>
        <w:t>سه</w:t>
      </w:r>
      <w:r>
        <w:rPr>
          <w:rtl w:val="true"/>
        </w:rPr>
        <w:t xml:space="preserve">. </w:t>
      </w:r>
      <w:r>
        <w:rPr>
          <w:rtl w:val="true"/>
        </w:rPr>
        <w:t>فرمان‌برداری از حاکم</w:t>
      </w:r>
      <w:bookmarkEnd w:id="35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دستورات حاکم آنگاه که از طرف مردم اجرا شود، به مقصد رسیده است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از آنجا که مردم با پذیرش خود زمینة حکومت را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همة امور از حاکم پیروی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میان یاران حضرت به عنوان نخبگان عصر ظهور و الگوی رفتاری </w:t>
      </w:r>
      <w:bookmarkStart w:id="356" w:name="pg12658_166811"/>
    </w:p>
    <w:p>
      <w:pPr>
        <w:pStyle w:val="BookText"/>
        <w:rPr/>
      </w:pPr>
      <w:bookmarkEnd w:id="356"/>
      <w:r>
        <w:rPr>
          <w:rFonts w:ascii="IRNazanin" w:hAnsi="IRNazanin" w:eastAsia="IRNazanin"/>
          <w:color w:val="111111"/>
          <w:sz w:val="28"/>
          <w:sz w:val="28"/>
          <w:szCs w:val="28"/>
          <w:rtl w:val="true"/>
          <w:lang w:bidi="fa-IR"/>
        </w:rPr>
        <w:t>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این فرمانبرداری و پیروی سرآمد روزگاران خویشند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کلینی در کافی نیز روایات پرشماری در این زمینه نقل کرده که بیان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مهم‌ترین مسأله سیاسی در زمینه زمام‌داری و نگه‌داری حقوق عمومی و آزادی‌های اساسی است</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357" w:name="__RefHeading___Toc643531_222507752"/>
      <w:bookmarkStart w:id="358" w:name="_Toc138"/>
      <w:bookmarkEnd w:id="357"/>
      <w:r>
        <w:rPr>
          <w:rtl w:val="true"/>
        </w:rPr>
        <w:t xml:space="preserve">نقش مدیریتی مردم </w:t>
      </w:r>
      <w:r>
        <w:rPr>
          <w:rtl w:val="true"/>
        </w:rPr>
        <w:t>(</w:t>
      </w:r>
      <w:r>
        <w:rPr>
          <w:rtl w:val="true"/>
        </w:rPr>
        <w:t>کارگزاران حکومت</w:t>
      </w:r>
      <w:r>
        <w:rPr>
          <w:rtl w:val="true"/>
        </w:rPr>
        <w:t>)</w:t>
      </w:r>
      <w:bookmarkEnd w:id="358"/>
    </w:p>
    <w:p>
      <w:pPr>
        <w:pStyle w:val="BookText"/>
        <w:rPr/>
      </w:pPr>
      <w:r>
        <w:rPr>
          <w:rFonts w:ascii="IRNazanin" w:hAnsi="IRNazanin" w:eastAsia="IRNazanin"/>
          <w:color w:val="111111"/>
          <w:sz w:val="28"/>
          <w:sz w:val="28"/>
          <w:szCs w:val="28"/>
          <w:rtl w:val="true"/>
          <w:lang w:bidi="fa-IR"/>
        </w:rPr>
        <w:t>از برنامه‌های اصلاحی حضرت مهدی عجل‌الله‌فرجه در دورة حکومت خود، گزینش نیروهای شایسته و کارآمد برای پذیرش امور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استواری و تداوم حکومت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ویژه با شاخصه‌های دینداری و عدالت، بدون کارگزاران شایسته، عملی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یکی از مقوله‌های مهم و مورد توجه جدّی آن حضرت، کارگزاران حکومت و نقش مدیریتی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گزینش این افراد و قراردادن آنها در موقعیت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سیاسی، نظامی، مالی، قضایی و اداری، از شئون مستقیم امام است که در مرحلة تثبیت حکومت آن را اجرایی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آشنانمودن کارگزاران با شیوة زمامداری و رفتار با مردم، و نظارت بر رفتار و مدیریت آنان برای حسن اجرای کارها که به تامین امنیت جامعه وخشنودی همگانی مردم، منجر خواهد شد، نیز از اموری است که امام مهدی عجل‌الله‌فرجه بدان‌ها اهتمام خواهد داشت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امام مهدی عجل‌الله‌فرجه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به عدالت اجتماعی در حکومت اهتمام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خواهد داشت، یکی از راهکارهای تحقق آن را، گزینش‌کارگزاران و مدیران شایسته در </w:t>
      </w:r>
      <w:bookmarkStart w:id="359" w:name="pg12658_166813"/>
    </w:p>
    <w:p>
      <w:pPr>
        <w:pStyle w:val="BookText"/>
        <w:rPr/>
      </w:pPr>
      <w:bookmarkEnd w:id="359"/>
      <w:r>
        <w:rPr>
          <w:rFonts w:ascii="IRNazanin" w:hAnsi="IRNazanin" w:eastAsia="IRNazanin"/>
          <w:color w:val="111111"/>
          <w:sz w:val="28"/>
          <w:sz w:val="28"/>
          <w:szCs w:val="28"/>
          <w:rtl w:val="true"/>
          <w:lang w:bidi="fa-IR"/>
        </w:rPr>
        <w:t>کارها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صلاحیت و شایستگی زمامدار و پیشوای اصلی جامعه، کارگزاران و عاملان او در مناصب گوناگون نیز باید از تخصص بایسته و هماهنگ آن جایگاه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افزون بر اینکه در گزینش کارگزاران حکومت از جنبه شایستگی در مدیریت حساسیت نشان می‌دهد، نظارت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نیز بر کارهای آنها، به کار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برپایی اصلاحات در جامعه و برپاداشتن عدالت و برپایی حکومت دینی بر پایة سیره و سنت نبوی و علوی، نیازمند یاران و کارگزاران پاک و پاک‌باخته، زیرک، کاردان، شجاع و فداکار خواهد بود که با بینش درست به آموزه‌های اسلام و شناخت امام خود، پیرو فرمان‌های او بوده، به دستوراتش عمل کنند، در جنگ‌ها سستی نورزند و به دشمن پشت نکنند و در کارهای مردم‌به راستی کوشش کنند</w:t>
      </w:r>
      <w:r>
        <w:rPr>
          <w:rFonts w:eastAsia="IRNazanin" w:cs="IRNazanin"/>
          <w:color w:val="111111"/>
          <w:sz w:val="28"/>
          <w:szCs w:val="28"/>
          <w:rtl w:val="true"/>
          <w:lang w:bidi="fa-IR"/>
        </w:rPr>
        <w:t>.</w:t>
      </w:r>
    </w:p>
    <w:p>
      <w:pPr>
        <w:pStyle w:val="Heading4"/>
        <w:numPr>
          <w:ilvl w:val="3"/>
          <w:numId w:val="1"/>
        </w:numPr>
        <w:rPr/>
      </w:pPr>
      <w:bookmarkStart w:id="360" w:name="__RefHeading___Toc643533_222507752"/>
      <w:bookmarkStart w:id="361" w:name="_Toc139"/>
      <w:bookmarkEnd w:id="360"/>
      <w:r>
        <w:rPr>
          <w:rtl w:val="true"/>
        </w:rPr>
        <w:t>گروه‌های کارگزاران از نگاه روایات</w:t>
      </w:r>
      <w:bookmarkEnd w:id="361"/>
    </w:p>
    <w:p>
      <w:pPr>
        <w:pStyle w:val="Heading5"/>
        <w:numPr>
          <w:ilvl w:val="4"/>
          <w:numId w:val="1"/>
        </w:numPr>
        <w:rPr/>
      </w:pPr>
      <w:bookmarkStart w:id="362" w:name="__RefHeading___Toc643535_222507752"/>
      <w:bookmarkStart w:id="363" w:name="_Toc140"/>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در روایات اگرچه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اشاره شد در بارة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کارگزاران سخن چندانی در دست نیست، ولی نکاتی اشاره شده که در اینجا به صورت گذرا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5"/>
        <w:numPr>
          <w:ilvl w:val="4"/>
          <w:numId w:val="1"/>
        </w:numPr>
        <w:rPr/>
      </w:pPr>
      <w:bookmarkStart w:id="364" w:name="__RefHeading___Toc643537_222507752"/>
      <w:bookmarkStart w:id="365" w:name="_Toc141"/>
      <w:bookmarkEnd w:id="364"/>
      <w:r>
        <w:rPr>
          <w:rtl w:val="true"/>
        </w:rPr>
        <w:t xml:space="preserve">یک </w:t>
      </w:r>
      <w:r>
        <w:rPr>
          <w:rtl w:val="true"/>
        </w:rPr>
        <w:t xml:space="preserve">. </w:t>
      </w:r>
      <w:r>
        <w:rPr>
          <w:rtl w:val="true"/>
        </w:rPr>
        <w:t>شیعیان راستین، اساس کارگزاران</w:t>
      </w:r>
      <w:bookmarkEnd w:id="365"/>
    </w:p>
    <w:p>
      <w:pPr>
        <w:pStyle w:val="BookText"/>
        <w:rPr/>
      </w:pPr>
      <w:r>
        <w:rPr>
          <w:rFonts w:ascii="IRNazanin" w:hAnsi="IRNazanin" w:eastAsia="IRNazanin"/>
          <w:color w:val="111111"/>
          <w:sz w:val="28"/>
          <w:sz w:val="28"/>
          <w:szCs w:val="28"/>
          <w:rtl w:val="true"/>
          <w:lang w:bidi="fa-IR"/>
        </w:rPr>
        <w:t>در روایاتی چند از شیعیان و پیروان راستین اهل بیت علیهم‌السلام به عنوان یاران آن حضرت در ادارة جامعة جهانی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قَائِمُنَا أَذْهَبَ اللَّهُ عَزَّ وَ جَلَّ عَنْ شِیعَتِنَا الْعَاهَةَ وَ جَعَلَ قُلُوبَهُمْ کَزُبَرِ الْحَدِیدِ… وَ یَکُونُونَ حُکَّامَ الْأَرْضِ وَ سَنَامَهَا؛</w:t>
      </w:r>
      <w:r>
        <w:rPr>
          <w:rStyle w:val="FootnoteAnchor"/>
          <w:rtl w:val="true"/>
        </w:rPr>
        <w:footnoteReference w:id="192"/>
      </w:r>
      <w:r>
        <w:rPr>
          <w:rFonts w:ascii="IRNazanin" w:hAnsi="IRNazanin" w:eastAsia="IRNazanin"/>
          <w:color w:val="111111"/>
          <w:sz w:val="28"/>
          <w:sz w:val="28"/>
          <w:szCs w:val="28"/>
          <w:rtl w:val="true"/>
          <w:lang w:bidi="fa-IR"/>
        </w:rPr>
        <w:t>آنگاه که قائم به‌پا خیزد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شیعه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چون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آهن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حکام زمین و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خواهند شد</w:t>
      </w:r>
      <w:r>
        <w:rPr>
          <w:rFonts w:eastAsia="IRNazanin" w:cs="IRNazanin"/>
          <w:color w:val="111111"/>
          <w:sz w:val="28"/>
          <w:szCs w:val="28"/>
          <w:rtl w:val="true"/>
          <w:lang w:bidi="fa-IR"/>
        </w:rPr>
        <w:t>.</w:t>
      </w:r>
    </w:p>
    <w:p>
      <w:pPr>
        <w:pStyle w:val="Heading5"/>
        <w:numPr>
          <w:ilvl w:val="4"/>
          <w:numId w:val="1"/>
        </w:numPr>
        <w:rPr/>
      </w:pPr>
      <w:bookmarkStart w:id="366" w:name="__RefHeading___Toc643539_222507752"/>
      <w:bookmarkStart w:id="367" w:name="_Toc142"/>
      <w:bookmarkEnd w:id="366"/>
      <w:r>
        <w:rPr>
          <w:rtl w:val="true"/>
        </w:rPr>
        <w:t xml:space="preserve">دو </w:t>
      </w:r>
      <w:r>
        <w:rPr>
          <w:rtl w:val="true"/>
        </w:rPr>
        <w:t>.  </w:t>
      </w:r>
      <w:r>
        <w:rPr>
          <w:rtl w:val="true"/>
        </w:rPr>
        <w:t>برخی رجعت</w:t>
      </w:r>
      <w:r>
        <w:rPr>
          <w:rtl w:val="true"/>
        </w:rPr>
        <w:softHyphen/>
      </w:r>
      <w:r>
        <w:rPr>
          <w:rtl w:val="true"/>
        </w:rPr>
        <w:t>کننگان، کارگزاران حضرت</w:t>
      </w:r>
      <w:bookmarkEnd w:id="367"/>
    </w:p>
    <w:p>
      <w:pPr>
        <w:pStyle w:val="BookText"/>
        <w:rPr/>
      </w:pPr>
      <w:r>
        <w:rPr>
          <w:rFonts w:ascii="IRNazanin" w:hAnsi="IRNazanin" w:eastAsia="IRNazanin"/>
          <w:color w:val="111111"/>
          <w:sz w:val="28"/>
          <w:sz w:val="28"/>
          <w:szCs w:val="28"/>
          <w:rtl w:val="true"/>
          <w:lang w:bidi="fa-IR"/>
        </w:rPr>
        <w:t>در این باره امام صادق علیه‌السلام 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یَخْرُجُ مَعَ الْقَائِمِ علیه‌السلام مِنْ ظَهْرِ الْکُوفَةِ سَبْعٌ وَ عِشْرُونَ رَجُلًا… </w:t>
      </w:r>
      <w:bookmarkStart w:id="368" w:name="pg12658_166815"/>
    </w:p>
    <w:p>
      <w:pPr>
        <w:pStyle w:val="BookText"/>
        <w:rPr/>
      </w:pPr>
      <w:bookmarkEnd w:id="368"/>
      <w:r>
        <w:rPr>
          <w:rFonts w:ascii="Amiri" w:hAnsi="Amiri" w:eastAsia="Amiri" w:cs="Amiri"/>
          <w:color w:val="111111"/>
          <w:sz w:val="28"/>
          <w:sz w:val="28"/>
          <w:szCs w:val="28"/>
          <w:rtl w:val="true"/>
          <w:lang w:bidi="ar-SA"/>
        </w:rPr>
        <w:t>فَیَکُونُونَ بَیْنَ یَدَیْهِ أَنْصَاراً وَ حُکَّاماً؛</w:t>
      </w:r>
      <w:r>
        <w:rPr>
          <w:rStyle w:val="FootnoteAnchor"/>
          <w:rtl w:val="true"/>
        </w:rPr>
        <w:footnoteReference w:id="193"/>
      </w:r>
      <w:r>
        <w:rPr>
          <w:rFonts w:ascii="IRNazanin" w:hAnsi="IRNazanin" w:eastAsia="IRNazanin"/>
          <w:color w:val="111111"/>
          <w:sz w:val="28"/>
          <w:sz w:val="28"/>
          <w:szCs w:val="28"/>
          <w:rtl w:val="true"/>
          <w:lang w:bidi="fa-IR"/>
        </w:rPr>
        <w:t>از پشت کوفه بیست و هفت نفر قائم را هنگام ظهور همراهی خواهند کرد… پس آنها پیشاپیش آن حضرت؛ یاران او و حکام خواهند بود</w:t>
      </w:r>
      <w:r>
        <w:rPr>
          <w:rFonts w:eastAsia="IRNazanin" w:cs="IRNazanin"/>
          <w:color w:val="111111"/>
          <w:sz w:val="28"/>
          <w:szCs w:val="28"/>
          <w:rtl w:val="true"/>
          <w:lang w:bidi="fa-IR"/>
        </w:rPr>
        <w:t>.</w:t>
      </w:r>
    </w:p>
    <w:p>
      <w:pPr>
        <w:pStyle w:val="Heading5"/>
        <w:numPr>
          <w:ilvl w:val="4"/>
          <w:numId w:val="1"/>
        </w:numPr>
        <w:rPr/>
      </w:pPr>
      <w:bookmarkStart w:id="369" w:name="__RefHeading___Toc643541_222507752"/>
      <w:bookmarkStart w:id="370" w:name="_Toc143"/>
      <w:bookmarkEnd w:id="369"/>
      <w:r>
        <w:rPr>
          <w:rtl w:val="true"/>
        </w:rPr>
        <w:t xml:space="preserve">سه </w:t>
      </w:r>
      <w:r>
        <w:rPr>
          <w:rtl w:val="true"/>
        </w:rPr>
        <w:t xml:space="preserve">. </w:t>
      </w:r>
      <w:r>
        <w:rPr>
          <w:rtl w:val="true"/>
        </w:rPr>
        <w:t>سخن</w:t>
      </w:r>
      <w:r>
        <w:rPr>
          <w:rtl w:val="true"/>
        </w:rPr>
        <w:softHyphen/>
      </w:r>
      <w:r>
        <w:rPr>
          <w:rtl w:val="true"/>
        </w:rPr>
        <w:t>گوی حضرت مهدی علیه‌السلام</w:t>
      </w:r>
      <w:bookmarkEnd w:id="370"/>
    </w:p>
    <w:p>
      <w:pPr>
        <w:pStyle w:val="Heading6"/>
        <w:numPr>
          <w:ilvl w:val="5"/>
          <w:numId w:val="1"/>
        </w:numPr>
        <w:rPr/>
      </w:pPr>
      <w:bookmarkStart w:id="371" w:name="__RefHeading___Toc643543_222507752"/>
      <w:bookmarkStart w:id="372" w:name="_Toc144"/>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از جمله کارگزارانی که در روایات اشاره شده فردی به عنوان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 دو مورد اشاره شده است</w:t>
      </w:r>
      <w:r>
        <w:rPr>
          <w:rFonts w:eastAsia="IRNazanin" w:cs="IRNazanin"/>
          <w:color w:val="111111"/>
          <w:sz w:val="28"/>
          <w:szCs w:val="28"/>
          <w:rtl w:val="true"/>
          <w:lang w:bidi="fa-IR"/>
        </w:rPr>
        <w:t>:</w:t>
      </w:r>
    </w:p>
    <w:p>
      <w:pPr>
        <w:pStyle w:val="Heading6"/>
        <w:numPr>
          <w:ilvl w:val="5"/>
          <w:numId w:val="1"/>
        </w:numPr>
        <w:rPr/>
      </w:pPr>
      <w:bookmarkStart w:id="373" w:name="__RefHeading___Toc643545_222507752"/>
      <w:bookmarkStart w:id="374" w:name="_Toc145"/>
      <w:bookmarkEnd w:id="373"/>
      <w:r>
        <w:rPr/>
        <w:t>1</w:t>
      </w:r>
      <w:r>
        <w:rPr>
          <w:rtl w:val="true"/>
        </w:rPr>
        <w:t>.  </w:t>
      </w:r>
      <w:r>
        <w:rPr>
          <w:rtl w:val="true"/>
        </w:rPr>
        <w:t>هنگام ظهور و خروج از مکه</w:t>
      </w:r>
      <w:bookmarkEnd w:id="374"/>
    </w:p>
    <w:p>
      <w:pPr>
        <w:pStyle w:val="BookText"/>
        <w:rPr/>
      </w:pPr>
      <w:r>
        <w:rPr>
          <w:rFonts w:ascii="Amiri" w:hAnsi="Amiri" w:eastAsia="Amiri" w:cs="Amiri"/>
          <w:color w:val="111111"/>
          <w:sz w:val="28"/>
          <w:sz w:val="28"/>
          <w:szCs w:val="28"/>
          <w:rtl w:val="true"/>
          <w:lang w:bidi="ar-SA"/>
        </w:rPr>
        <w:t>امام باقر علیه‌السلام در این باره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الْقَائِمُ علیه‌السلام… ثُمَّ یَأْمُرُ مُنَادِیَهُ فَیُنَادِی…؛</w:t>
      </w:r>
      <w:r>
        <w:rPr>
          <w:rStyle w:val="FootnoteAnchor"/>
          <w:rtl w:val="true"/>
        </w:rPr>
        <w:footnoteReference w:id="194"/>
      </w:r>
      <w:r>
        <w:rPr>
          <w:rFonts w:ascii="IRNazanin" w:hAnsi="IRNazanin" w:eastAsia="IRNazanin"/>
          <w:color w:val="111111"/>
          <w:sz w:val="28"/>
          <w:sz w:val="28"/>
          <w:szCs w:val="28"/>
          <w:rtl w:val="true"/>
          <w:lang w:bidi="fa-IR"/>
        </w:rPr>
        <w:t>آنگاه که قائم ظهور کند… پس منادی خود را امر کند و او ندا دهد…</w:t>
      </w:r>
      <w:r>
        <w:rPr>
          <w:rFonts w:eastAsia="IRNazanin" w:cs="IRNazanin"/>
          <w:color w:val="111111"/>
          <w:sz w:val="28"/>
          <w:szCs w:val="28"/>
          <w:rtl w:val="true"/>
          <w:lang w:bidi="fa-IR"/>
        </w:rPr>
        <w:t>.</w:t>
      </w:r>
    </w:p>
    <w:p>
      <w:pPr>
        <w:pStyle w:val="Heading6"/>
        <w:numPr>
          <w:ilvl w:val="5"/>
          <w:numId w:val="1"/>
        </w:numPr>
        <w:rPr/>
      </w:pPr>
      <w:bookmarkStart w:id="375" w:name="__RefHeading___Toc643547_222507752"/>
      <w:bookmarkStart w:id="376" w:name="_Toc146"/>
      <w:bookmarkEnd w:id="375"/>
      <w:r>
        <w:rPr/>
        <w:t>2</w:t>
      </w:r>
      <w:r>
        <w:rPr>
          <w:rtl w:val="true"/>
        </w:rPr>
        <w:t xml:space="preserve">. </w:t>
      </w:r>
      <w:r>
        <w:rPr>
          <w:rtl w:val="true"/>
        </w:rPr>
        <w:t>هنگام مناسک حج</w:t>
      </w:r>
      <w:bookmarkEnd w:id="376"/>
    </w:p>
    <w:p>
      <w:pPr>
        <w:pStyle w:val="BookText"/>
        <w:rPr/>
      </w:pPr>
      <w:r>
        <w:rPr>
          <w:rFonts w:ascii="IRNazanin" w:hAnsi="IRNazanin" w:eastAsia="IRNazanin"/>
          <w:color w:val="111111"/>
          <w:sz w:val="28"/>
          <w:sz w:val="28"/>
          <w:szCs w:val="28"/>
          <w:rtl w:val="true"/>
          <w:lang w:bidi="fa-IR"/>
        </w:rPr>
        <w:t>از دیگر کسانی که از وی به عنوان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 حضرت یاد شده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عنوان یکی از کارگزاران حضرت از او یاد کرد در روایت امام باقر علیه‌السلام است که مردی از آن حضرت چنین نقل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مَا یُظْهِرُ الْقَائِمُ مِنَ الْعَدْلِ أَنْ یُنَادِیَ مُنَادِیهِ أَنْ یُسَلِّمَ صَاحِبُ النَّافِلَةِ لِصَاحِبِ الْفَرِیضَةِ الْحَجَرَ الْأَسْوَدَ وَ الطَّوَافَ؛</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نمود عدل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گستری قائم آن است که منادی او ندا دهد کسانی که نافله به جای آوردند سلام دهند و اطراف حجر الاسود و طواف را برای کسانی که قصد فریضه دارند، خالی کنند</w:t>
      </w:r>
      <w:r>
        <w:rPr>
          <w:rFonts w:eastAsia="IRNazanin" w:cs="IRNazanin"/>
          <w:color w:val="111111"/>
          <w:sz w:val="28"/>
          <w:szCs w:val="28"/>
          <w:rtl w:val="true"/>
          <w:lang w:bidi="fa-IR"/>
        </w:rPr>
        <w:t>.</w:t>
      </w:r>
    </w:p>
    <w:p>
      <w:pPr>
        <w:pStyle w:val="Heading5"/>
        <w:numPr>
          <w:ilvl w:val="4"/>
          <w:numId w:val="1"/>
        </w:numPr>
        <w:rPr/>
      </w:pPr>
      <w:bookmarkStart w:id="377" w:name="__RefHeading___Toc643549_222507752"/>
      <w:bookmarkStart w:id="378" w:name="_Toc147"/>
      <w:bookmarkEnd w:id="377"/>
      <w:r>
        <w:rPr>
          <w:rtl w:val="true"/>
        </w:rPr>
        <w:t xml:space="preserve">چهار </w:t>
      </w:r>
      <w:r>
        <w:rPr>
          <w:rtl w:val="true"/>
        </w:rPr>
        <w:t xml:space="preserve">. </w:t>
      </w:r>
      <w:r>
        <w:rPr>
          <w:rtl w:val="true"/>
        </w:rPr>
        <w:t>سیصد وسیزده نفر، کارگزاران حضرت</w:t>
      </w:r>
      <w:bookmarkEnd w:id="37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فراوانی به جایگاه و عظمت یاران خاص حضرت اشاره شده است از جمله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گروه آن است که در دوران حکومت فرمانداران آن حضرتند،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هنگام قیام فرماندهان سپاه آن حضرتند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این باره فرمود</w:t>
      </w:r>
      <w:r>
        <w:rPr>
          <w:rFonts w:eastAsia="IRNazanin" w:cs="IRNazanin"/>
          <w:color w:val="111111"/>
          <w:sz w:val="28"/>
          <w:szCs w:val="28"/>
          <w:rtl w:val="true"/>
          <w:lang w:bidi="fa-IR"/>
        </w:rPr>
        <w:t xml:space="preserve">: </w:t>
      </w:r>
      <w:bookmarkStart w:id="379" w:name="pg12658_166817"/>
    </w:p>
    <w:p>
      <w:pPr>
        <w:pStyle w:val="BookText"/>
        <w:rPr/>
      </w:pPr>
      <w:bookmarkEnd w:id="379"/>
      <w:r>
        <w:rPr>
          <w:rFonts w:ascii="Amiri" w:hAnsi="Amiri" w:eastAsia="Amiri" w:cs="Amiri"/>
          <w:color w:val="111111"/>
          <w:sz w:val="28"/>
          <w:sz w:val="28"/>
          <w:szCs w:val="28"/>
          <w:rtl w:val="true"/>
          <w:lang w:bidi="ar-SA"/>
        </w:rPr>
        <w:t>کَأَنِّی أَنْظُرُ إِلَی الْقَائِمِ عَلَی مِنْبَرِ الْکُوفَةِ وَ حَوْلَهُ أَصْحَابُهُ ثَلَاثُمِائَةٍ وَ ثَلَاثَةَ عَشَرَ رَجُلًا ِعدَّةَ أَهْلِ بَدْرٍ وَ هُمْ أَصْحَابُ الْأَلْوِیَةِ وَ هُمْ حُکَّامُ اللَّهِ فِی أَرْضِهِ عَلَی خَلْقِه؛</w:t>
      </w:r>
      <w:r>
        <w:rPr>
          <w:rStyle w:val="FootnoteAnchor"/>
          <w:rtl w:val="true"/>
        </w:rPr>
        <w:footnoteReference w:id="196"/>
      </w:r>
      <w:r>
        <w:rPr>
          <w:rFonts w:ascii="IRNazanin" w:hAnsi="IRNazanin" w:eastAsia="IRNazanin"/>
          <w:color w:val="111111"/>
          <w:sz w:val="28"/>
          <w:sz w:val="28"/>
          <w:szCs w:val="28"/>
          <w:rtl w:val="true"/>
          <w:lang w:bidi="fa-IR"/>
        </w:rPr>
        <w:t>گویا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نگرم قائم را بر فراز منبر کوفه در حالی که سیصد و سیزده مرد گرداگرد او به شمار اهل بدر حلقه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آنها همانا پرچمداران و حاکمان خداوند در زمین، بر بندگان هستند</w:t>
      </w:r>
      <w:r>
        <w:rPr>
          <w:rFonts w:eastAsia="IRNazanin" w:cs="IRNazanin"/>
          <w:color w:val="111111"/>
          <w:sz w:val="28"/>
          <w:szCs w:val="28"/>
          <w:rtl w:val="true"/>
          <w:lang w:bidi="fa-IR"/>
        </w:rPr>
        <w:t>.</w:t>
      </w:r>
    </w:p>
    <w:p>
      <w:pPr>
        <w:pStyle w:val="Heading5"/>
        <w:numPr>
          <w:ilvl w:val="4"/>
          <w:numId w:val="1"/>
        </w:numPr>
        <w:rPr/>
      </w:pPr>
      <w:bookmarkStart w:id="380" w:name="__RefHeading___Toc643551_222507752"/>
      <w:bookmarkStart w:id="381" w:name="_Toc148"/>
      <w:bookmarkEnd w:id="380"/>
      <w:r>
        <w:rPr>
          <w:rtl w:val="true"/>
        </w:rPr>
        <w:t xml:space="preserve">پنج </w:t>
      </w:r>
      <w:r>
        <w:rPr>
          <w:rtl w:val="true"/>
        </w:rPr>
        <w:t xml:space="preserve">. </w:t>
      </w:r>
      <w:r>
        <w:rPr>
          <w:rtl w:val="true"/>
        </w:rPr>
        <w:t>کارگزاران حضرت، در گوشه وکنار زمین</w:t>
      </w:r>
      <w:bookmarkEnd w:id="381"/>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به جهت گستردگی و فراگیری حکومت عدل مهدوی بر کل زمین آن حضرت کارگزاران خود را به همة گیتی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نقل است که 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الْقَائِمُ بَعَثَ فِی أَقَالِیمِ الْأَرْضِ فِی کُلِّ إِقْلِیمٍ رَجُلًا یَقُولُ عَهْدُکَ فِی کَفِّکَ فَإِذَا وَرَدَ عَلَیْکَ مَا لَا تَفْهَمُهُ وَ لَا تَعْرِفُ الْقَضَاءَ فِیهِ فَانْظُرْ إِلَی کَفِّکَ وَ اعْمَلْ بِمَا فِیهَا؛</w:t>
      </w:r>
      <w:r>
        <w:rPr>
          <w:rStyle w:val="FootnoteAnchor"/>
          <w:rtl w:val="true"/>
        </w:rPr>
        <w:footnoteReference w:id="197"/>
      </w:r>
      <w:r>
        <w:rPr>
          <w:rFonts w:ascii="IRNazanin" w:hAnsi="IRNazanin" w:eastAsia="IRNazanin"/>
          <w:color w:val="111111"/>
          <w:sz w:val="28"/>
          <w:sz w:val="28"/>
          <w:szCs w:val="28"/>
          <w:rtl w:val="true"/>
          <w:lang w:bidi="fa-IR"/>
        </w:rPr>
        <w:t>آنگاه که قائم قیام کند بر هر اقلیمی از زمین مردی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و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برنامة تو در کف دست تو است، پس بدان بنگر و به مفاد آن عمل کن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انجام شده بیش از آنچه آمد، سخنی در بارة کارگزاران یافت نشد که البته آنچه یادآوری شد نیازمند بررسی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عمیق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که از حوصلة این نوشتار بیرون است</w:t>
      </w:r>
      <w:r>
        <w:rPr>
          <w:rFonts w:eastAsia="IRNazanin" w:cs="IRNazanin"/>
          <w:color w:val="111111"/>
          <w:sz w:val="28"/>
          <w:szCs w:val="28"/>
          <w:rtl w:val="true"/>
          <w:lang w:bidi="fa-IR"/>
        </w:rPr>
        <w:t xml:space="preserve">. </w:t>
      </w:r>
      <w:bookmarkStart w:id="382" w:name="pg12658_166819"/>
    </w:p>
    <w:p>
      <w:pPr>
        <w:pStyle w:val="Heading3"/>
        <w:numPr>
          <w:ilvl w:val="2"/>
          <w:numId w:val="1"/>
        </w:numPr>
        <w:rPr/>
      </w:pPr>
      <w:bookmarkStart w:id="383" w:name="__RefHeading___Toc643553_222507752"/>
      <w:bookmarkStart w:id="384" w:name="_Toc149"/>
      <w:bookmarkEnd w:id="382"/>
      <w:bookmarkEnd w:id="383"/>
      <w:r>
        <w:rPr>
          <w:rtl w:val="true"/>
        </w:rPr>
        <w:t>خودآزمایی</w:t>
      </w:r>
      <w:bookmarkEnd w:id="3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مشروعیت از نگاه لغت و اصطلاح به چه معناست؟ و در حکومت اسلامی چگونه حاصل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تفاوت‌های اساسی مشروعیت در عرف سیاسی با اندیشة سیاسی اسلام کدامند؟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مقبولیت در حکومت پیشوایان معصوم علیهم‌السلام به چه معناست؟ چگونه به دست می‌آید؟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نظام سیاسی مهدوی حقوق اساسی مردم بر حضرت مهدی علیه‌السلام کدامند؟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کارگزاری مردم در حکومت حضرت مهدی علیه‌السلام چگونه است؟ به برخی گونه‌ها بر اساس روایات اشاره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5" w:name="__RefHeading___Toc643555_222507752"/>
      <w:bookmarkStart w:id="386" w:name="_Toc150"/>
      <w:bookmarkEnd w:id="385"/>
      <w:r>
        <w:rPr>
          <w:rtl w:val="true"/>
        </w:rPr>
        <w:t>منابع برای پژوهش</w:t>
      </w:r>
      <w:bookmarkEnd w:id="3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خراسانی، محمد جواد، مهدی منتظر،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میرشفیعی خوانساری، قم، نور الاصفیاء،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بهروزی لک، غلام رضا، سیاست و مهدویت، قم، حکمت روشن،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 محمّد، تاریخ الغیبة الکبری، بیروت، دارالتعارف للمطبوعات،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سیّد محمّد، تاریخ پس از ظهور،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سجادی‌پور، چاپ اول، تهران، موعود عصر،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یزدی، محمد تقی، سلسله مباحث اسلام، سیاست و حکومت، قم،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7" w:name="pg12658_166823"/>
      <w:bookmarkStart w:id="388" w:name="pg12658_166823"/>
      <w:bookmarkEnd w:id="388"/>
    </w:p>
    <w:p>
      <w:pPr>
        <w:pStyle w:val="Heading2"/>
        <w:numPr>
          <w:ilvl w:val="1"/>
          <w:numId w:val="1"/>
        </w:numPr>
        <w:rPr/>
      </w:pPr>
      <w:bookmarkStart w:id="389" w:name="pg12658_166823"/>
      <w:bookmarkStart w:id="390" w:name="__RefHeading___Toc643557_222507752"/>
      <w:bookmarkStart w:id="391" w:name="_Toc151"/>
      <w:bookmarkEnd w:id="389"/>
      <w:bookmarkEnd w:id="390"/>
      <w:r>
        <w:rPr>
          <w:rtl w:val="true"/>
        </w:rPr>
        <w:t>درس هفتم</w:t>
      </w:r>
      <w:r>
        <w:rPr>
          <w:rtl w:val="true"/>
        </w:rPr>
        <w:t xml:space="preserve">: </w:t>
      </w:r>
      <w:r>
        <w:rPr>
          <w:rtl w:val="true"/>
        </w:rPr>
        <w:t xml:space="preserve">نظام سیاسی حکومت امام مهدی علیه‌السلام </w:t>
      </w:r>
      <w:r>
        <w:rPr>
          <w:rtl w:val="true"/>
        </w:rPr>
        <w:t>(</w:t>
      </w:r>
      <w:r>
        <w:rPr/>
        <w:t>2</w:t>
      </w:r>
      <w:r>
        <w:rPr>
          <w:rtl w:val="true"/>
        </w:rPr>
        <w:t>)</w:t>
      </w:r>
      <w:bookmarkEnd w:id="391"/>
    </w:p>
    <w:p>
      <w:pPr>
        <w:pStyle w:val="Heading3"/>
        <w:numPr>
          <w:ilvl w:val="2"/>
          <w:numId w:val="1"/>
        </w:numPr>
        <w:rPr/>
      </w:pPr>
      <w:bookmarkStart w:id="392" w:name="__RefHeading___Toc643559_222507752"/>
      <w:bookmarkStart w:id="393" w:name="_Toc152"/>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 حکومت مهدوی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مهم‌ترین سازوکار سیاسی</w:t>
      </w:r>
    </w:p>
    <w:p>
      <w:pPr>
        <w:pStyle w:val="BookText"/>
        <w:rPr/>
      </w:pPr>
      <w:r>
        <w:rPr>
          <w:rFonts w:ascii="IRNazanin" w:hAnsi="IRNazanin" w:eastAsia="IRNazanin"/>
          <w:color w:val="111111"/>
          <w:sz w:val="28"/>
          <w:sz w:val="28"/>
          <w:szCs w:val="28"/>
          <w:rtl w:val="true"/>
          <w:lang w:bidi="fa-IR"/>
        </w:rPr>
        <w:t>بیعت و رأی‌دادن، شباهت‌ها و تفاوت‌ها</w:t>
      </w:r>
    </w:p>
    <w:p>
      <w:pPr>
        <w:pStyle w:val="BookText"/>
        <w:rPr/>
      </w:pPr>
      <w:r>
        <w:rPr>
          <w:rFonts w:ascii="IRNazanin" w:hAnsi="IRNazanin" w:eastAsia="IRNazanin"/>
          <w:color w:val="111111"/>
          <w:sz w:val="28"/>
          <w:sz w:val="28"/>
          <w:szCs w:val="28"/>
          <w:rtl w:val="true"/>
          <w:lang w:bidi="fa-IR"/>
        </w:rPr>
        <w:t>آثار بیعت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بیعت با امام مهدی علیه‌السلام، از نگاه روایات </w:t>
      </w:r>
      <w:bookmarkStart w:id="394" w:name="pg12658_166825"/>
    </w:p>
    <w:p>
      <w:pPr>
        <w:pStyle w:val="Heading3"/>
        <w:numPr>
          <w:ilvl w:val="2"/>
          <w:numId w:val="1"/>
        </w:numPr>
        <w:rPr/>
      </w:pPr>
      <w:bookmarkStart w:id="395" w:name="__RefHeading___Toc643561_222507752"/>
      <w:bookmarkStart w:id="396" w:name="_Toc153"/>
      <w:bookmarkEnd w:id="394"/>
      <w:bookmarkEnd w:id="395"/>
      <w:r>
        <w:rPr>
          <w:rtl w:val="true"/>
        </w:rPr>
        <w:t>پیش‌درآمد</w:t>
      </w:r>
      <w:bookmarkEnd w:id="396"/>
    </w:p>
    <w:p>
      <w:pPr>
        <w:pStyle w:val="BookText"/>
        <w:rPr/>
      </w:pPr>
      <w:r>
        <w:rPr>
          <w:rFonts w:ascii="IRNazanin" w:hAnsi="IRNazanin" w:eastAsia="IRNazanin"/>
          <w:color w:val="111111"/>
          <w:sz w:val="28"/>
          <w:sz w:val="28"/>
          <w:szCs w:val="28"/>
          <w:rtl w:val="true"/>
          <w:lang w:bidi="fa-IR"/>
        </w:rPr>
        <w:t xml:space="preserve">بی‌گمان، مردم در اندیشة سیاسی اسلام، پس از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پایة بنیادین حکومتند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حکومت‌های خودکامه، مردم در حکومت اسلامی از تکیه‌گاه‌های اصلی اقتدار سیاسی  به شمار می‌آیند و سهمی چشم‌گیر در این میدان بر 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کارهای ارزندة سیاسی نظر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مباحثی که در پاره‌ای از روایات به آن اشاره شده است، نسبت مردم با حکومت جهانی حضرت مهدی عجل‌الله‌فرجه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 گذشته یادآوری شد که مردم فقط در پذیرش که همان مقبولیت‌بخشی به حکومت است،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ابراز این نقش، مهم‌ترین سازوکار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درس به این سازوکار اشاره شده است</w:t>
      </w:r>
      <w:r>
        <w:rPr>
          <w:rFonts w:eastAsia="IRNazanin" w:cs="IRNazanin"/>
          <w:color w:val="111111"/>
          <w:sz w:val="28"/>
          <w:szCs w:val="28"/>
          <w:rtl w:val="true"/>
          <w:lang w:bidi="fa-IR"/>
        </w:rPr>
        <w:t>.</w:t>
      </w:r>
    </w:p>
    <w:p>
      <w:pPr>
        <w:pStyle w:val="Heading3"/>
        <w:numPr>
          <w:ilvl w:val="2"/>
          <w:numId w:val="1"/>
        </w:numPr>
        <w:rPr/>
      </w:pPr>
      <w:bookmarkStart w:id="397" w:name="__RefHeading___Toc643563_222507752"/>
      <w:bookmarkStart w:id="398" w:name="_Toc154"/>
      <w:bookmarkEnd w:id="397"/>
      <w:r>
        <w:rPr>
          <w:rtl w:val="true"/>
        </w:rPr>
        <w:t>مردم و حکومت مهدوی</w:t>
      </w:r>
      <w:bookmarkEnd w:id="39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پیش از این نیز اشاره شد پذیرفتن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ـ اگرچه مشروعیت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ـ در اندیشة سیاسی اسلام،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برپایی حکومت جهانی به دست امام مهدی علیه‌السلام، با این که امام معصوم از سوی خداوند به حکومت برگزیده شده است، ولی این مردم هستند که باید به سوی او روی آورند و با پشتیبانی‌های پیوستة خود زمینة برپایی حکومت را فراهم آورند و تا آنگاه که چنین آمادگی در جامعه پدید نیامده است، امام به برپایی حکومت دست نمی‌زند، بلکه فقط خود را در معرض خلافت و رهبری قرار می‌دهد و مردم را به سوی خویش می‌خوانند تا چنین زمینه‌ای در جامعه پدید آید</w:t>
      </w:r>
      <w:r>
        <w:rPr>
          <w:rFonts w:eastAsia="IRNazanin" w:cs="IRNazanin"/>
          <w:color w:val="111111"/>
          <w:sz w:val="28"/>
          <w:szCs w:val="28"/>
          <w:rtl w:val="true"/>
          <w:lang w:bidi="fa-IR"/>
        </w:rPr>
        <w:t xml:space="preserve">. </w:t>
      </w:r>
      <w:bookmarkStart w:id="399" w:name="pg12658_166827"/>
    </w:p>
    <w:p>
      <w:pPr>
        <w:pStyle w:val="BookText"/>
        <w:rPr/>
      </w:pPr>
      <w:bookmarkEnd w:id="399"/>
      <w:r>
        <w:rPr>
          <w:rFonts w:ascii="IRNazanin" w:hAnsi="IRNazanin" w:eastAsia="IRNazanin"/>
          <w:color w:val="111111"/>
          <w:sz w:val="28"/>
          <w:sz w:val="28"/>
          <w:szCs w:val="28"/>
          <w:rtl w:val="true"/>
          <w:lang w:bidi="fa-IR"/>
        </w:rPr>
        <w:t>آنگاه که مردم چنین حکومتی را خواستند برای ابراز این خواستن راه‌هایی وجود دارد که یکی از آنها در اسلام بیعت است</w:t>
      </w:r>
      <w:r>
        <w:rPr>
          <w:rFonts w:eastAsia="IRNazanin" w:cs="IRNazanin"/>
          <w:color w:val="111111"/>
          <w:sz w:val="28"/>
          <w:szCs w:val="28"/>
          <w:rtl w:val="true"/>
          <w:lang w:bidi="fa-IR"/>
        </w:rPr>
        <w:t>.</w:t>
      </w:r>
    </w:p>
    <w:p>
      <w:pPr>
        <w:pStyle w:val="Heading3"/>
        <w:numPr>
          <w:ilvl w:val="2"/>
          <w:numId w:val="1"/>
        </w:numPr>
        <w:rPr/>
      </w:pPr>
      <w:bookmarkStart w:id="400" w:name="__RefHeading___Toc643565_222507752"/>
      <w:bookmarkStart w:id="401" w:name="_Toc155"/>
      <w:bookmarkEnd w:id="400"/>
      <w:r>
        <w:rPr>
          <w:rtl w:val="true"/>
        </w:rPr>
        <w:t>بیعت، مهم‌ترین سازوکار سیاسی</w:t>
      </w:r>
      <w:bookmarkEnd w:id="401"/>
    </w:p>
    <w:p>
      <w:pPr>
        <w:pStyle w:val="BookText"/>
        <w:rPr/>
      </w:pPr>
      <w:r>
        <w:rPr>
          <w:rFonts w:ascii="IRNazanin" w:hAnsi="IRNazanin" w:eastAsia="IRNazanin"/>
          <w:color w:val="111111"/>
          <w:sz w:val="28"/>
          <w:sz w:val="28"/>
          <w:szCs w:val="28"/>
          <w:rtl w:val="true"/>
          <w:lang w:bidi="fa-IR"/>
        </w:rPr>
        <w:t xml:space="preserve">حقیقت مقبولیت و پذیرش مردمی در حکومت اسلامی در سازوکار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از مفاهیم شاخص در فرهنگ سیاسی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گرفتن بیعت و یا آشفتگی به سبب شکستن آن، همواره بخش مهمی از تاریخ سیاسی اسلام را پدید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عربی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خرید و فروش و پذیرش بیع و در اصطلاح برهم‌زدن کف دست راست از طرفین معامله به نشانه پایان دادوستد است و نیز به هر عمل و رفتاری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کسی به سبب آن فرمانبرداری خود را از شخص دیگر و سرسپردگی در برابر فرمان و سلطه او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ازاین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است که هر یک از دو طرف، پیمانی همچون دو معامله‌گر در برابر دیگری می‌بندند؛ بیعت‌کننده حاضر می‌شود تا پای جان و مال و فرزند در راه فرمانبرداریِ او بایستد و بیعت‌پذیر نیز حمایت و دفاع او را بر عهده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در معنای خاص، اصطلاحی سیاسی ـ حقوقی است که به دست همه یا گروهی از مردم و رهبر سیاسی آنها پدید می‌آید و رابطه‌ای اخلاقی، حقوقی و سیاسی میان مردم و رهبر سیاسی آنهاست که محتوای آن را پای‌بندی به فرمانبرداری و پیروی مردم از رهبرشان تشکیل می‌دهد</w:t>
      </w:r>
      <w:r>
        <w:rPr>
          <w:rFonts w:eastAsia="IRNazanin" w:cs="IRNazanin"/>
          <w:color w:val="111111"/>
          <w:sz w:val="28"/>
          <w:szCs w:val="28"/>
          <w:rtl w:val="true"/>
          <w:lang w:bidi="fa-IR"/>
        </w:rPr>
        <w:t>.</w:t>
      </w:r>
      <w:r>
        <w:rPr>
          <w:rStyle w:val="FootnoteAnchor"/>
          <w:rtl w:val="true"/>
        </w:rPr>
        <w:footnoteReference w:id="19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بیعت، روشی بود که پیش از اسلام، میان عرب‌ها رواج داشت؛ به همین سبب در آغاز اسلام که طائفة اوس و خزرج هنگام حج از مدینه به مکه آمدند و با پیامبر اسلام صلی‌الله‌علیه‌وآله وسلم در عقبه بیعت کردند، برخورد آن‌ها با مسأله بیعت، برخورد با </w:t>
      </w:r>
      <w:bookmarkStart w:id="402" w:name="pg12658_166828"/>
    </w:p>
    <w:p>
      <w:pPr>
        <w:pStyle w:val="BookText"/>
        <w:rPr/>
      </w:pPr>
      <w:bookmarkEnd w:id="402"/>
      <w:r>
        <w:rPr>
          <w:rFonts w:ascii="IRNazanin" w:hAnsi="IRNazanin" w:eastAsia="IRNazanin"/>
          <w:color w:val="111111"/>
          <w:sz w:val="28"/>
          <w:sz w:val="28"/>
          <w:szCs w:val="28"/>
          <w:rtl w:val="true"/>
          <w:lang w:bidi="fa-IR"/>
        </w:rPr>
        <w:t>یک امر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پیامبر گرامی اسلام صلی‌الله‌علیه‌وآله در فرصت‌های گوناگون، با مسلمانان تجدید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آیاتی در بارة بیعت نازل شده است که دو آیه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فتح،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ششم هجرت در بارة بیعت حدیبیه است که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اول، بیعت با پیامبر صلی‌الله‌علیه‌وآله را به همانند بیعت با خداوند قرار داده و به این صورت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ممتحنه،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بیعت زنان با پیامبر اکرم صلی‌الله‌علیه‌وآله است که پس از فتح مکه نازل شد و بیانگر چگونگی بیعت زنان با پیامبر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مربوط به بیعت دامنه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دراز دارد، ولی در اینجا به برخی از مباحث کلی آن به اجمال و گذرا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3"/>
        <w:numPr>
          <w:ilvl w:val="2"/>
          <w:numId w:val="1"/>
        </w:numPr>
        <w:rPr/>
      </w:pPr>
      <w:bookmarkStart w:id="403" w:name="__RefHeading___Toc643567_222507752"/>
      <w:bookmarkStart w:id="404" w:name="_Toc156"/>
      <w:bookmarkEnd w:id="403"/>
      <w:r>
        <w:rPr>
          <w:rtl w:val="true"/>
        </w:rPr>
        <w:t>پایه‌های بیعت</w:t>
      </w:r>
      <w:bookmarkEnd w:id="404"/>
    </w:p>
    <w:p>
      <w:pPr>
        <w:pStyle w:val="BookText"/>
        <w:rPr/>
      </w:pPr>
      <w:r>
        <w:rPr>
          <w:rFonts w:ascii="IRNazanin" w:hAnsi="IRNazanin" w:eastAsia="IRNazanin"/>
          <w:color w:val="111111"/>
          <w:sz w:val="28"/>
          <w:sz w:val="28"/>
          <w:szCs w:val="28"/>
          <w:rtl w:val="true"/>
          <w:lang w:bidi="fa-IR"/>
        </w:rPr>
        <w:t>بیعت دارای سه پایة مهم و نقش‌آفرین است که نبود هر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سبب پدیدنیامدن آن می‌شود، آن سه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او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بیعت که طرفین بر آن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بیعت‌کنندگان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که بر پایة مفاد بیعت، با بیعت‌شونده بیعت می‌کنند</w:t>
      </w:r>
      <w:r>
        <w:rPr>
          <w:rFonts w:eastAsia="IRNazanin" w:cs="IRNazanin"/>
          <w:color w:val="111111"/>
          <w:sz w:val="28"/>
          <w:szCs w:val="28"/>
          <w:rtl w:val="true"/>
          <w:lang w:bidi="fa-IR"/>
        </w:rPr>
        <w:t>.</w:t>
      </w:r>
    </w:p>
    <w:p>
      <w:pPr>
        <w:pStyle w:val="Heading3"/>
        <w:numPr>
          <w:ilvl w:val="2"/>
          <w:numId w:val="1"/>
        </w:numPr>
        <w:rPr/>
      </w:pPr>
      <w:bookmarkStart w:id="405" w:name="__RefHeading___Toc643569_222507752"/>
      <w:bookmarkStart w:id="406" w:name="_Toc157"/>
      <w:bookmarkEnd w:id="405"/>
      <w:r>
        <w:rPr>
          <w:rtl w:val="true"/>
        </w:rPr>
        <w:t>چگونگی و چیستی بیعت</w:t>
      </w:r>
      <w:bookmarkEnd w:id="406"/>
    </w:p>
    <w:p>
      <w:pPr>
        <w:pStyle w:val="BookText"/>
        <w:rPr/>
      </w:pPr>
      <w:r>
        <w:rPr>
          <w:rFonts w:ascii="IRNazanin" w:hAnsi="IRNazanin" w:eastAsia="IRNazanin"/>
          <w:color w:val="111111"/>
          <w:sz w:val="28"/>
          <w:sz w:val="28"/>
          <w:szCs w:val="28"/>
          <w:rtl w:val="true"/>
          <w:lang w:bidi="fa-IR"/>
        </w:rPr>
        <w:t xml:space="preserve">پدید‌آمدن بیعت و ابراز ارادة دو سوی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بیعت‌شونده و بیعت‌کننده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هر کار یا سخنی که به طور عرفی دلالت بر اراده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این امر داشته، و ناهمگونی با احکام شریعت نداشته باشد،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است که شکل انجام آن توسط معصومان علیهم‌السلام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گونه‌های مختلفی داشته و گاهی با رفتار و زمانی با سخن و گفتار انجام شده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انجام آن با زنان متفاوت از مردان بوده است، زیرا برخی از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بیعت با مردان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مشروع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بیعت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گاهی </w:t>
      </w:r>
    </w:p>
    <w:p>
      <w:pPr>
        <w:pStyle w:val="BookText"/>
        <w:rPr/>
      </w:pPr>
      <w:r>
        <w:rPr>
          <w:rFonts w:ascii="IRNazanin" w:hAnsi="IRNazanin" w:eastAsia="IRNazanin"/>
          <w:color w:val="111111"/>
          <w:sz w:val="28"/>
          <w:sz w:val="28"/>
          <w:szCs w:val="28"/>
          <w:rtl w:val="true"/>
          <w:lang w:bidi="fa-IR"/>
        </w:rPr>
        <w:t>با گفتار و گاهی با دست‌دادن از روی لباس و زمانی نیز با فروبردن دست در آب،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هیچ یک از این اشکال، موضوعیت ندارد و آن چه مهم است ابراز اراده طرفین به طریقی مفید و مشروع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ماهیت سیاسی ـ اجتماعی بیعت ناشی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بیعت، قراردادی دو طرفه است که از یک طرف بیعت‌کننده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اعلام فرمان‌برداری و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 دیگر، بیعت‌پذیرنده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حمایت و دفاع از بیعت‌کننده را برعهده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معاهده دو طرفه می‌باشد که هرکدام نسبت به دیگری تعهدی را می‌پذیرند تا در میان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آن تعهد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بیعت، یک نوع قرارداد و معاهده میان بیعت‌کننده از یک‌سو و بیعت‌پذیر از سوی دیگر است، و محتوی آن فرمان‌برداری و پیروی و حمایت و دفاع از بیعت‌شونده است و بر طبق شرایطی که یادآوری می‌کنند درجات مختلفی دارد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همان گونه که پیش از این نیز گفته شد در بارة پیامبر اسلام صلی‌الله‌علیه‌وآله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 امامان معصوم علیهم‌السلام ـ که از سوی خدا نصب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بیعت نیازی نیست؛ یعنی فرمان‌برداری پیامبر صلی‌الله‌علیه‌وآله و امام معصوم علیه‌السلام منصوب از سوی او، واجب است؛ چه بر کسانی که بیعت کرده‌اند و چه بر آنان که بیعت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لازمة مقام نبوّت و امامت، وجوب فرمانبرداری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اَطیعُوا اللّهَ وَاَطِیعُوا الرَّسُولَ وَأُولِی الاَمْرِ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 xml:space="preserve">ای کسانی که ایمان آورده‌اید خدا را فرمانبرداری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پرسش پیش می‌آید که اگر چنین است، چرا پیامبر صلی‌الله‌علیه‌وآله از یاران خود یا تازه‌مسلمانان، بیعت گرفت؟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این بیعت‌ها یک نوع یادآوری و پافشاری بر وفاداری بوده که در مواقع خاصی انجام می‌شده است؛ به ویژه هنگام بحران‌ها و حوادث که نیازمند پای</w:t>
      </w:r>
      <w:r>
        <w:rPr>
          <w:rFonts w:eastAsia="IRNazanin" w:cs="IRNazanin"/>
          <w:color w:val="111111"/>
          <w:sz w:val="28"/>
          <w:szCs w:val="28"/>
          <w:rtl w:val="true"/>
          <w:lang w:bidi="fa-IR"/>
        </w:rPr>
        <w:softHyphen/>
        <w:t xml:space="preserve"> </w:t>
      </w:r>
    </w:p>
    <w:p>
      <w:pPr>
        <w:pStyle w:val="BookText"/>
        <w:rPr/>
      </w:pPr>
      <w:r>
        <w:rPr>
          <w:rFonts w:ascii="IRNazanin" w:hAnsi="IRNazanin" w:eastAsia="IRNazanin"/>
          <w:color w:val="111111"/>
          <w:sz w:val="28"/>
          <w:sz w:val="28"/>
          <w:szCs w:val="28"/>
          <w:rtl w:val="true"/>
          <w:lang w:bidi="fa-IR"/>
        </w:rPr>
        <w:t>بندی به قرارداد است، تا در سایة آن، از بحران و حوادث به خوبی گذر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بیعت با حضرت مهدی عجل‌الله‌فرجه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نیز چنین خواهد بود که بیعت، پافشاری بر وفاداری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نخست حضرت مهدی علیه‌السلام هنگام ظهور، بیعت با یاران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بیعت، بر پایة روایات، در مسجد الحرام و میان رکن و مقام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که در جوامع روایی شیعه و اهل سنت،</w:t>
      </w:r>
      <w:r>
        <w:rPr>
          <w:rStyle w:val="FootnoteAnchor"/>
          <w:rtl w:val="true"/>
        </w:rPr>
        <w:footnoteReference w:id="201"/>
      </w:r>
      <w:r>
        <w:rPr>
          <w:rFonts w:ascii="IRNazanin" w:hAnsi="IRNazanin" w:eastAsia="IRNazanin"/>
          <w:color w:val="111111"/>
          <w:sz w:val="28"/>
          <w:sz w:val="28"/>
          <w:szCs w:val="28"/>
          <w:rtl w:val="true"/>
          <w:lang w:bidi="fa-IR"/>
        </w:rPr>
        <w:t>فراوان انعکاس یافته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مختلفی به این رخداد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اشاره خواهد شد که برخی از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پافشاری بر اینکه همة امور این اتفاق به طور عادی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کرده اندکه ، نخستین بیعت‌کننده با حضرت مهدی عجل‌الله‌فرجه، جبرئیل امین است  و پس از این بیعت ویژه، حضرت مهدی عجل‌الله‌فرجه با دیگر یاران خود بیعت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بیان شد در یک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برخی ویژگی‌های بیعت در فلسفة سیاسی اسلام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در آموزه‌های راستین اسلام، پیمانی است بر پایة آموزه‌های شرعی و در حقیقت پیمان با خداوند است،</w:t>
      </w:r>
      <w:r>
        <w:rPr>
          <w:rStyle w:val="FootnoteAnchor"/>
          <w:rtl w:val="true"/>
        </w:rPr>
        <w:footnoteReference w:id="202"/>
      </w:r>
      <w:r>
        <w:rPr>
          <w:rFonts w:ascii="IRNazanin" w:hAnsi="IRNazanin" w:eastAsia="IRNazanin"/>
          <w:color w:val="111111"/>
          <w:sz w:val="28"/>
          <w:sz w:val="28"/>
          <w:szCs w:val="28"/>
          <w:rtl w:val="true"/>
          <w:lang w:bidi="fa-IR"/>
        </w:rPr>
        <w:t>هرچند در آشکار دست در دست ولی خدا می‌گذارد و با او بیعت می‌کنند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بیعت‌شونده باید برگزیده و منصوب از طرف خداوند و خشنود پروردگار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بیعت با انسان فاسق پدید نخواهد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سازوکار و ماهیت امضایی دارد و نه پدیدآورنده، بدین معنا که کارکرد بیعت در جهت پذیرش مردمی و مقبولیت حکومت است و مشروعیت برای حکومت اسلامی به ارمغان نمی‌آورد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و محتوای بیعت از نگاه شرعی روا و جایز</w:t>
      </w:r>
      <w:r>
        <w:rPr>
          <w:rStyle w:val="FootnoteAnchor"/>
          <w:rtl w:val="true"/>
        </w:rPr>
        <w:footnoteReference w:id="204"/>
      </w:r>
      <w:r>
        <w:rPr>
          <w:rFonts w:ascii="IRNazanin" w:hAnsi="IRNazanin" w:eastAsia="IRNazanin"/>
          <w:color w:val="111111"/>
          <w:sz w:val="28"/>
          <w:sz w:val="28"/>
          <w:szCs w:val="28"/>
          <w:rtl w:val="true"/>
          <w:lang w:bidi="fa-IR"/>
        </w:rPr>
        <w:t>و در عمل، شدنی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w:t>
      </w:r>
      <w:bookmarkStart w:id="407" w:name="pg12658_166835"/>
    </w:p>
    <w:p>
      <w:pPr>
        <w:pStyle w:val="BookText"/>
        <w:rPr/>
      </w:pPr>
      <w:bookmarkEnd w:id="407"/>
      <w:r>
        <w:rPr>
          <w:rFonts w:ascii="IRNazanin" w:hAnsi="IRNazanin" w:eastAsia="IRNazanin"/>
          <w:color w:val="111111"/>
          <w:sz w:val="28"/>
          <w:sz w:val="28"/>
          <w:szCs w:val="28"/>
          <w:rtl w:val="true"/>
          <w:lang w:bidi="fa-IR"/>
        </w:rPr>
        <w:t>روایات پیامبر اکرم صلی‌الله‌علیه‌وآله وسلم در هنگام بیعت پافشاری بر آموزش این امر به بیعت‌کنندگان داشتند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به لحاظ حقوقی در انجام بیعت و عمل به مفاد آن آزاد هستند و بیعت در نظام سیاسی اسلام اختیاری است و برآمدة خواست دو طرف بیعت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ضمانت اجرایی دنیوی ندارد، به این معنا که اگر کسی برخلاف پیمان خود عمل کند، به مانند پیمان‌شکنان بازخواست و کیفر و دنیوی ندارد ـ مگر اینکه پیش‌تر برای آن پیش‌بینی شده باشد ـ هرچند که به جهت شکستن پیمان از گزند عذاب اخروی در امان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ناگفته نماند با دقت در روش پیشوایان معصوم علیهم‌السلام به دست می‌آید که اگر شخص دارای شرایط با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عمومی مردم، زمام امور رهبری جامعه اسلامی را به دست گرفت، حتی بر کسانی که با او بیعت نکرده‌اند، بایسته است که از او پیروی کنند و در برابر او نایستند</w:t>
      </w:r>
      <w:r>
        <w:rPr>
          <w:rFonts w:eastAsia="IRNazanin" w:cs="IRNazanin"/>
          <w:color w:val="111111"/>
          <w:sz w:val="28"/>
          <w:szCs w:val="28"/>
          <w:rtl w:val="true"/>
          <w:lang w:bidi="fa-IR"/>
        </w:rPr>
        <w:t>.</w:t>
      </w:r>
    </w:p>
    <w:p>
      <w:pPr>
        <w:pStyle w:val="Heading3"/>
        <w:numPr>
          <w:ilvl w:val="2"/>
          <w:numId w:val="1"/>
        </w:numPr>
        <w:rPr/>
      </w:pPr>
      <w:bookmarkStart w:id="408" w:name="__RefHeading___Toc643571_222507752"/>
      <w:bookmarkStart w:id="409" w:name="_Toc158"/>
      <w:bookmarkEnd w:id="408"/>
      <w:r>
        <w:rPr>
          <w:rtl w:val="true"/>
        </w:rPr>
        <w:t>بیعت ورأی‌دادن، شباهت‌ها و تفاوت‌ها</w:t>
      </w:r>
      <w:bookmarkEnd w:id="409"/>
    </w:p>
    <w:p>
      <w:pPr>
        <w:pStyle w:val="BookText"/>
        <w:rPr/>
      </w:pPr>
      <w:r>
        <w:rPr>
          <w:rFonts w:ascii="IRNazanin" w:hAnsi="IRNazanin" w:eastAsia="IRNazanin"/>
          <w:color w:val="111111"/>
          <w:sz w:val="28"/>
          <w:sz w:val="28"/>
          <w:szCs w:val="28"/>
          <w:rtl w:val="true"/>
          <w:lang w:bidi="fa-IR"/>
        </w:rPr>
        <w:t>آیا انتخابات ورأی‌گیری به مفهوم رایج امروزین آن چه نسبتی با بیعت دارد؟ به عبارت دیگر آیا می‌توان گفت بیعت در گذشته کارکرد انتخابات و رأی‌گیری را داشته است؟</w:t>
      </w:r>
    </w:p>
    <w:p>
      <w:pPr>
        <w:pStyle w:val="BookText"/>
        <w:rPr/>
      </w:pPr>
      <w:r>
        <w:rPr>
          <w:rFonts w:ascii="IRNazanin" w:hAnsi="IRNazanin" w:eastAsia="IRNazanin"/>
          <w:color w:val="111111"/>
          <w:sz w:val="28"/>
          <w:sz w:val="28"/>
          <w:szCs w:val="28"/>
          <w:rtl w:val="true"/>
          <w:lang w:bidi="fa-IR"/>
        </w:rPr>
        <w:t xml:space="preserve">اگرچه در بارة مفهوم رأی‌دادن، سخنان گوناگونی ذکر شده، ولی به نظر می‌رسد همه به یک نکته اساسی اشاره می‌کنند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فرایندی که به سبب آن کسانی، یک یا چند نامزد را برای انجام‌دادن کاری معین برمی‌گزینند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بیان روشن است که رأی‌گیری از جهت مفهوم لغوی و اصطلاحی با بیعت به‌طور کامل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یگانه شباهت آنها به یکدیگر آن است که هردو در فرایند شکل‌گیری یک حاکمیت نقش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نظام غیراسلامی</w:t>
      </w:r>
    </w:p>
    <w:p>
      <w:pPr>
        <w:pStyle w:val="BookText"/>
        <w:rPr/>
      </w:pPr>
      <w:r>
        <w:rPr>
          <w:rFonts w:ascii="IRNazanin" w:hAnsi="IRNazanin" w:eastAsia="IRNazanin"/>
          <w:color w:val="111111"/>
          <w:sz w:val="28"/>
          <w:sz w:val="28"/>
          <w:szCs w:val="28"/>
          <w:rtl w:val="true"/>
          <w:lang w:bidi="fa-IR"/>
        </w:rPr>
        <w:t xml:space="preserve">در نگاه نتیجة رأی‌گیری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است اما در نظام اسلامی و به ویژه نگاه پیروان مکتب اهل بیت علیهم‌السلام فقط رأی‌گیری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هم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اینکه رأی‌دادن، فقط انتخاب‌کردن است و نه تسلیم و اطاعت‌کردن، در حالی که در بیعت نوعی دل‌دادگی، سرسپردگی و فرمان‌برداری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پیش‌تر بیان شد، روشن است که شیعه برای حاکمیت، دو مقام را بایسته می‌داند؛ مقامی که در آن، حق ولایت و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دیگر مقامی که در آن،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از مسائل بنیادین و پایه‌ای،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مقام است که در نتیجه هر یک از این دو مقام نیز، قهرمان و نقش‌آفرین ویژة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حق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مقام صورت می‌گیرد و یگانه سبب تأثیرگذار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تصدی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دیگری، شکل می‌گیرد که در آن، بیعت مردم نقش داشته و کارکرد سیاسی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روایاتی که در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ونرید ان نمن علی الذین استضعفوا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پیشوایان معصوم علیهم‌السلام را مصداق این مستضعفان دانسته نیز چنین استفاده می‌شود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چرا که مراد از استضعاف این است که شخصی یا ایده‌ای مورد ستم واقع شود و جامعه به آن اقبال نکرده، آن را تنها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یا ایده‌ای که با چنین وضعیتی روبه‌رو شود از نظر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 فکری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استضعاف،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طرف مقابل اقتدار اجتماعی قرار دارد که مراد از آن، اقبال عمومی و پذیرش اجتماعی است که نتیجه آن، تقویت موقعیت اجتماعی و حاکمیت‌یافتن آن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حاکمیت یک شخص یا یک ایده در جامعه، به اقتدار اجتماعی بستگی دارد و به عبارت بهتر، تحقق و عدم تحقق حاکمیت، منوط به اقتدار و عدم اقتدار اجتماعی است و عناصر دیگر، حتی مشروعیت الهی در آن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bookmarkStart w:id="410" w:name="pg12658_166839"/>
    </w:p>
    <w:p>
      <w:pPr>
        <w:pStyle w:val="BookText"/>
        <w:rPr/>
      </w:pPr>
      <w:bookmarkEnd w:id="410"/>
      <w:r>
        <w:rPr>
          <w:rFonts w:ascii="IRNazanin" w:hAnsi="IRNazanin" w:eastAsia="IRNazanin"/>
          <w:color w:val="111111"/>
          <w:sz w:val="28"/>
          <w:sz w:val="28"/>
          <w:szCs w:val="28"/>
          <w:rtl w:val="true"/>
          <w:lang w:bidi="fa-IR"/>
        </w:rPr>
        <w:t>نقش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بیعت، تأمین‌کننده عنصر اقتدار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پافشاری اسلام بر عنصر آزادی و اختیار آدمی، نقش مردم در تشکیل حکومت مهدوی در قالب سازوکارهای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نمود می‌یابد که یکی از آنها اعلام آمادگی برای حمایت همه‌جانبه با سازوکار بیعت است</w:t>
      </w:r>
      <w:r>
        <w:rPr>
          <w:rFonts w:eastAsia="IRNazanin" w:cs="IRNazanin"/>
          <w:color w:val="111111"/>
          <w:sz w:val="28"/>
          <w:szCs w:val="28"/>
          <w:rtl w:val="true"/>
          <w:lang w:bidi="fa-IR"/>
        </w:rPr>
        <w:t>:</w:t>
      </w:r>
    </w:p>
    <w:p>
      <w:pPr>
        <w:pStyle w:val="Heading3"/>
        <w:numPr>
          <w:ilvl w:val="2"/>
          <w:numId w:val="1"/>
        </w:numPr>
        <w:rPr/>
      </w:pPr>
      <w:bookmarkStart w:id="411" w:name="__RefHeading___Toc643573_222507752"/>
      <w:bookmarkStart w:id="412" w:name="_Toc159"/>
      <w:bookmarkEnd w:id="411"/>
      <w:r>
        <w:rPr>
          <w:rtl w:val="true"/>
        </w:rPr>
        <w:t>آثار بیعت</w:t>
      </w:r>
      <w:bookmarkEnd w:id="412"/>
    </w:p>
    <w:p>
      <w:pPr>
        <w:pStyle w:val="Heading4"/>
        <w:numPr>
          <w:ilvl w:val="3"/>
          <w:numId w:val="1"/>
        </w:numPr>
        <w:rPr/>
      </w:pPr>
      <w:bookmarkStart w:id="413" w:name="__RefHeading___Toc643575_222507752"/>
      <w:bookmarkStart w:id="414" w:name="_Toc160"/>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بیعت برخی از ویژگی‌های بیعت‌کننده و بیعت‌شونده را آشکار می‌کند که به مواردی اشاره می‌شود</w:t>
      </w:r>
      <w:r>
        <w:rPr>
          <w:rFonts w:eastAsia="IRNazanin" w:cs="IRNazanin"/>
          <w:color w:val="111111"/>
          <w:sz w:val="28"/>
          <w:szCs w:val="28"/>
          <w:rtl w:val="true"/>
          <w:lang w:bidi="fa-IR"/>
        </w:rPr>
        <w:t>:</w:t>
      </w:r>
    </w:p>
    <w:p>
      <w:pPr>
        <w:pStyle w:val="Heading4"/>
        <w:numPr>
          <w:ilvl w:val="3"/>
          <w:numId w:val="1"/>
        </w:numPr>
        <w:rPr/>
      </w:pPr>
      <w:bookmarkStart w:id="415" w:name="__RefHeading___Toc643577_222507752"/>
      <w:bookmarkStart w:id="416" w:name="_Toc161"/>
      <w:bookmarkEnd w:id="415"/>
      <w:r>
        <w:rPr/>
        <w:t>1</w:t>
      </w:r>
      <w:r>
        <w:rPr>
          <w:rtl w:val="true"/>
        </w:rPr>
        <w:t xml:space="preserve">. </w:t>
      </w:r>
      <w:r>
        <w:rPr>
          <w:rtl w:val="true"/>
        </w:rPr>
        <w:t>ابراز آمادگی</w:t>
      </w:r>
      <w:bookmarkEnd w:id="416"/>
    </w:p>
    <w:p>
      <w:pPr>
        <w:pStyle w:val="BookText"/>
        <w:rPr/>
      </w:pPr>
      <w:r>
        <w:rPr>
          <w:rFonts w:ascii="IRNazanin" w:hAnsi="IRNazanin" w:eastAsia="IRNazanin"/>
          <w:color w:val="111111"/>
          <w:sz w:val="28"/>
          <w:sz w:val="28"/>
          <w:szCs w:val="28"/>
          <w:rtl w:val="true"/>
          <w:lang w:bidi="fa-IR"/>
        </w:rPr>
        <w:t>در حقیقت بیعت ابراز آمادگی قلبی برای انجام دستورات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مرتضی مطهری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بیعت در بعضی موارد صرفاً اعتراف و اظهار آمادگی است، قول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بیعتی که پیغمبر اکرم صلی‌الله‌علیه‌وآله گرفت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بود… تا شخص بیعت نکرده، فقط همان وظیفه کلی است که قابل تفسیر و تأویل است، ولی با بیعت، شخص به طور مشخص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طرف و مطلب از ابهام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بعد هم وجدان خود را نیز گرو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بعید نیست که شرعاً نیز الزامی فوق الزام اولی ایجاد کند</w:t>
      </w:r>
      <w:r>
        <w:rPr>
          <w:rFonts w:eastAsia="IRNazanin" w:cs="IRNazanin"/>
          <w:color w:val="111111"/>
          <w:sz w:val="28"/>
          <w:szCs w:val="28"/>
          <w:rtl w:val="true"/>
          <w:lang w:bidi="fa-IR"/>
        </w:rPr>
        <w:t xml:space="preserve">. </w:t>
      </w:r>
      <w:r>
        <w:rPr>
          <w:rStyle w:val="FootnoteAnchor"/>
          <w:rtl w:val="true"/>
        </w:rPr>
        <w:footnoteReference w:id="207"/>
      </w:r>
    </w:p>
    <w:p>
      <w:pPr>
        <w:pStyle w:val="Heading4"/>
        <w:numPr>
          <w:ilvl w:val="3"/>
          <w:numId w:val="1"/>
        </w:numPr>
        <w:rPr/>
      </w:pPr>
      <w:bookmarkStart w:id="417" w:name="__RefHeading___Toc643579_222507752"/>
      <w:bookmarkStart w:id="418" w:name="_Toc162"/>
      <w:bookmarkEnd w:id="417"/>
      <w:r>
        <w:rPr/>
        <w:t>2</w:t>
      </w:r>
      <w:r>
        <w:rPr>
          <w:rtl w:val="true"/>
        </w:rPr>
        <w:t xml:space="preserve">. </w:t>
      </w:r>
      <w:r>
        <w:rPr>
          <w:rtl w:val="true"/>
        </w:rPr>
        <w:t>پذیرش ولایت</w:t>
      </w:r>
      <w:bookmarkEnd w:id="418"/>
    </w:p>
    <w:p>
      <w:pPr>
        <w:pStyle w:val="BookText"/>
        <w:rPr/>
      </w:pPr>
      <w:r>
        <w:rPr>
          <w:rFonts w:ascii="IRNazanin" w:hAnsi="IRNazanin" w:eastAsia="IRNazanin"/>
          <w:color w:val="111111"/>
          <w:sz w:val="28"/>
          <w:sz w:val="28"/>
          <w:szCs w:val="28"/>
          <w:rtl w:val="true"/>
          <w:lang w:bidi="fa-IR"/>
        </w:rPr>
        <w:t>بیعت زمینه را همواره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امام بتواند به خوبی اعمال ولایت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بیعت در عصر حضور فقط یک وظیفه دینی ـ سیاسی برای فراهم‌کردن زمینه و پدید‌آوردن سرپرستی پیشوای معصوم است و نباید پنداشت که امام با بیعت به سرپرستی جامعه برگزیده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بیعت سبب پدیدآمدن ولایت برای کسانی که ولایت ندارند، نیست؛ بلکه شرط پدیدارشدن ولایت، برای کسانی است که ولایت شرعی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ثابت شده است</w:t>
      </w:r>
      <w:r>
        <w:rPr>
          <w:rFonts w:eastAsia="IRNazanin" w:cs="IRNazanin"/>
          <w:color w:val="111111"/>
          <w:sz w:val="28"/>
          <w:szCs w:val="28"/>
          <w:rtl w:val="true"/>
          <w:lang w:bidi="fa-IR"/>
        </w:rPr>
        <w:t xml:space="preserve">. </w:t>
      </w:r>
      <w:bookmarkStart w:id="419" w:name="pg12658_166841"/>
    </w:p>
    <w:p>
      <w:pPr>
        <w:pStyle w:val="Heading4"/>
        <w:numPr>
          <w:ilvl w:val="3"/>
          <w:numId w:val="1"/>
        </w:numPr>
        <w:rPr/>
      </w:pPr>
      <w:bookmarkStart w:id="420" w:name="__RefHeading___Toc643581_222507752"/>
      <w:bookmarkStart w:id="421" w:name="_Toc163"/>
      <w:bookmarkEnd w:id="419"/>
      <w:bookmarkEnd w:id="420"/>
      <w:r>
        <w:rPr/>
        <w:t>3</w:t>
      </w:r>
      <w:r>
        <w:rPr>
          <w:rtl w:val="true"/>
        </w:rPr>
        <w:t xml:space="preserve">. </w:t>
      </w:r>
      <w:r>
        <w:rPr>
          <w:rtl w:val="true"/>
        </w:rPr>
        <w:t>یادآوری پای</w:t>
      </w:r>
      <w:r>
        <w:rPr>
          <w:rtl w:val="true"/>
        </w:rPr>
        <w:softHyphen/>
      </w:r>
      <w:r>
        <w:rPr>
          <w:rtl w:val="true"/>
        </w:rPr>
        <w:t>بندی به وظیفه</w:t>
      </w:r>
      <w:bookmarkEnd w:id="421"/>
    </w:p>
    <w:p>
      <w:pPr>
        <w:pStyle w:val="BookText"/>
        <w:rPr/>
      </w:pPr>
      <w:r>
        <w:rPr>
          <w:rFonts w:ascii="IRNazanin" w:hAnsi="IRNazanin" w:eastAsia="IRNazanin"/>
          <w:color w:val="111111"/>
          <w:sz w:val="28"/>
          <w:sz w:val="28"/>
          <w:szCs w:val="28"/>
          <w:rtl w:val="true"/>
          <w:lang w:bidi="fa-IR"/>
        </w:rPr>
        <w:t>بیعت 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مردم احساس وظیفه کنند مانند پیمانی که از کسی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برای کاری که بر وی واجب بوده است و باید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ولی باز پیمان از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تا به وظیفه خود عمل کند</w:t>
      </w:r>
      <w:r>
        <w:rPr>
          <w:rFonts w:eastAsia="IRNazanin" w:cs="IRNazanin"/>
          <w:color w:val="111111"/>
          <w:sz w:val="28"/>
          <w:szCs w:val="28"/>
          <w:rtl w:val="true"/>
          <w:lang w:bidi="fa-IR"/>
        </w:rPr>
        <w:t>.</w:t>
      </w:r>
    </w:p>
    <w:p>
      <w:pPr>
        <w:pStyle w:val="Heading4"/>
        <w:numPr>
          <w:ilvl w:val="3"/>
          <w:numId w:val="1"/>
        </w:numPr>
        <w:rPr/>
      </w:pPr>
      <w:bookmarkStart w:id="422" w:name="__RefHeading___Toc643583_222507752"/>
      <w:bookmarkStart w:id="423" w:name="_Toc164"/>
      <w:bookmarkEnd w:id="422"/>
      <w:r>
        <w:rPr/>
        <w:t>4</w:t>
      </w:r>
      <w:r>
        <w:rPr>
          <w:rtl w:val="true"/>
        </w:rPr>
        <w:t xml:space="preserve">. </w:t>
      </w:r>
      <w:r>
        <w:rPr>
          <w:rtl w:val="true"/>
        </w:rPr>
        <w:t>پافشاری بر وفاداری</w:t>
      </w:r>
      <w:bookmarkEnd w:id="423"/>
    </w:p>
    <w:p>
      <w:pPr>
        <w:pStyle w:val="BookText"/>
        <w:rPr/>
      </w:pPr>
      <w:r>
        <w:rPr>
          <w:rFonts w:ascii="IRNazanin" w:hAnsi="IRNazanin" w:eastAsia="IRNazanin"/>
          <w:color w:val="111111"/>
          <w:sz w:val="28"/>
          <w:sz w:val="28"/>
          <w:szCs w:val="28"/>
          <w:rtl w:val="true"/>
          <w:lang w:bidi="fa-IR"/>
        </w:rPr>
        <w:t>بیعت، تبلور وفاداری بیعت‌کننده است؛ تا آمادگی خود را برای در اختیارقراردادن همة توان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برای امام، اعلام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در عصر پیامبر اکرم صلی‌الله‌علیه‌وآله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بوده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بنابراین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در عهد حضور، بیعت نفیاً و اثباتاً در امامت نقشی ندارد</w:t>
      </w:r>
      <w:r>
        <w:rPr>
          <w:rStyle w:val="FootnoteAnchor"/>
          <w:rtl w:val="true"/>
        </w:rPr>
        <w:footnoteReference w:id="209"/>
      </w:r>
      <w:r>
        <w:rPr>
          <w:rFonts w:ascii="IRNazanin" w:hAnsi="IRNazanin" w:eastAsia="IRNazanin"/>
          <w:color w:val="111111"/>
          <w:sz w:val="28"/>
          <w:sz w:val="28"/>
          <w:szCs w:val="28"/>
          <w:rtl w:val="true"/>
          <w:lang w:bidi="fa-IR"/>
        </w:rPr>
        <w:t>و فقط برای فراهم‌کردن توان و قدرت اجرایی و فراهم‌آوری زمینه‌های اجرای احکام اسلامی نقش دارد و بیعت‌کنندگان به حکم وظیفه باید تمامی امکانات خود را در اختیار امام زمان علیه‌السلام قرار دهند و همة توان خود را در راه اسلام هدیه کنند</w:t>
      </w:r>
      <w:r>
        <w:rPr>
          <w:rFonts w:eastAsia="IRNazanin" w:cs="IRNazanin"/>
          <w:color w:val="111111"/>
          <w:sz w:val="28"/>
          <w:szCs w:val="28"/>
          <w:rtl w:val="true"/>
          <w:lang w:bidi="fa-IR"/>
        </w:rPr>
        <w:t>.</w:t>
      </w:r>
    </w:p>
    <w:p>
      <w:pPr>
        <w:pStyle w:val="Heading3"/>
        <w:numPr>
          <w:ilvl w:val="2"/>
          <w:numId w:val="1"/>
        </w:numPr>
        <w:rPr/>
      </w:pPr>
      <w:bookmarkStart w:id="424" w:name="__RefHeading___Toc643585_222507752"/>
      <w:bookmarkStart w:id="425" w:name="_Toc165"/>
      <w:bookmarkEnd w:id="424"/>
      <w:r>
        <w:rPr>
          <w:rtl w:val="true"/>
        </w:rPr>
        <w:t>بیعت با امام مهدی علیه‌السلام، از نگاه روایات</w:t>
      </w:r>
      <w:bookmarkEnd w:id="425"/>
    </w:p>
    <w:p>
      <w:pPr>
        <w:pStyle w:val="Heading4"/>
        <w:numPr>
          <w:ilvl w:val="3"/>
          <w:numId w:val="1"/>
        </w:numPr>
        <w:rPr/>
      </w:pPr>
      <w:bookmarkStart w:id="426" w:name="__RefHeading___Toc643587_222507752"/>
      <w:bookmarkStart w:id="427" w:name="_Toc166"/>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روایات مربوط به بیعت با حضرت مهدی علیه‌السلام از جهت معنا و مفهوم متواتر است؛ بنابراین در اثبات اصل این اتفاق نیازمند بررسی در روایات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که با شمار گوناگون در منابع شیعه و اهل سنت نقل شده است به طور عمده به موضوعات زیر اشاره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Heading4"/>
        <w:numPr>
          <w:ilvl w:val="3"/>
          <w:numId w:val="1"/>
        </w:numPr>
        <w:rPr/>
      </w:pPr>
      <w:bookmarkStart w:id="428" w:name="__RefHeading___Toc643589_222507752"/>
      <w:bookmarkStart w:id="429" w:name="_Toc167"/>
      <w:bookmarkEnd w:id="428"/>
      <w:r>
        <w:rPr/>
        <w:t>1</w:t>
      </w:r>
      <w:r>
        <w:rPr>
          <w:rtl w:val="true"/>
        </w:rPr>
        <w:t xml:space="preserve">. </w:t>
      </w:r>
      <w:r>
        <w:rPr>
          <w:rtl w:val="true"/>
        </w:rPr>
        <w:t>بیعت‌کنندگان</w:t>
      </w:r>
      <w:bookmarkEnd w:id="429"/>
    </w:p>
    <w:p>
      <w:pPr>
        <w:pStyle w:val="Heading5"/>
        <w:numPr>
          <w:ilvl w:val="4"/>
          <w:numId w:val="1"/>
        </w:numPr>
        <w:rPr/>
      </w:pPr>
      <w:bookmarkStart w:id="430" w:name="__RefHeading___Toc643591_222507752"/>
      <w:bookmarkStart w:id="431" w:name="_Toc168"/>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در این دسته روایات به کسانی اشاره کرده که در بیعت با آن حضرت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دو دسته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Heading5"/>
        <w:numPr>
          <w:ilvl w:val="4"/>
          <w:numId w:val="1"/>
        </w:numPr>
        <w:rPr/>
      </w:pPr>
      <w:bookmarkStart w:id="432" w:name="__RefHeading___Toc643593_222507752"/>
      <w:bookmarkStart w:id="433" w:name="_Toc169"/>
      <w:bookmarkEnd w:id="432"/>
      <w:r>
        <w:rPr/>
        <w:t>1</w:t>
      </w:r>
      <w:r>
        <w:rPr>
          <w:rtl w:val="true"/>
        </w:rPr>
        <w:t>ـ</w:t>
      </w:r>
      <w:r>
        <w:rPr/>
        <w:t>1</w:t>
      </w:r>
      <w:r>
        <w:rPr>
          <w:rtl w:val="true"/>
        </w:rPr>
        <w:t xml:space="preserve">. </w:t>
      </w:r>
      <w:r>
        <w:rPr>
          <w:rtl w:val="true"/>
        </w:rPr>
        <w:t>بیعت جبرئیل فرشتة وحی</w:t>
      </w:r>
      <w:bookmarkEnd w:id="433"/>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جبرئیل فرشتة وحی</w:t>
      </w:r>
      <w:r>
        <w:rPr>
          <w:rStyle w:val="FootnoteAnchor"/>
          <w:rtl w:val="true"/>
        </w:rPr>
        <w:footnoteReference w:id="21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روایات از امین وحی با عنوان نخستین کسی که با مهدی موعود علیه السلام </w:t>
      </w:r>
      <w:bookmarkStart w:id="434" w:name="pg12658_166843"/>
    </w:p>
    <w:p>
      <w:pPr>
        <w:pStyle w:val="BookText"/>
        <w:rPr/>
      </w:pPr>
      <w:bookmarkEnd w:id="434"/>
      <w:r>
        <w:rPr>
          <w:rFonts w:ascii="IRNazanin" w:hAnsi="IRNazanin" w:eastAsia="IRNazanin"/>
          <w:color w:val="111111"/>
          <w:sz w:val="28"/>
          <w:sz w:val="28"/>
          <w:szCs w:val="28"/>
          <w:rtl w:val="true"/>
          <w:lang w:bidi="fa-IR"/>
        </w:rPr>
        <w:t>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با تعبیرهایی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یُبَایِعُ الْقَائِمَ علیه‌السلام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فَیَکُونُ أَوَّلَ خَلْقِ اللَّهِ مُبَایَعَةً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فَیَکُونُ أَوَّلُ مَنْ یُبَایِعُهُ جَبْرَئِیلَ</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أَوَّلُ مَنْ یُبَایِعُ الْقَائِمَ جَبْرَئِیلُ</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به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p>
    <w:p>
      <w:pPr>
        <w:pStyle w:val="Heading5"/>
        <w:numPr>
          <w:ilvl w:val="4"/>
          <w:numId w:val="1"/>
        </w:numPr>
        <w:rPr/>
      </w:pPr>
      <w:bookmarkStart w:id="435" w:name="__RefHeading___Toc643595_222507752"/>
      <w:bookmarkStart w:id="436" w:name="_Toc170"/>
      <w:bookmarkEnd w:id="435"/>
      <w:r>
        <w:rPr/>
        <w:t>1-2</w:t>
      </w:r>
      <w:r>
        <w:rPr>
          <w:rtl w:val="true"/>
        </w:rPr>
        <w:t xml:space="preserve">. </w:t>
      </w:r>
      <w:r>
        <w:rPr>
          <w:rtl w:val="true"/>
        </w:rPr>
        <w:t>بیعت یاران خاص</w:t>
      </w:r>
      <w:r>
        <w:rPr>
          <w:rtl w:val="true"/>
        </w:rPr>
        <w:t>(</w:t>
      </w:r>
      <w:r>
        <w:rPr>
          <w:rtl w:val="true"/>
        </w:rPr>
        <w:t>سیصد و سیزده نفر</w:t>
      </w:r>
      <w:r>
        <w:rPr>
          <w:rtl w:val="true"/>
        </w:rPr>
        <w:t>)</w:t>
      </w:r>
      <w:bookmarkEnd w:id="43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بیعت با امام مهدی علیه‌السلام دارای ارزش است بیعت یاران، یاوران و مردم با مهدی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با تعبیرهایی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یبایع بین الرکن و المقام ثلاثمأة و نیف عدة اهل بدر</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یبایعه الناس الثلاثماة و ثلاث عشر</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به این مهم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روایاتی که در آن به روشنی به بیعت شمار ویژه‌ای از یاران حضرت اشاره شده است، از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نیز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بزرگی از شایستگان، فرودستان، شیعیان و یکتاپرستان حق‌طلب و عدالت‌گرا که با وحدت و انسجام و هم‌راهی با ایشان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فرمایش رسول اکرم صلی‌الله‌علیه‌وآله گروهی از خراسان هستند که در کوفه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مهدی علیه‌السلام ظهور می‌کند، این گروه برای بیعت نزد او فرستاده می‌شود</w:t>
      </w:r>
      <w:r>
        <w:rPr>
          <w:rFonts w:eastAsia="IRNazanin" w:cs="IRNazanin"/>
          <w:color w:val="111111"/>
          <w:sz w:val="28"/>
          <w:szCs w:val="28"/>
          <w:rtl w:val="true"/>
          <w:lang w:bidi="fa-IR"/>
        </w:rPr>
        <w:t>.</w:t>
      </w:r>
      <w:r>
        <w:rPr>
          <w:rStyle w:val="FootnoteAnchor"/>
          <w:rtl w:val="true"/>
        </w:rPr>
        <w:footnoteReference w:id="217"/>
      </w:r>
    </w:p>
    <w:p>
      <w:pPr>
        <w:pStyle w:val="Heading5"/>
        <w:numPr>
          <w:ilvl w:val="4"/>
          <w:numId w:val="1"/>
        </w:numPr>
        <w:rPr/>
      </w:pPr>
      <w:bookmarkStart w:id="437" w:name="__RefHeading___Toc643597_222507752"/>
      <w:bookmarkStart w:id="438" w:name="_Toc171"/>
      <w:bookmarkEnd w:id="437"/>
      <w:r>
        <w:rPr/>
        <w:t>1-3</w:t>
      </w:r>
      <w:r>
        <w:rPr>
          <w:rtl w:val="true"/>
        </w:rPr>
        <w:t xml:space="preserve">. </w:t>
      </w:r>
      <w:r>
        <w:rPr>
          <w:rtl w:val="true"/>
        </w:rPr>
        <w:t>برخی از مردم</w:t>
      </w:r>
      <w:bookmarkEnd w:id="43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روایات افزون بر 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یادشده، سخن از بیعت مردم با آن حضرت به میان آمده است که ممکن است مقصود پذیرش آن حضرت در برخورد نخست با آن حضرت در مسجد الحرام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ابوبصیر از امام صادق علیه‌السلام نقل کرده که</w:t>
      </w:r>
      <w:r>
        <w:rPr>
          <w:rFonts w:eastAsia="IRNazanin" w:cs="IRNazanin"/>
          <w:color w:val="111111"/>
          <w:sz w:val="28"/>
          <w:szCs w:val="28"/>
          <w:rtl w:val="true"/>
          <w:lang w:bidi="fa-IR"/>
        </w:rPr>
        <w:t xml:space="preserve">: </w:t>
      </w:r>
      <w:bookmarkStart w:id="439" w:name="pg12658_166845"/>
    </w:p>
    <w:p>
      <w:pPr>
        <w:pStyle w:val="BookText"/>
        <w:rPr/>
      </w:pPr>
      <w:bookmarkEnd w:id="439"/>
      <w:r>
        <w:rPr>
          <w:rFonts w:ascii="Amiri" w:hAnsi="Amiri" w:eastAsia="Amiri" w:cs="Amiri"/>
          <w:color w:val="111111"/>
          <w:sz w:val="28"/>
          <w:sz w:val="28"/>
          <w:szCs w:val="28"/>
          <w:rtl w:val="true"/>
          <w:lang w:bidi="ar-SA"/>
        </w:rPr>
        <w:t>وَ اللَّهِ لَکَأَنِّی أَنْظُرُ إِلَیْهِ بَیْنَ الرُّکْنِ وَ الْمَقَامِ یُبَایِعُ النَّاسَ؛</w:t>
      </w:r>
      <w:r>
        <w:rPr>
          <w:rStyle w:val="FootnoteAnchor"/>
          <w:rtl w:val="true"/>
        </w:rPr>
        <w:footnoteReference w:id="218"/>
      </w:r>
      <w:r>
        <w:rPr>
          <w:rFonts w:ascii="IRNazanin" w:hAnsi="IRNazanin" w:eastAsia="IRNazanin"/>
          <w:color w:val="111111"/>
          <w:sz w:val="28"/>
          <w:sz w:val="28"/>
          <w:szCs w:val="28"/>
          <w:rtl w:val="true"/>
          <w:lang w:bidi="fa-IR"/>
        </w:rPr>
        <w:t>به خدا سوگند گوئی هم اکنون به او می‌نگرم که میان رکن و مقام از مردم بیعت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نیز بدون اشاره به افراد ویژه، فقط به اصل بیعت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به روشنی پذیرش همگانی آن حضرت توسط مردم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ممکن است مقصود امام در این سخن نیز همان یاران خاص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مستدرک حاکم از رسول اکرم صلی‌الله‌علیه‌وآله وسلم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یبایع لرجل من امتی بین الرکن و المقام؛</w:t>
      </w:r>
      <w:r>
        <w:rPr>
          <w:rStyle w:val="FootnoteAnchor"/>
          <w:rtl w:val="true"/>
        </w:rPr>
        <w:footnoteReference w:id="219"/>
      </w:r>
      <w:r>
        <w:rPr>
          <w:rFonts w:ascii="IRNazanin" w:hAnsi="IRNazanin" w:eastAsia="IRNazanin"/>
          <w:color w:val="111111"/>
          <w:sz w:val="28"/>
          <w:sz w:val="28"/>
          <w:szCs w:val="28"/>
          <w:rtl w:val="true"/>
          <w:lang w:bidi="fa-IR"/>
        </w:rPr>
        <w:t>برای مردی از امت من میان رکن و مقام بیعت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4"/>
        <w:numPr>
          <w:ilvl w:val="3"/>
          <w:numId w:val="1"/>
        </w:numPr>
        <w:rPr/>
      </w:pPr>
      <w:bookmarkStart w:id="440" w:name="__RefHeading___Toc643599_222507752"/>
      <w:bookmarkStart w:id="441" w:name="_Toc172"/>
      <w:bookmarkEnd w:id="440"/>
      <w:r>
        <w:rPr/>
        <w:t>2</w:t>
      </w:r>
      <w:r>
        <w:rPr>
          <w:rtl w:val="true"/>
        </w:rPr>
        <w:t xml:space="preserve">. </w:t>
      </w:r>
      <w:r>
        <w:rPr>
          <w:rtl w:val="true"/>
        </w:rPr>
        <w:t>مکان بیعت</w:t>
      </w:r>
      <w:bookmarkEnd w:id="441"/>
    </w:p>
    <w:p>
      <w:pPr>
        <w:pStyle w:val="BookText"/>
        <w:rPr/>
      </w:pPr>
      <w:r>
        <w:rPr>
          <w:rFonts w:ascii="IRNazanin" w:hAnsi="IRNazanin" w:eastAsia="IRNazanin"/>
          <w:color w:val="111111"/>
          <w:sz w:val="28"/>
          <w:sz w:val="28"/>
          <w:szCs w:val="28"/>
          <w:rtl w:val="true"/>
          <w:lang w:bidi="fa-IR"/>
        </w:rPr>
        <w:t>پیش از این نیز اشاره شد، روایات مکان بیعت با حضرت مهدی علیه‌السلام را در مسجد الحرام، میان رکن و مقام یاد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220"/>
      </w:r>
    </w:p>
    <w:p>
      <w:pPr>
        <w:pStyle w:val="Heading4"/>
        <w:numPr>
          <w:ilvl w:val="3"/>
          <w:numId w:val="1"/>
        </w:numPr>
        <w:rPr/>
      </w:pPr>
      <w:bookmarkStart w:id="442" w:name="__RefHeading___Toc643601_222507752"/>
      <w:bookmarkStart w:id="443" w:name="_Toc173"/>
      <w:bookmarkEnd w:id="442"/>
      <w:r>
        <w:rPr/>
        <w:t>3</w:t>
      </w:r>
      <w:r>
        <w:rPr>
          <w:rtl w:val="true"/>
        </w:rPr>
        <w:t xml:space="preserve">. </w:t>
      </w:r>
      <w:r>
        <w:rPr>
          <w:rtl w:val="true"/>
        </w:rPr>
        <w:t>محتوا و مفاد بیعت</w:t>
      </w:r>
      <w:bookmarkEnd w:id="443"/>
    </w:p>
    <w:p>
      <w:pPr>
        <w:pStyle w:val="Heading5"/>
        <w:numPr>
          <w:ilvl w:val="4"/>
          <w:numId w:val="1"/>
        </w:numPr>
        <w:rPr/>
      </w:pPr>
      <w:bookmarkStart w:id="444" w:name="__RefHeading___Toc643603_222507752"/>
      <w:bookmarkStart w:id="445" w:name="_Toc174"/>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با توجه به آنچه یادشد محتوای اساسی بیعت، اعلام آمادگی یاران، یاوران و تودة مردم برای انجام کارهای مورد نظر از طرف امام معصوم علیه‌السلام در جهت رسیدن به پیروزی و برپایی حکومت عدل جهانی است و آن چیزی جز عمل به دستورات پروردگار بزرگ در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نیست</w:t>
      </w:r>
      <w:r>
        <w:rPr>
          <w:rFonts w:eastAsia="IRNazanin" w:cs="IRNazanin"/>
          <w:color w:val="111111"/>
          <w:sz w:val="28"/>
          <w:szCs w:val="28"/>
          <w:rtl w:val="true"/>
          <w:lang w:bidi="fa-IR"/>
        </w:rPr>
        <w:t>.</w:t>
      </w:r>
    </w:p>
    <w:p>
      <w:pPr>
        <w:pStyle w:val="Heading5"/>
        <w:numPr>
          <w:ilvl w:val="4"/>
          <w:numId w:val="1"/>
        </w:numPr>
        <w:rPr/>
      </w:pPr>
      <w:bookmarkStart w:id="446" w:name="__RefHeading___Toc643605_222507752"/>
      <w:bookmarkStart w:id="447" w:name="_Toc175"/>
      <w:bookmarkEnd w:id="446"/>
      <w:r>
        <w:rPr>
          <w:rtl w:val="true"/>
        </w:rPr>
        <w:t>یک بررسی کوتاه در مفاد بیعت</w:t>
      </w:r>
      <w:bookmarkEnd w:id="447"/>
    </w:p>
    <w:p>
      <w:pPr>
        <w:pStyle w:val="BookText"/>
        <w:rPr/>
      </w:pPr>
      <w:r>
        <w:rPr>
          <w:rFonts w:ascii="IRNazanin" w:hAnsi="IRNazanin" w:eastAsia="IRNazanin"/>
          <w:color w:val="111111"/>
          <w:sz w:val="28"/>
          <w:sz w:val="28"/>
          <w:szCs w:val="28"/>
          <w:rtl w:val="true"/>
          <w:lang w:bidi="fa-IR"/>
        </w:rPr>
        <w:t>آنچه به عنوان روایت منسوب به علی علیه‌السلام در روایتی آمده که حضرت مهدی علیه‌السلام در مفاد مشخصی با یاران خاص خود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نیازمند بررسی و دقت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را سید بن طاووس در کتاب التشریف بالمنن فی التعریف بالفتن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w:t>
      </w:r>
    </w:p>
    <w:p>
      <w:pPr>
        <w:pStyle w:val="BookText"/>
        <w:rPr/>
      </w:pPr>
      <w:r>
        <w:rPr>
          <w:rFonts w:ascii="IRNazanin" w:hAnsi="IRNazanin" w:eastAsia="IRNazanin"/>
          <w:color w:val="111111"/>
          <w:sz w:val="28"/>
          <w:sz w:val="28"/>
          <w:szCs w:val="28"/>
          <w:rtl w:val="true"/>
          <w:lang w:bidi="fa-IR"/>
        </w:rPr>
        <w:t>به ملاحم و 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فتن سلیلی نقل کرده و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در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منابع معتبر ـ حتی مضمون آن نیز ـ به چشم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دلیل رواج استفاده آن در برخی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مناسب است تا حد ممکن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مفصل که در باب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یادآوری سند</w:t>
      </w:r>
      <w:r>
        <w:rPr>
          <w:rStyle w:val="FootnoteAnchor"/>
          <w:rtl w:val="true"/>
        </w:rPr>
        <w:footnoteReference w:id="221"/>
      </w:r>
      <w:r>
        <w:rPr>
          <w:rFonts w:ascii="IRNazanin" w:hAnsi="IRNazanin" w:eastAsia="IRNazanin"/>
          <w:color w:val="111111"/>
          <w:sz w:val="28"/>
          <w:sz w:val="28"/>
          <w:szCs w:val="28"/>
          <w:rtl w:val="true"/>
          <w:lang w:bidi="fa-IR"/>
        </w:rPr>
        <w:t>از ابوصالح سلیلی</w:t>
      </w:r>
      <w:r>
        <w:rPr>
          <w:rStyle w:val="FootnoteAnchor"/>
          <w:rtl w:val="true"/>
        </w:rPr>
        <w:footnoteReference w:id="222"/>
      </w:r>
      <w:r>
        <w:rPr>
          <w:rFonts w:ascii="IRNazanin" w:hAnsi="IRNazanin" w:eastAsia="IRNazanin"/>
          <w:color w:val="111111"/>
          <w:sz w:val="28"/>
          <w:sz w:val="28"/>
          <w:szCs w:val="28"/>
          <w:rtl w:val="true"/>
          <w:lang w:bidi="fa-IR"/>
        </w:rPr>
        <w:t>از علی علیه‌السلام نقل کرده، پس از بیان شهرهای یاران حضرت مهدی علیه‌السلام، به شروطی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که آن حضرت برای پذیرش بیعت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می‌کنند که هرگز دزدی نکنند، مرتکب فحشا نشوند، کسی را نکشند، حریمی را هتک نکنند، مسلمانی را دشنام ندهند، به خانه کسی هجوم نبرند، کسی را به ناحق نزنند، در برابر سیم و زر سر فرود نیاورند، حریر و خز نپوشند، مسجدی را خراب نکنند و راهی را نبندند، به یتیمی ستم نکنند، راهی را ناامن نکنند، خوراکی از گندم و جو انبار نکنند، مال یتیمی را نخورند، گرد همجنس‌بازی نگردند، شراب ننوشند، و…</w:t>
      </w:r>
    </w:p>
    <w:p>
      <w:pPr>
        <w:pStyle w:val="BookText"/>
        <w:rPr/>
      </w:pPr>
      <w:r>
        <w:rPr>
          <w:rFonts w:ascii="IRNazanin" w:hAnsi="IRNazanin" w:eastAsia="IRNazanin"/>
          <w:color w:val="111111"/>
          <w:sz w:val="28"/>
          <w:sz w:val="28"/>
          <w:szCs w:val="28"/>
          <w:rtl w:val="true"/>
          <w:lang w:bidi="fa-IR"/>
        </w:rPr>
        <w:t>آنگاه به شروطی که حضرت مهدی علیه‌السلام برای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یشرط لهم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اشاره کرده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لا یتّخذ حاجبا و یمشی حیث یمشون و یکون من حیث یریدون</w:t>
      </w:r>
      <w:r>
        <w:rPr>
          <w:rStyle w:val="FootnoteAnchor"/>
          <w:rtl w:val="true"/>
        </w:rPr>
        <w:footnoteReference w:id="223"/>
      </w:r>
      <w:r>
        <w:rPr>
          <w:rFonts w:ascii="IRNazanin" w:hAnsi="IRNazanin" w:eastAsia="IRNazanin"/>
          <w:color w:val="111111"/>
          <w:sz w:val="28"/>
          <w:sz w:val="28"/>
          <w:szCs w:val="28"/>
          <w:rtl w:val="true"/>
          <w:lang w:bidi="fa-IR"/>
        </w:rPr>
        <w:t>و یرضی بالقلیل؛</w:t>
      </w:r>
      <w:r>
        <w:rPr>
          <w:rStyle w:val="FootnoteAnchor"/>
          <w:rtl w:val="true"/>
        </w:rPr>
        <w:footnoteReference w:id="224"/>
      </w:r>
      <w:r>
        <w:rPr>
          <w:rFonts w:ascii="IRNazanin" w:hAnsi="IRNazanin" w:eastAsia="IRNazanin"/>
          <w:color w:val="111111"/>
          <w:sz w:val="28"/>
          <w:sz w:val="28"/>
          <w:szCs w:val="28"/>
          <w:rtl w:val="true"/>
          <w:lang w:bidi="fa-IR"/>
        </w:rPr>
        <w:t>دربانی برای خود قرار ندهد، و از راه آنان برود،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باشد، با کم خشنود و قانع شود،…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این سخنان از دو جهت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منبع</w:t>
      </w:r>
    </w:p>
    <w:p>
      <w:pPr>
        <w:pStyle w:val="BookText"/>
        <w:rPr/>
      </w:pPr>
      <w:r>
        <w:rPr>
          <w:rFonts w:ascii="IRNazanin" w:hAnsi="IRNazanin" w:eastAsia="IRNazanin"/>
          <w:color w:val="111111"/>
          <w:sz w:val="28"/>
          <w:sz w:val="28"/>
          <w:szCs w:val="28"/>
          <w:rtl w:val="true"/>
          <w:lang w:bidi="fa-IR"/>
        </w:rPr>
        <w:t>سید بن طاووس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در مقدمة کتاب خود آورده، مطالب خود را به طور عمده از روایات سه کتاب اهل سنت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ملاحم ابن حماد، فتن سلیلی، فتن بزّار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ابن طاووس در کتاب خود دربارة فتن سلیلی و روایات موجود در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الفتن، متعلق به سلیلی است و تاریخ نسخة اصلی که مصنف کتاب آن را نوشته است، متعلق به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می‌باشد و در مدرسة ترکی شهر واسط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نسخة موجود بنابر گواهی شخصی که شاهد کتابت آن از روی نسخة اصلی بوده،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 در ابتدای نقلش از الفتن سلیلی در کنار اشاره به آنچه یاد شد به نوعی خود را از گرفتاری نقل روایات ضعیف دور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بریء من خطره، لأننی أحکی ما أجده بلفظه ومعناه إن شاء الله تعالی</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و همه تقصیرات روایات را متوجه مؤلف کتاب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روشن است که طریق سید بن طاووس به سلیلی و نقل سید از این کتاب، مرسل می‌باشد و طریق قابل خدشه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شخص سلیلی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صالح السلیلی بن احمد بن عیسی بن شیخ الحسائی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مجهول و نامشخص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افزون بر آن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کتاب پیش و پس از ملاحم سید بن طاووس در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منابع معتبر استفاده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نیز در دسترس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جهت سند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روایت نیز افراد مهملی وجود دارد که اعتبار روایت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عثمان، سعید بن طارق و سلمة بن انس که همگی مهمل بوده و نامی از آن‌ها در کتب رجالی دیده نمی‌شود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از نظر محتوا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مورد نظر به طور عمده دارای سه فراز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یاران خاص حضرت و شهرهای آنها؛</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پیمان‌نامه با حضرت؛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هر سه بخش دارای تأملاتی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تأملات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متن روایت همة نام‌ها به صورت عربی است و با توجه به اینکه گفته شده بخشی از یاران آن حضرت از شهرها و کشورهای غیر عرب است، این نام‌ها نامتعارف است ضمن اینکه برخی شهرهای یادشده به طور اساسی با این گونه اسامی هیچ گونه پیشینه‌ای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بارة مفاد پیمان‌نامه که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این گونه پیمان‌نامه و 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به دور از شأن مؤمنان معمولی است تا چه رسد به یاران خاص موعود منجی که در اوصاف و عظمت آنها سخنان فراوانی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توجیهی دارد که حضرت به یاران خاص خود بگوید اطراف همجنس‌بازی نگردند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تأمل سوم که در آن به برخی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اشاره شده است که البته در محل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 به دو دسته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حتمی و غیر حتمی که برخی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یادآوری شده در این روایت در هیچ روایتی نقل نشده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بیعت به عنوان یک سازوکار مهم و پایه‌ای حکایت از فرمان‌برداری و پایبندی بیعت‌کنندگان برای همراهی با مهدی موعود علیه‌السلام دارد که پس از مشروعیت از طرف خداوند برای تحقق آن حاکمیت جهانی زمینه‌های لازم را فراهم می‌کند</w:t>
      </w:r>
      <w:r>
        <w:rPr>
          <w:rFonts w:eastAsia="IRNazanin" w:cs="IRNazanin"/>
          <w:color w:val="111111"/>
          <w:sz w:val="28"/>
          <w:szCs w:val="28"/>
          <w:rtl w:val="true"/>
          <w:lang w:bidi="fa-IR"/>
        </w:rPr>
        <w:t xml:space="preserve">. </w:t>
      </w:r>
      <w:bookmarkStart w:id="448" w:name="pg12658_166854"/>
    </w:p>
    <w:p>
      <w:pPr>
        <w:pStyle w:val="Heading3"/>
        <w:numPr>
          <w:ilvl w:val="2"/>
          <w:numId w:val="1"/>
        </w:numPr>
        <w:rPr/>
      </w:pPr>
      <w:bookmarkStart w:id="449" w:name="__RefHeading___Toc643607_222507752"/>
      <w:bookmarkStart w:id="450" w:name="_Toc176"/>
      <w:bookmarkEnd w:id="448"/>
      <w:bookmarkEnd w:id="449"/>
      <w:r>
        <w:rPr>
          <w:rtl w:val="true"/>
        </w:rPr>
        <w:t>خودآزمایی</w:t>
      </w:r>
      <w:bookmarkEnd w:id="4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از نظر لغت و اصطلاح به چه معناست؟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اساسی بیعت را نام برده هر یک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پیامبر و امام از طرف خداوند نصب می‌شود بیعت با او چه معنا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و رأی‌دادن چه نسبتی با هم دارند؟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اثر از آثار بیعت 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643609_222507752"/>
      <w:bookmarkStart w:id="452" w:name="_Toc177"/>
      <w:bookmarkEnd w:id="451"/>
      <w:r>
        <w:rPr>
          <w:rtl w:val="true"/>
        </w:rPr>
        <w:t>منابع برای پژوهش</w:t>
      </w:r>
      <w:bookmarkEnd w:id="4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قلمکاری، حیدر علی، حکومت اسلامی، تهران، نشر حقایق،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مرندی، محمد رضا، مبانی مشروعیت نظام سیاسی در اسلام، تهران، مؤسسة انتشاراتی عطا،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کارگر، رحیم، آینده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سیاست در اندیشة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بنیاد فرهنگی حضرت مهدی موعود،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بهروزی لک، غلام رضا، سیاست و مهدویت، قم، حکمت روشن،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سیّد محمّد، تاریخ پس از ظهور، ترجمه حسن سجادی‌پور،  تهران، موعود عصر،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453" w:name="pg12658_166855"/>
    </w:p>
    <w:p>
      <w:pPr>
        <w:pStyle w:val="Heading2"/>
        <w:numPr>
          <w:ilvl w:val="1"/>
          <w:numId w:val="1"/>
        </w:numPr>
        <w:rPr/>
      </w:pPr>
      <w:bookmarkStart w:id="454" w:name="__RefHeading___Toc643611_222507752"/>
      <w:bookmarkStart w:id="455" w:name="_Toc178"/>
      <w:bookmarkEnd w:id="453"/>
      <w:bookmarkEnd w:id="454"/>
      <w:r>
        <w:rPr>
          <w:rtl w:val="true"/>
        </w:rPr>
        <w:t>درس هشتم</w:t>
      </w:r>
      <w:r>
        <w:rPr>
          <w:rtl w:val="true"/>
        </w:rPr>
        <w:t>:  </w:t>
      </w:r>
      <w:r>
        <w:rPr>
          <w:rtl w:val="true"/>
        </w:rPr>
        <w:t>نظام تعلیم و تربیت در حکومت مهدی علیه‌السلام</w:t>
      </w:r>
      <w:bookmarkEnd w:id="455"/>
    </w:p>
    <w:p>
      <w:pPr>
        <w:pStyle w:val="Heading3"/>
        <w:numPr>
          <w:ilvl w:val="2"/>
          <w:numId w:val="1"/>
        </w:numPr>
        <w:rPr/>
      </w:pPr>
      <w:bookmarkStart w:id="456" w:name="__RefHeading___Toc643613_222507752"/>
      <w:bookmarkStart w:id="457" w:name="_Toc179"/>
      <w:bookmarkEnd w:id="456"/>
      <w:r>
        <w:rPr>
          <w:rtl w:val="true"/>
        </w:rPr>
        <w:t>اشاره</w:t>
      </w:r>
      <w:bookmarkEnd w:id="457"/>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درآمدی بر نظام تعلیم و تربیت اسلامی</w:t>
      </w:r>
    </w:p>
    <w:p>
      <w:pPr>
        <w:pStyle w:val="BookText"/>
        <w:rPr/>
      </w:pPr>
      <w:r>
        <w:rPr>
          <w:rFonts w:ascii="IRNazanin" w:hAnsi="IRNazanin" w:eastAsia="IRNazanin"/>
          <w:color w:val="111111"/>
          <w:sz w:val="28"/>
          <w:sz w:val="28"/>
          <w:szCs w:val="28"/>
          <w:rtl w:val="true"/>
          <w:lang w:bidi="fa-IR"/>
        </w:rPr>
        <w:t>گسترش خردورزی در عصر ظهور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 و کارهای تعلیم و تربیت مهدوی </w:t>
      </w:r>
      <w:bookmarkStart w:id="458" w:name="pg12658_166857"/>
    </w:p>
    <w:p>
      <w:pPr>
        <w:pStyle w:val="Heading3"/>
        <w:numPr>
          <w:ilvl w:val="2"/>
          <w:numId w:val="1"/>
        </w:numPr>
        <w:rPr/>
      </w:pPr>
      <w:bookmarkStart w:id="459" w:name="__RefHeading___Toc643615_222507752"/>
      <w:bookmarkStart w:id="460" w:name="_Toc180"/>
      <w:bookmarkEnd w:id="458"/>
      <w:bookmarkEnd w:id="459"/>
      <w:r>
        <w:rPr>
          <w:rtl w:val="true"/>
        </w:rPr>
        <w:t>پیش‌درآمد</w:t>
      </w:r>
      <w:bookmarkEnd w:id="460"/>
    </w:p>
    <w:p>
      <w:pPr>
        <w:pStyle w:val="BookText"/>
        <w:rPr/>
      </w:pPr>
      <w:r>
        <w:rPr>
          <w:rFonts w:ascii="IRNazanin" w:hAnsi="IRNazanin" w:eastAsia="IRNazanin"/>
          <w:color w:val="111111"/>
          <w:sz w:val="28"/>
          <w:sz w:val="28"/>
          <w:szCs w:val="28"/>
          <w:rtl w:val="true"/>
          <w:lang w:bidi="fa-IR"/>
        </w:rPr>
        <w:t>عصر ظهور مهدی موعود علیه‌السلام، عصر شکوفایی و بالندگی همة انسان‌ها در همة زمینه‌های انسانی، در پرتو تعلیم و تربیت الهی و رسیدن آنها به اوج خردورزی برای بندگی خداوند است؛ که با سازوکارها و روش‌های گوناگونی سامان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این سازوکارها، پرورش و آموزش بر پایة آموزه‌های وحیانی و الهی است که در این راه به شکوفاکردن خرد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باور گسترده و ژرف به آموزه‌های دینی و عشق به مکارم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بالنده‌کردن فطرت و سرشت پاک آدمی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عصر، عصر حاکمیت عقلانیت و معنویت بر افراد و گروه‌ها، دوره بهْ زیستی و کمال‌گرایی است که کمتر مانندی می‌توان برای آن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عصر، همة ظرفیت‌ها و توانمندی‌های فطری و عقلی انسان، شکوفا می‌شود و با تربیت اخلاقی و عقلانی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و 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نوینی فراروی او گشوده می‌شود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دو گروه از روایات در بین سخنان معصومان علیهم‌السلام به روشنی به این امر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روایاتی که از گسترش و کمال عقلانی انسان سخن به میان آورده است و دیگر سخنانی که به گسترش شگفت‌انگیز دانش در این دوران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همة امکانات مادی و معنوی دست به‌هم خواهند داد تا این نوید معصومان علیهم‌السلام، را در گسترش دانش و خرد فراهم کنند</w:t>
      </w:r>
      <w:r>
        <w:rPr>
          <w:rFonts w:eastAsia="IRNazanin" w:cs="IRNazanin"/>
          <w:color w:val="111111"/>
          <w:sz w:val="28"/>
          <w:szCs w:val="28"/>
          <w:rtl w:val="true"/>
          <w:lang w:bidi="fa-IR"/>
        </w:rPr>
        <w:t xml:space="preserve">. </w:t>
      </w:r>
      <w:bookmarkStart w:id="461" w:name="pg12658_166859"/>
    </w:p>
    <w:p>
      <w:pPr>
        <w:pStyle w:val="BookText"/>
        <w:rPr/>
      </w:pPr>
      <w:bookmarkEnd w:id="461"/>
      <w:r>
        <w:rPr>
          <w:rFonts w:ascii="IRNazanin" w:hAnsi="IRNazanin" w:eastAsia="IRNazanin"/>
          <w:color w:val="111111"/>
          <w:sz w:val="28"/>
          <w:sz w:val="28"/>
          <w:szCs w:val="28"/>
          <w:rtl w:val="true"/>
          <w:lang w:bidi="fa-IR"/>
        </w:rPr>
        <w:t>اگرچه تبیین فراگیراین مقال نیازمند بحث‌های فراوان و ذکر روایات و تبیین‌های بسیار است ،اما در اندازة ممکن و متناسب این نوشتار تلاش می‌شود تا در این درس به این بحث اشاره شود</w:t>
      </w:r>
      <w:r>
        <w:rPr>
          <w:rFonts w:eastAsia="IRNazanin" w:cs="IRNazanin"/>
          <w:color w:val="111111"/>
          <w:sz w:val="28"/>
          <w:szCs w:val="28"/>
          <w:rtl w:val="true"/>
          <w:lang w:bidi="fa-IR"/>
        </w:rPr>
        <w:t>.</w:t>
      </w:r>
      <w:r>
        <w:rPr>
          <w:rStyle w:val="FootnoteAnchor"/>
          <w:rtl w:val="true"/>
        </w:rPr>
        <w:footnoteReference w:id="229"/>
      </w:r>
    </w:p>
    <w:p>
      <w:pPr>
        <w:pStyle w:val="Heading3"/>
        <w:numPr>
          <w:ilvl w:val="2"/>
          <w:numId w:val="1"/>
        </w:numPr>
        <w:rPr/>
      </w:pPr>
      <w:bookmarkStart w:id="462" w:name="__RefHeading___Toc643617_222507752"/>
      <w:bookmarkStart w:id="463" w:name="_Toc181"/>
      <w:bookmarkEnd w:id="462"/>
      <w:r>
        <w:rPr>
          <w:rtl w:val="true"/>
        </w:rPr>
        <w:t>درآمدی بر نظام تعلیم و تربیت اسلامی</w:t>
      </w:r>
      <w:bookmarkEnd w:id="463"/>
    </w:p>
    <w:p>
      <w:pPr>
        <w:pStyle w:val="BookText"/>
        <w:rPr/>
      </w:pPr>
      <w:r>
        <w:rPr>
          <w:rFonts w:ascii="IRNazanin" w:hAnsi="IRNazanin" w:eastAsia="IRNazanin"/>
          <w:color w:val="111111"/>
          <w:sz w:val="28"/>
          <w:sz w:val="28"/>
          <w:szCs w:val="28"/>
          <w:rtl w:val="true"/>
          <w:lang w:bidi="fa-IR"/>
        </w:rPr>
        <w:t>اگر دنیای امروز در آتش ناامنی، تشویش و هرج‌ومرج می‌سوزد؛ اگر کابوس تباهی و کژی بر آن چیره شده است؛ اگر دنیای امروز گرفتار کشمکش‌ها، فحشا، تجاوز و ده‌ها آشوب و تباهی دیگر است؛ اگر دولت‌مردان همچون گرگ‌های درنده و خون‌آشام از ترس همدیگر خواب و آرام ندارند و پیوسته در اندیشة نابودی همدیگر هستند؛ اگر جوانان کشورها به انحراف جنسی آلوده شده‌اند؛ اگر بی‌ناموسی و بی‌بندوباری دامن‌گیر مردان، پسران، زنان و دختران شده است و ده‌ها اگر دیگر… همه و همه به سبب نبود یک نظام فراگیر تعلیم و تربیت بر پایة آموزه‌های توحیدی و سرشت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در اجتماع، خویشتن‌داری، پارسایی، همکاری، همدلی، همیاری، انفاق، پاک‌دامنی، فروتنی، نیک‌خلقی، دوستی و به‌طور کلی عدالت به معنای گسترده و فراگیرش حکم‌فرما باشد، این اجتماع همان مدینة فاضله خواهد بود که می‌توان در آن با فکری آسوده و به دور از وحشت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است که خداوند پایه‌ای‌ترین برنامة پیامبران خود را نیز همانا تعلیم و تربیت دانسته می‌فرماید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 xml:space="preserve">اوست آن کس که در میان بی‌سوادان فرستاده‌ای از خودشان برانگیخت، تا آیات او را بر آنان بخواند و پاکشان گرداند و کتاب و حکمت بدیشان بیاموزد،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پیش از آن در گمراهی آشکاری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پایة این آیه، تکامل انسان از جنبه‌های علمی و رفتاری و تزکیه و تهذیب او، به عنوان هدف پایانی برانگیخته‌شدن پیامبر صلی‌الله‌علیه‌وآله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فِیهِمْ رُسُلَهُ وَ وَاتَرَ إِلَیْهِمْ أَنْبِیَاءَهُ لِیَسْتَأْدُوهُمْ مِیثَاقَ فِطْرَتِهِ وَ یُذَکِّرُوهُمْ مَنْسِیَّ نِعْمَتِهِ وَ یَحْتَجُّوا عَلَیْهِمْ بِالتَّبْلِیغِ وَ یُثِیرُوا لَهُمْ دَفَائِنَ الْعُقُولِ وَ یُرُوهُمْ آیَاتِ الْمَقْدِرَةِ مِنْ سَقْفٍ فَوْقَهُمْ مَرْفُوعٍ وَ مِهَادٍ تَحْتَهُمْ مَوْضُوعٍ وَ مَعَایِشَ تُحْیِیهِمْ وَ آجَالٍ تُفْنِیهِم؛</w:t>
      </w:r>
      <w:r>
        <w:rPr>
          <w:rStyle w:val="FootnoteAnchor"/>
          <w:rtl w:val="true"/>
        </w:rPr>
        <w:footnoteReference w:id="231"/>
      </w:r>
      <w:r>
        <w:rPr>
          <w:rFonts w:ascii="IRNazanin" w:hAnsi="IRNazanin" w:eastAsia="IRNazanin"/>
          <w:color w:val="111111"/>
          <w:sz w:val="28"/>
          <w:sz w:val="28"/>
          <w:szCs w:val="28"/>
          <w:rtl w:val="true"/>
          <w:lang w:bidi="fa-IR"/>
        </w:rPr>
        <w:t>پس هر چند گاه پیامبرانی فرستاد و به وسیلة آنان به بندگان هشدار داد تا حقّ میثاق الست بگزارند، و نعمت فراموش‌کرده را به یادشان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حجّت و تبلیغ، چراغ معرفتشان را بیفروزند تا به آیت‌های خدا چشم 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آسمانی بالا برده و زمینی زیرشان گسترده، و آنچه بدان زنده‌اند و چسان می‌میرند و ناپاینده‌اند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پایة رسالت پیامبران، گسترش دانش و آگاهی است و ایمان و معرفت، خود در پرتو دانش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به انسان‌ها، راه و رسم زندگی و هدف و نتیجه آن را می‌آموختند و ارزش انسان و والایی مقام و نقش برجستة او در هستی و توانایی و ظرفیت وجودی او را در رسیدن به تکامل فراگیر و تعالی روحی، به وی یادآور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چنین تعلیمی، نیروی تفکر و خردورزی را در او بیدار می‌کردند و به اندیشه درباره مبدأ و معاد و کشف رموز و اسرار آیات الهی وا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کنار این و فراتر از آن، به تزکیه و تهذیب او اهمیت داده و راه رسیدن به کمال را در اخلاق متعالی و معنویت دینی می‌دانستند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تعلیم و تربیت انسان‌ها در حکومت جهانی حضرت مهدی علیه‌السلام که به راستی استمرار حرکت پیامبران الهی و به‌ویژه پیامبر خاتم و پیشوایان معصوم علیهم‌السلام است در دو عرصه اساسی اشاره شده است؛ یکی کمال عقل و خرد انسان‌ها و دیگری گسترش دانش در بین آنها، از این رو در اینجا فقط به این دو مقوله به صورت کوتاه اشاره می‌شود</w:t>
      </w:r>
      <w:r>
        <w:rPr>
          <w:rFonts w:eastAsia="IRNazanin" w:cs="IRNazanin"/>
          <w:color w:val="111111"/>
          <w:sz w:val="28"/>
          <w:szCs w:val="28"/>
          <w:rtl w:val="true"/>
          <w:lang w:bidi="fa-IR"/>
        </w:rPr>
        <w:t xml:space="preserve">. </w:t>
      </w:r>
      <w:bookmarkStart w:id="464" w:name="pg12658_166863"/>
    </w:p>
    <w:p>
      <w:pPr>
        <w:pStyle w:val="Heading3"/>
        <w:numPr>
          <w:ilvl w:val="2"/>
          <w:numId w:val="1"/>
        </w:numPr>
        <w:rPr/>
      </w:pPr>
      <w:bookmarkStart w:id="465" w:name="__RefHeading___Toc643619_222507752"/>
      <w:bookmarkStart w:id="466" w:name="_Toc182"/>
      <w:bookmarkEnd w:id="464"/>
      <w:bookmarkEnd w:id="465"/>
      <w:r>
        <w:rPr>
          <w:rtl w:val="true"/>
        </w:rPr>
        <w:t>گسترش خردورزی در عصر ظهور</w:t>
      </w:r>
      <w:bookmarkEnd w:id="466"/>
    </w:p>
    <w:p>
      <w:pPr>
        <w:pStyle w:val="BookText"/>
        <w:rPr/>
      </w:pPr>
      <w:r>
        <w:rPr>
          <w:rFonts w:ascii="IRNazanin" w:hAnsi="IRNazanin" w:eastAsia="IRNazanin"/>
          <w:color w:val="111111"/>
          <w:sz w:val="28"/>
          <w:sz w:val="28"/>
          <w:szCs w:val="28"/>
          <w:rtl w:val="true"/>
          <w:lang w:bidi="fa-IR"/>
        </w:rPr>
        <w:t>عقل، پایه و اساس انسانیت، حجت باطنی خداوند، وسیلة فهم و دریافت معارف بنیادین اعتقادی و یکی از منابع استنباط احکام فقهی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شکوفاسازی و تربیت این موهبت ارجمند الهی، رسالت همة ادیان آسمانی، به‌ویژه دین اسلام بوده است</w:t>
      </w:r>
      <w:r>
        <w:rPr>
          <w:rFonts w:eastAsia="IRNazanin" w:cs="IRNazanin"/>
          <w:color w:val="111111"/>
          <w:sz w:val="28"/>
          <w:szCs w:val="28"/>
          <w:rtl w:val="true"/>
          <w:lang w:bidi="fa-IR"/>
        </w:rPr>
        <w:t>.</w:t>
      </w:r>
    </w:p>
    <w:p>
      <w:pPr>
        <w:pStyle w:val="Heading3"/>
        <w:numPr>
          <w:ilvl w:val="2"/>
          <w:numId w:val="1"/>
        </w:numPr>
        <w:rPr/>
      </w:pPr>
      <w:bookmarkStart w:id="467" w:name="__RefHeading___Toc643621_222507752"/>
      <w:bookmarkStart w:id="468" w:name="_Toc183"/>
      <w:bookmarkEnd w:id="467"/>
      <w:r>
        <w:rPr>
          <w:rtl w:val="true"/>
        </w:rPr>
        <w:t>عقل از نگاه قرآن</w:t>
      </w:r>
      <w:bookmarkEnd w:id="468"/>
    </w:p>
    <w:p>
      <w:pPr>
        <w:pStyle w:val="BookText"/>
        <w:rPr/>
      </w:pPr>
      <w:r>
        <w:rPr>
          <w:rFonts w:ascii="IRNazanin" w:hAnsi="IRNazanin" w:eastAsia="IRNazanin"/>
          <w:color w:val="111111"/>
          <w:sz w:val="28"/>
          <w:sz w:val="28"/>
          <w:szCs w:val="28"/>
          <w:rtl w:val="true"/>
          <w:lang w:bidi="fa-IR"/>
        </w:rPr>
        <w:t>در آیات قرآن به ارزش عقل اشاره می‌کند، و گناه عمده دوزخیان و سبب اصلی بدبختی آنها را از کارانداختن این نیروی الهی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پندار باطل کسانی که دین را وسیلة تخدیر مغزها، و نادیده‌گرفتن فرمان خرد می‌شمرند، اسلام پایة خداشناسی و سعادت و نجات را بر عقل و خرد می‌نهد، و روی سخنش در همه جا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اندیشمندان و دانشمندان است</w:t>
      </w:r>
      <w:r>
        <w:rPr>
          <w:rFonts w:eastAsia="IRNazanin" w:cs="IRNazanin"/>
          <w:color w:val="111111"/>
          <w:sz w:val="28"/>
          <w:szCs w:val="28"/>
          <w:rtl w:val="true"/>
          <w:lang w:bidi="fa-IR"/>
        </w:rPr>
        <w:t>.</w:t>
      </w:r>
      <w:r>
        <w:rPr>
          <w:rStyle w:val="FootnoteAnchor"/>
          <w:rtl w:val="true"/>
        </w:rPr>
        <w:footnoteReference w:id="232"/>
      </w:r>
    </w:p>
    <w:p>
      <w:pPr>
        <w:pStyle w:val="Heading3"/>
        <w:numPr>
          <w:ilvl w:val="2"/>
          <w:numId w:val="1"/>
        </w:numPr>
        <w:rPr/>
      </w:pPr>
      <w:bookmarkStart w:id="469" w:name="__RefHeading___Toc643623_222507752"/>
      <w:bookmarkStart w:id="470" w:name="_Toc184"/>
      <w:bookmarkEnd w:id="469"/>
      <w:r>
        <w:rPr>
          <w:rtl w:val="true"/>
        </w:rPr>
        <w:t>عقل از نگاه روایات</w:t>
      </w:r>
      <w:bookmarkEnd w:id="470"/>
    </w:p>
    <w:p>
      <w:pPr>
        <w:pStyle w:val="BookText"/>
        <w:rPr/>
      </w:pPr>
      <w:r>
        <w:rPr>
          <w:rFonts w:ascii="IRNazanin" w:hAnsi="IRNazanin" w:eastAsia="IRNazanin"/>
          <w:color w:val="111111"/>
          <w:sz w:val="28"/>
          <w:sz w:val="28"/>
          <w:szCs w:val="28"/>
          <w:rtl w:val="true"/>
          <w:lang w:bidi="fa-IR"/>
        </w:rPr>
        <w:t>در منابع روایی سخنان فراوانی در بارة عقل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معتبرترین منابع حدیث است مشتمل بر کتاب‌هایی است که نخستین کتابش به 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اینجا به ذکر دو روایت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علی علیه‌السلام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بر آدم نازل شد و گفت من مامورم که تو را بین یکی از این سه موهبت مخیر کنم، تا یکی را برگزینی، و بقیه را رها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 جبرئیل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اخْتَرْتُ الْعَقْل؛ من عقل را برگزیدم، جبرئیل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را رها کنید و به دنبال کار خود بروید، گفتند ما مأموریم همه جا با عقل باشیم و از آن جدا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به ماموریت خود عمل کنید، سپس به آسمان صعود کرد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این لطیف‌ترین تعبیری است که ممکن است در بارة عقل و خرد، و نسبت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چرا که اگر عقل از دین جدا شود با اندک چیزی بر باد می‌رود، یا به انحراف کشیده می‌شود،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مانع انسان از ارتکاب زشتی‌ها و گناهان است آن نیز ثمره شجره معرفت و عقل و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قابل ملاحظه‌ای از عقل داشت که به هنگام مخیرشدن در میان این سه چیز، مرحله بالاتر عقل را برگزید، و در سایة آن هم دین را به دست آورد و هم حیا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صادق علیه‌السلام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عَاقِلًا کَانَ لَهُ دِینٌ وَ مَنْ کَانَ لَهُ دِینٌ دَخَلَ الْجَنَّةَ؛</w:t>
      </w:r>
      <w:r>
        <w:rPr>
          <w:rStyle w:val="FootnoteAnchor"/>
          <w:rtl w:val="true"/>
        </w:rPr>
        <w:footnoteReference w:id="234"/>
      </w:r>
      <w:r>
        <w:rPr>
          <w:rFonts w:ascii="IRNazanin" w:hAnsi="IRNazanin" w:eastAsia="IRNazanin"/>
          <w:color w:val="111111"/>
          <w:sz w:val="28"/>
          <w:sz w:val="28"/>
          <w:szCs w:val="28"/>
          <w:rtl w:val="true"/>
          <w:lang w:bidi="fa-IR"/>
        </w:rPr>
        <w:t xml:space="preserve">کسی که عاقل باشد دین دارد، و کسی که دین داشته باشد داخل بهشت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بهشت جای خردمندان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اسلام، به خرد و خردورزی بسیار ارزش داده و پرورش اخلاقی را به نوعی پرورش عقلانی و بازپروری نیروی استدلال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برخی از روایات، این است که زیربنای اخلاق، وابسته به عقل و خرد است؛ زیرا عقل است که آدمی را از ارتکاب اعمال زشت و رفتار ناپسند باز می‌دارد و او را به پاکی گزینی و روشن‌بینی ایمانی و اخلاقی فرامی‌خواند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وقتی علت، پرورده باشد، معلول نیز قوی‌تر و استوارتر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دِعَامَةُ الْإِنْسَانِ الْعَقْل وَ الْعَقْلُ مِنْهُ الْفِطْنَةُ وَ الْفَهْمُ وَ الْحِفْظُ وَ الْعِلْمُ وَ بِالْعَقْلِ یَکْمُل؛</w:t>
      </w:r>
      <w:r>
        <w:rPr>
          <w:rStyle w:val="FootnoteAnchor"/>
          <w:rtl w:val="true"/>
        </w:rPr>
        <w:footnoteReference w:id="235"/>
      </w:r>
      <w:r>
        <w:rPr>
          <w:rFonts w:ascii="IRNazanin" w:hAnsi="IRNazanin" w:eastAsia="IRNazanin"/>
          <w:color w:val="111111"/>
          <w:sz w:val="28"/>
          <w:sz w:val="28"/>
          <w:szCs w:val="28"/>
          <w:rtl w:val="true"/>
          <w:lang w:bidi="fa-IR"/>
        </w:rPr>
        <w:t>ستون هستی انسان، عقل است و هوشمندی و فهم و حفظ و دانش از عقل سرچشمه می‌گیرند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 کمالات اخلاقی در پرتو نیروی خرد امکان‌پذیر است و هر اندازه عقل دچار رکود گردد، به همان نسبت امکان رشد اخلاقی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روایتی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انَّمَا یُدْرَکُ الْخَیْرُ کُلُّهُ بِالْعَقْلِ وَ لَا دِینَ لِمَنْ لَا عَقْلَ لَه؛</w:t>
      </w:r>
      <w:r>
        <w:rPr>
          <w:rStyle w:val="FootnoteAnchor"/>
          <w:rtl w:val="true"/>
        </w:rPr>
        <w:footnoteReference w:id="236"/>
      </w:r>
      <w:r>
        <w:rPr>
          <w:rFonts w:ascii="IRNazanin" w:hAnsi="IRNazanin" w:eastAsia="IRNazanin"/>
          <w:color w:val="111111"/>
          <w:sz w:val="28"/>
          <w:sz w:val="28"/>
          <w:szCs w:val="28"/>
          <w:rtl w:val="true"/>
          <w:lang w:bidi="fa-IR"/>
        </w:rPr>
        <w:t>همانا همه نیکی‌ها و کمالات در پرتو عقل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دین بهره‌ای نبرده است آن کس که از خرد بهره‌ای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مربوط به حکومت جهانی حضرت مهدی علیه‌السلام نیز اشاره‌ای روشن به هماهنگی و هم‌پوشانی دو بعد فکری و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شده و رشد و بالندگی توأم آن دو، به دست مهدی موعود علیه‌السلام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قَائِمُنَا وَضَعَ اللَّهُ یَدَهُ عَلَی رُءُوسِ الْعِبَادِ فَجَمَعَ بِهَا عُقُولَهُمْ وَ کَمَلَتْ بِهِ أَحْلَامُهُمْ؛</w:t>
      </w:r>
      <w:r>
        <w:rPr>
          <w:rStyle w:val="FootnoteAnchor"/>
          <w:rtl w:val="true"/>
        </w:rPr>
        <w:footnoteReference w:id="237"/>
      </w:r>
      <w:r>
        <w:rPr>
          <w:rFonts w:ascii="IRNazanin" w:hAnsi="IRNazanin" w:eastAsia="IRNazanin"/>
          <w:color w:val="111111"/>
          <w:sz w:val="28"/>
          <w:sz w:val="28"/>
          <w:szCs w:val="28"/>
          <w:rtl w:val="true"/>
          <w:lang w:bidi="fa-IR"/>
        </w:rPr>
        <w:t xml:space="preserve">چون قائم ما قیام کند خداوند دست رحمتش را بر سر بندگان گذارد، پس عقولشان را جمع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پیروی هوس نکنند و با یک دیگر اختلاف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خردشان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پایة روایت امام باقر علیه‌السلام، خرد و افکار مردم در عصر ظهور، شکوفا و متمرکز و اخلاق آنان کامل می‌شود؛ این یعنی، پیوند عقلانیت و معنویت انسان و رسیدن به بصیرت اخلاقی انسان در سایة بینش عمیق و دانایی پارسا‌یانه و ایمانی، ریشه‌های مفاسد و معایب را از درون خود می‌زداید و بر معرفت و معنویت خود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برای تعلیم و تربیت انسان، دو بعد اثرگذار در او، تقویت و رشد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اخلاقی؛ یعنی تربیت و تزکیه انسان، رشد فضایل اخلاقی و انسانی، شکوفایی سرشت الهی، بندگی خداوند و معنویت‌گرایی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فکری؛ یعنی تعلیم و حکمت آموزی انسان، دانایی و روشن‌بینی او، اندیشه‌ورزی در مبدأ و معاد و…، تقویت خردورزی و فهم عمیق و واقعی محاسن اخلاقی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چگونگی شکوفایی تعلیم و تربیت گفتنی است که بر پایة روایت پیش‌گفته، امام زمان علیه‌السلام پس از ظهور، با نفوذ در دل و جان و عقل مردم و هدایت‌های </w:t>
      </w:r>
      <w:bookmarkStart w:id="471" w:name="pg12658_166869"/>
    </w:p>
    <w:p>
      <w:pPr>
        <w:pStyle w:val="BookText"/>
        <w:rPr/>
      </w:pPr>
      <w:bookmarkEnd w:id="471"/>
      <w:r>
        <w:rPr>
          <w:rFonts w:ascii="IRNazanin" w:hAnsi="IRNazanin" w:eastAsia="IRNazanin"/>
          <w:color w:val="111111"/>
          <w:sz w:val="28"/>
          <w:sz w:val="28"/>
          <w:szCs w:val="28"/>
          <w:rtl w:val="true"/>
          <w:lang w:bidi="fa-IR"/>
        </w:rPr>
        <w:t>پیامبرگونة خود، آنان را هدایت و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دست رحمت، هدایت و شفقت الهی بر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در عصر ظهور نیز امام مهدی علیه‌السلام، همة موانع و آفت‌های رشد و تعالی عقلانی انسان‌ها را از بین می‌برد و عقول آنان را به حد بالایی از شکوفایی و رشد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آنکه تزکیه و تهذیب نفوس انسانی و طهارت جامعة بشری را در رأس برنامه‌های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کلیدواژه تعلیم و تربیت اسلامی ـ به‌ویژه در عصر ظهورـ امکان پرورش و شکوفایی کمال‌گرایانه انسان، در پرتو رشد فراگیرفکری و اخلاقی و در نتیجه زدودن ناهنجاری‌ها و ناراستی‌های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نگره می‌تواند برای همة جوامع و همة اعصار، کاربردی بوده و تأثیر‌گذار باشد؛ همان‌گونه که زمان بعثت نبوی، عصر تعلیم و تربیت نفوس و تزکیه و خرد پروری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کامل این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دوران ظهور منجی موعود علیه‌السلام، آشکار و نورافشان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چه سازوکارهایی برای دستیابی انسان به بصیرت اخلاقی و شکوفایی تعلیم و تربیت در عصر ظهور وجود دارد؟ با مراجعه به روایات و منابع دینی به دست می‌آید که برای دستیابی به این رشد و بالندگی معنوی و عقلی، سازوکارهای بیان شده و عصر ظهور، دوران شکوفایی و تعالی انسان در همه زمینه‌ها دانسته شده است</w:t>
      </w:r>
      <w:r>
        <w:rPr>
          <w:rFonts w:eastAsia="IRNazanin" w:cs="IRNazanin"/>
          <w:color w:val="111111"/>
          <w:sz w:val="28"/>
          <w:szCs w:val="28"/>
          <w:rtl w:val="true"/>
          <w:lang w:bidi="fa-IR"/>
        </w:rPr>
        <w:t>.</w:t>
      </w:r>
    </w:p>
    <w:p>
      <w:pPr>
        <w:pStyle w:val="Heading3"/>
        <w:numPr>
          <w:ilvl w:val="2"/>
          <w:numId w:val="1"/>
        </w:numPr>
        <w:rPr/>
      </w:pPr>
      <w:bookmarkStart w:id="472" w:name="__RefHeading___Toc643625_222507752"/>
      <w:bookmarkStart w:id="473" w:name="_Toc185"/>
      <w:bookmarkEnd w:id="472"/>
      <w:r>
        <w:rPr>
          <w:rtl w:val="true"/>
        </w:rPr>
        <w:t>سازوکارهای تعلیم و تربیت مهدوی</w:t>
      </w:r>
      <w:bookmarkEnd w:id="473"/>
    </w:p>
    <w:p>
      <w:pPr>
        <w:pStyle w:val="Heading4"/>
        <w:numPr>
          <w:ilvl w:val="3"/>
          <w:numId w:val="1"/>
        </w:numPr>
        <w:rPr/>
      </w:pPr>
      <w:bookmarkStart w:id="474" w:name="__RefHeading___Toc643627_222507752"/>
      <w:bookmarkStart w:id="475" w:name="_Toc186"/>
      <w:bookmarkEnd w:id="474"/>
      <w:r>
        <w:rPr>
          <w:rtl w:val="true"/>
        </w:rPr>
        <w:t>اشاره</w:t>
      </w:r>
      <w:bookmarkEnd w:id="475"/>
    </w:p>
    <w:p>
      <w:pPr>
        <w:pStyle w:val="BookText"/>
        <w:rPr/>
      </w:pPr>
      <w:r>
        <w:rPr>
          <w:rFonts w:ascii="IRNazanin" w:hAnsi="IRNazanin" w:eastAsia="IRNazanin"/>
          <w:color w:val="111111"/>
          <w:sz w:val="28"/>
          <w:sz w:val="28"/>
          <w:szCs w:val="28"/>
          <w:rtl w:val="true"/>
          <w:lang w:bidi="fa-IR"/>
        </w:rPr>
        <w:t xml:space="preserve">عصر ظهور، عصر شکوفایی و بالندگی انسان، در پرتو تعلیم و تربیت حقیقی و رسیدن او به بصیرت اخلاقی است و آن با ساز وکارها و شیوه‌های گوناگونی پدید می‌آید که مهم‌ترین آنها تربیت عقلانی است؛ یعنی، شکوفاکردن عقل و خرد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باور عمیق و ژرف به آموزه‌های دینی و عشق به مکارم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بالنده‌کردن فطرت و سرشت پاک آدمی و تزکیه نفس آلوده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چند مؤلّفه مهم اخلاقی ـ فکری در این نظام قابل شناسایی و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انقلاب بزرگ فرهنگی و اخلاقی؛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بالابردن سطح دانایی و خرد ورزی انسان؛ </w:t>
      </w:r>
      <w:bookmarkStart w:id="476" w:name="pg12658_166871"/>
    </w:p>
    <w:p>
      <w:pPr>
        <w:pStyle w:val="BookText"/>
        <w:rPr/>
      </w:pPr>
      <w:bookmarkEnd w:id="476"/>
      <w:r>
        <w:rPr>
          <w:rFonts w:ascii="IRNazanin" w:hAnsi="IRNazanin" w:eastAsia="IRNazanin"/>
          <w:color w:val="111111"/>
          <w:sz w:val="28"/>
          <w:sz w:val="28"/>
          <w:szCs w:val="28"/>
          <w:rtl w:val="true"/>
          <w:lang w:bidi="fa-IR"/>
        </w:rPr>
        <w:t>ـ ریشه‌کنی عوامل تباهی فرد و اجتماع؛</w:t>
      </w:r>
    </w:p>
    <w:p>
      <w:pPr>
        <w:pStyle w:val="BookText"/>
        <w:rPr/>
      </w:pPr>
      <w:r>
        <w:rPr>
          <w:rFonts w:ascii="IRNazanin" w:hAnsi="IRNazanin" w:eastAsia="IRNazanin"/>
          <w:color w:val="111111"/>
          <w:sz w:val="28"/>
          <w:sz w:val="28"/>
          <w:szCs w:val="28"/>
          <w:rtl w:val="true"/>
          <w:lang w:bidi="fa-IR"/>
        </w:rPr>
        <w:t>ـ کمک‌گرفتن از خرد در جهت شناخت مبدأ و معاد و نیکی‌ها و زشتی‌ها؛</w:t>
      </w:r>
    </w:p>
    <w:p>
      <w:pPr>
        <w:pStyle w:val="BookText"/>
        <w:rPr/>
      </w:pPr>
      <w:r>
        <w:rPr>
          <w:rFonts w:ascii="IRNazanin" w:hAnsi="IRNazanin" w:eastAsia="IRNazanin"/>
          <w:color w:val="111111"/>
          <w:sz w:val="28"/>
          <w:sz w:val="28"/>
          <w:szCs w:val="28"/>
          <w:rtl w:val="true"/>
          <w:lang w:bidi="fa-IR"/>
        </w:rPr>
        <w:t>ـ کمک به قدرت انتخاب‌گری مردم در جهت‌دادن به آنها برای دگرگونی وضع نابسامان خود؛</w:t>
      </w:r>
    </w:p>
    <w:p>
      <w:pPr>
        <w:pStyle w:val="BookText"/>
        <w:rPr/>
      </w:pPr>
      <w:r>
        <w:rPr>
          <w:rFonts w:ascii="IRNazanin" w:hAnsi="IRNazanin" w:eastAsia="IRNazanin"/>
          <w:color w:val="111111"/>
          <w:sz w:val="28"/>
          <w:sz w:val="28"/>
          <w:szCs w:val="28"/>
          <w:rtl w:val="true"/>
          <w:lang w:bidi="fa-IR"/>
        </w:rPr>
        <w:t xml:space="preserve">ـ رشد هماهنگ فکری و اخلاقی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و تعلیم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پاکیزه‌کردن اخلاق مردم و آشناساختن آنان با فضایل انسانی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برای نجات انسان‌ها از گرداب گمراهی و نادانی و اصلاح گروه‌های مردی و کاستن از مشکلات پرشمار، باید سازوکارها و شیوه‌های گوناگونی به‌کار گرفته شود و از ابزار و امکانات مناسبی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از همة امکانات و سازوکارهای ممکن برای بهْ‌سازی اخلاق و پاک‌زیستی انسان و فراهم‌کردن محیط سالم و بلندمرتبه بهره گرفته خواهد شد و این در پرتو عنایات الهی و شخصیت، توان و درایت ویژة امام مهدی علیه‌السلام شدنی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سازوکارهای برگرفته از روایات و منابع دینی، ذکر می‌شود</w:t>
      </w:r>
      <w:r>
        <w:rPr>
          <w:rFonts w:eastAsia="IRNazanin" w:cs="IRNazanin"/>
          <w:color w:val="111111"/>
          <w:sz w:val="28"/>
          <w:szCs w:val="28"/>
          <w:rtl w:val="true"/>
          <w:lang w:bidi="fa-IR"/>
        </w:rPr>
        <w:t>:</w:t>
      </w:r>
    </w:p>
    <w:p>
      <w:pPr>
        <w:pStyle w:val="Heading4"/>
        <w:numPr>
          <w:ilvl w:val="3"/>
          <w:numId w:val="1"/>
        </w:numPr>
        <w:rPr/>
      </w:pPr>
      <w:bookmarkStart w:id="477" w:name="__RefHeading___Toc643629_222507752"/>
      <w:bookmarkStart w:id="478" w:name="_Toc187"/>
      <w:bookmarkEnd w:id="477"/>
      <w:r>
        <w:rPr/>
        <w:t>1</w:t>
      </w:r>
      <w:r>
        <w:rPr>
          <w:rtl w:val="true"/>
        </w:rPr>
        <w:t xml:space="preserve">. </w:t>
      </w:r>
      <w:r>
        <w:rPr>
          <w:rtl w:val="true"/>
        </w:rPr>
        <w:t>شکوفاسازی عقول انسانی</w:t>
      </w:r>
      <w:bookmarkEnd w:id="478"/>
    </w:p>
    <w:p>
      <w:pPr>
        <w:pStyle w:val="BookText"/>
        <w:rPr/>
      </w:pPr>
      <w:r>
        <w:rPr>
          <w:rFonts w:ascii="IRNazanin" w:hAnsi="IRNazanin" w:eastAsia="IRNazanin"/>
          <w:color w:val="111111"/>
          <w:sz w:val="28"/>
          <w:sz w:val="28"/>
          <w:szCs w:val="28"/>
          <w:rtl w:val="true"/>
          <w:lang w:bidi="fa-IR"/>
        </w:rPr>
        <w:t>مهم‌ترین راه رسیدن به بصیرت اخلاقی، کمال فکری است؛ یعنی، توجه ویژة دین به شکوفاکردن خرد آدمی و بالابردن سطح دانایی و روشن‌بینی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پایة انسانیت، حجت باطنی خداوند، وسیلة فهم و دریافت معارف اعتقادی و یکی از منابع استنباط احکام فقهی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شکوفاسازی و تربیت این موهبت ارجمند پروردگار، پیام همة ادیان آسمانی، به ویژه دین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پیش‌ازاین اشاره شد در روایت‌هایی به این بعد از کمال فکری و عقلی بشر ـ که در عصر ظهور در حد بالایی خواهد بود ـ اشاره شده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این‌گونه تعبیرها کنایه از تربیت امت اسلامی به دست امام قائم علیه‌السلام است و بهره از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آن است که مردم سر را مرکز خرد و اندیشه می‌دانند و دست‌برسرنهادن، کنایه از تربیت است و فرقی نمی‌کند که خداوند مربی باشد و یا مهدی علیه‌السلام؛ زیرا قانون مهدوی، همان قانون الهی است و تربیت او، آیت تربیت پروردگار بلند مرتبه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نتیجة طبیعی و مطلوب </w:t>
      </w:r>
      <w:bookmarkStart w:id="479" w:name="pg12658_166873"/>
    </w:p>
    <w:p>
      <w:pPr>
        <w:pStyle w:val="BookText"/>
        <w:rPr/>
      </w:pPr>
      <w:bookmarkEnd w:id="479"/>
      <w:r>
        <w:rPr>
          <w:rFonts w:ascii="IRNazanin" w:hAnsi="IRNazanin" w:eastAsia="IRNazanin"/>
          <w:color w:val="111111"/>
          <w:sz w:val="28"/>
          <w:sz w:val="28"/>
          <w:szCs w:val="28"/>
          <w:rtl w:val="true"/>
          <w:lang w:bidi="fa-IR"/>
        </w:rPr>
        <w:t>تربیت ـ که عبارت از گرد‌آمدن عقل‌ها و تکامل اندیشه‌ها است ـ به بار می‌نشیند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پس دست‌نهادن بر سر بندگان خدا، به معنای تربیت و اعتلای اندیشه‌ها و افکار و عواطف انسان‌ها است که اگر همراه با رشد اخلاقی و تزکیه و تربیت درست باشد؛ 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می‌آورد و او را به سرمنزل مقصود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خرد و اندیشة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بالابردن سطح دانایی و بصیرت او، روشی تأثیرگذار و باارزش در رشد و شکوفایی معنوی او است که بر پایة روایات در عصر ظهور محقق خواهد شد</w:t>
      </w:r>
      <w:r>
        <w:rPr>
          <w:rFonts w:eastAsia="IRNazanin" w:cs="IRNazanin"/>
          <w:color w:val="111111"/>
          <w:sz w:val="28"/>
          <w:szCs w:val="28"/>
          <w:rtl w:val="true"/>
          <w:lang w:bidi="fa-IR"/>
        </w:rPr>
        <w:t>.</w:t>
      </w:r>
    </w:p>
    <w:p>
      <w:pPr>
        <w:pStyle w:val="Heading4"/>
        <w:numPr>
          <w:ilvl w:val="3"/>
          <w:numId w:val="1"/>
        </w:numPr>
        <w:rPr/>
      </w:pPr>
      <w:bookmarkStart w:id="480" w:name="__RefHeading___Toc643631_222507752"/>
      <w:bookmarkStart w:id="481" w:name="_Toc188"/>
      <w:bookmarkEnd w:id="480"/>
      <w:r>
        <w:rPr/>
        <w:t>2</w:t>
      </w:r>
      <w:r>
        <w:rPr>
          <w:rtl w:val="true"/>
        </w:rPr>
        <w:t xml:space="preserve">. </w:t>
      </w:r>
      <w:r>
        <w:rPr>
          <w:rtl w:val="true"/>
        </w:rPr>
        <w:t>فرهنگ‌سازی جامع</w:t>
      </w:r>
      <w:bookmarkEnd w:id="481"/>
    </w:p>
    <w:p>
      <w:pPr>
        <w:pStyle w:val="BookText"/>
        <w:rPr/>
      </w:pPr>
      <w:r>
        <w:rPr>
          <w:rFonts w:ascii="IRNazanin" w:hAnsi="IRNazanin" w:eastAsia="IRNazanin"/>
          <w:color w:val="111111"/>
          <w:sz w:val="28"/>
          <w:sz w:val="28"/>
          <w:szCs w:val="28"/>
          <w:rtl w:val="true"/>
          <w:lang w:bidi="fa-IR"/>
        </w:rPr>
        <w:t>عصر ظهور، دوران گسترش فرهنگ سالم و انسانی در همة سطوح جامعه و زدودن خرافات، پیرایه‌ها و آداب و رسوم ناسالم و غیر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عصر فعالیت‌های گستردة فرهنگی است؛ یعنی، بعضی از مشکلات و کاستی‌های جامعه، از طریق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تبلیغی و آگاهی بخشی و ارشادی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حل است و اقدامات حکومت جهانی نیز، بیشتر ماهیت فرهنگی و ارزشی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برهة نورانی، انسان‌ها به عمق و زشتی مفاسد اخلاقی و کژتابی‌های فکری و عملی پی می‌برند و از آلودگی‌ها بی‌زار می‌گردند و این فقط در سایة گسترش و تعمیق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برتر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سازی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فرهنگ سالم دینی در همة سطوح گسترش می‌یابد و ماهیت امور فرهنگی می‌شود</w:t>
      </w:r>
      <w:r>
        <w:rPr>
          <w:rFonts w:eastAsia="IRNazanin" w:cs="IRNazanin"/>
          <w:color w:val="111111"/>
          <w:sz w:val="28"/>
          <w:szCs w:val="28"/>
          <w:rtl w:val="true"/>
          <w:lang w:bidi="fa-IR"/>
        </w:rPr>
        <w:t>.</w:t>
      </w:r>
    </w:p>
    <w:p>
      <w:pPr>
        <w:pStyle w:val="Heading4"/>
        <w:numPr>
          <w:ilvl w:val="3"/>
          <w:numId w:val="1"/>
        </w:numPr>
        <w:rPr/>
      </w:pPr>
      <w:bookmarkStart w:id="482" w:name="__RefHeading___Toc643633_222507752"/>
      <w:bookmarkStart w:id="483" w:name="_Toc189"/>
      <w:bookmarkEnd w:id="482"/>
      <w:r>
        <w:rPr/>
        <w:t>3</w:t>
      </w:r>
      <w:r>
        <w:rPr>
          <w:rtl w:val="true"/>
        </w:rPr>
        <w:t xml:space="preserve">. </w:t>
      </w:r>
      <w:r>
        <w:rPr>
          <w:rtl w:val="true"/>
        </w:rPr>
        <w:t>پالایش ناپاکی‌های درونی</w:t>
      </w:r>
      <w:bookmarkEnd w:id="48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پالایش درونی،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نظر لغوی به معنای پاک‌نمودن و یا پاک‌شدن از آنچه که باید از آن پاک شد و از نظر اصطلاحی، پاکیزه‌ساختن نفس از شرور و آلودگی‌ها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هدف پیامبران، تهذیب و تزکیه نفوس انسانی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آمدند تا جان انسان‌ها را از زشتی‌ها و صفات حیوانی پاک و پاکیزه سازند و خوبی‌ها و مکارم اخلاقی را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آمدند تا به انسان‌ها درس خودسازی بیاموزند و در طریق شناخت اخلاق زشت و کنترل </w:t>
      </w:r>
      <w:bookmarkStart w:id="484" w:name="pg12658_166875"/>
    </w:p>
    <w:p>
      <w:pPr>
        <w:pStyle w:val="BookText"/>
        <w:rPr/>
      </w:pPr>
      <w:bookmarkEnd w:id="484"/>
      <w:r>
        <w:rPr>
          <w:rFonts w:ascii="IRNazanin" w:hAnsi="IRNazanin" w:eastAsia="IRNazanin"/>
          <w:color w:val="111111"/>
          <w:sz w:val="28"/>
          <w:sz w:val="28"/>
          <w:szCs w:val="28"/>
          <w:rtl w:val="true"/>
          <w:lang w:bidi="fa-IR"/>
        </w:rPr>
        <w:t>و مهار امیال و خواسته‌های مخرب نفسانی، یار و مدد‌کارشان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ظهور به راستی، دوران تزکیه و پاکیزگی جان‌ها است؛ هم با برنامه‌های پیامبرانة امام زمان و هم با آگاهاندن و سوق‌دادن مردم به آن</w:t>
      </w:r>
      <w:r>
        <w:rPr>
          <w:rFonts w:eastAsia="IRNazanin" w:cs="IRNazanin"/>
          <w:color w:val="111111"/>
          <w:sz w:val="28"/>
          <w:szCs w:val="28"/>
          <w:rtl w:val="true"/>
          <w:lang w:bidi="fa-IR"/>
        </w:rPr>
        <w:t>.</w:t>
      </w:r>
    </w:p>
    <w:p>
      <w:pPr>
        <w:pStyle w:val="Heading4"/>
        <w:numPr>
          <w:ilvl w:val="3"/>
          <w:numId w:val="1"/>
        </w:numPr>
        <w:rPr/>
      </w:pPr>
      <w:bookmarkStart w:id="485" w:name="__RefHeading___Toc643635_222507752"/>
      <w:bookmarkStart w:id="486" w:name="_Toc190"/>
      <w:bookmarkEnd w:id="485"/>
      <w:r>
        <w:rPr/>
        <w:t>4</w:t>
      </w:r>
      <w:r>
        <w:rPr>
          <w:rtl w:val="true"/>
        </w:rPr>
        <w:t xml:space="preserve">. </w:t>
      </w:r>
      <w:r>
        <w:rPr>
          <w:rtl w:val="true"/>
        </w:rPr>
        <w:t>شکوفایی سرشت انسانی</w:t>
      </w:r>
      <w:bookmarkEnd w:id="486"/>
    </w:p>
    <w:p>
      <w:pPr>
        <w:pStyle w:val="BookText"/>
        <w:rPr/>
      </w:pPr>
      <w:r>
        <w:rPr>
          <w:rFonts w:ascii="IRNazanin" w:hAnsi="IRNazanin" w:eastAsia="IRNazanin"/>
          <w:color w:val="111111"/>
          <w:sz w:val="28"/>
          <w:sz w:val="28"/>
          <w:szCs w:val="28"/>
          <w:rtl w:val="true"/>
          <w:lang w:bidi="fa-IR"/>
        </w:rPr>
        <w:t>همة انسان‌ها، بر سرشت پاک و فطرت الهی به دنیا می‌آیند و هر چند دارای غرایز و نیروهای غریزی هستند؛ اما ملکات انسانی و نیروهای قدسی آنان قوی‌تر و ماندگار‌تر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زیر پرورش درست قرار گیرد و دچار اغواگری و شیطنت ابلیس نشود، توانایی رشد و بالندگی روحی و معنوی فوق العاده‌ای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باقی‌ماندن بر سرشت پاک یا بازگشت به این سرشت و سیرت الهی، بایسته‌ترین راه برای رسیدن انسان به کمال و تعالی واقعی، رشد روزافزون و شکوفایی واقعیت‌های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مسلّم، رکن پایدار اندیشة مهدویت و از سازوکارهای مهم پرورشی، برای بیرون‌کردن انسان از مادی محض و رساندن او به اوج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87" w:name="__RefHeading___Toc643637_222507752"/>
      <w:bookmarkStart w:id="488" w:name="_Toc191"/>
      <w:bookmarkEnd w:id="487"/>
      <w:r>
        <w:rPr/>
        <w:t>5</w:t>
      </w:r>
      <w:r>
        <w:rPr>
          <w:rtl w:val="true"/>
        </w:rPr>
        <w:t xml:space="preserve">. </w:t>
      </w:r>
      <w:r>
        <w:rPr>
          <w:rtl w:val="true"/>
        </w:rPr>
        <w:t>ترویج و تثبیت ارزش‌های اخلاقی</w:t>
      </w:r>
      <w:bookmarkEnd w:id="4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فرآیندی است که به انتقال آموزه‌های اخلاقی و مکارم انسانی و تثبیت آنها در افراد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جامعه‌پذیری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ارزش‌های اخلاقی تبیین و تشریع می‌گردند و ضمن آگاه‌کردن انسان‌ها از آنها، زمینه‌های علاقة قلبی آنان و کشش درونی به آنها را فراهم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هنجار‌پذیری انسان، فهم و پذیرش قوانین ثابت اخلاقی و تلاش برای گسترش و حاکمیت این اصول است؛ یعنی، آراسته‌شدن به اصول ارزشی و پایبندی با معرفت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برنامة امام مهدی علیه‌السلام، حاکمیت ارزش‌های اخلاقی و آگاهی بخشی به مردم است</w:t>
      </w:r>
      <w:r>
        <w:rPr>
          <w:rFonts w:eastAsia="IRNazanin" w:cs="IRNazanin"/>
          <w:color w:val="111111"/>
          <w:sz w:val="28"/>
          <w:szCs w:val="28"/>
          <w:rtl w:val="true"/>
          <w:lang w:bidi="fa-IR"/>
        </w:rPr>
        <w:t>.</w:t>
      </w:r>
    </w:p>
    <w:p>
      <w:pPr>
        <w:pStyle w:val="Heading4"/>
        <w:numPr>
          <w:ilvl w:val="3"/>
          <w:numId w:val="1"/>
        </w:numPr>
        <w:rPr/>
      </w:pPr>
      <w:bookmarkStart w:id="489" w:name="__RefHeading___Toc643639_222507752"/>
      <w:bookmarkStart w:id="490" w:name="_Toc192"/>
      <w:bookmarkEnd w:id="489"/>
      <w:r>
        <w:rPr/>
        <w:t>6</w:t>
      </w:r>
      <w:r>
        <w:rPr>
          <w:rtl w:val="true"/>
        </w:rPr>
        <w:t xml:space="preserve">. </w:t>
      </w:r>
      <w:r>
        <w:rPr>
          <w:rtl w:val="true"/>
        </w:rPr>
        <w:t>کنترل و نظارت فراگیر</w:t>
      </w:r>
      <w:bookmarkEnd w:id="49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بتوان باور و رفتار انسان‌ها را دگرگون کرد و آنها را در مسیر اصلاح و سازندگی واقعی قرار داد، باید برنامه‌ای پایدار و اثر‌گذار برای او ارایه نمود و در ضمن آن، نظارت فراگیر و کاملی بر رفتارها و هنجار‌شکنی‌های 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باید </w:t>
      </w:r>
      <w:bookmarkStart w:id="491" w:name="pg12658_166877"/>
    </w:p>
    <w:p>
      <w:pPr>
        <w:pStyle w:val="BookText"/>
        <w:rPr/>
      </w:pPr>
      <w:bookmarkEnd w:id="491"/>
      <w:r>
        <w:rPr>
          <w:rFonts w:ascii="IRNazanin" w:hAnsi="IRNazanin" w:eastAsia="IRNazanin"/>
          <w:color w:val="111111"/>
          <w:sz w:val="28"/>
          <w:sz w:val="28"/>
          <w:szCs w:val="28"/>
          <w:rtl w:val="true"/>
          <w:lang w:bidi="fa-IR"/>
        </w:rPr>
        <w:t xml:space="preserve">بر حسن اجرای برنامه‌های تربیتی و اصلاحی، مراقبت جدی داشت و در صورت ضرورت، از سازوکار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و تخویف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اجرای دستورات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زمینه‌های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جدیت به خرج داد و در برابر طغیان و قانون‌شکنی کوتاه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برنامه‌های فرهنگی، تحت انضباط و نظم دینی قرار گیرد، بسیار مؤثر و کاربردی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نظارت فراگیر برای هدایت و رهنمونی انسان‌ها، به صلاح و تقوا و جلوگیری از هنجار شکنی و افسادگری در عصر ظهور، با ظرافت خاص و برنامه‌ای فراگیر صورت خواهد گرفت</w:t>
      </w:r>
      <w:r>
        <w:rPr>
          <w:rFonts w:eastAsia="IRNazanin" w:cs="IRNazanin"/>
          <w:color w:val="111111"/>
          <w:sz w:val="28"/>
          <w:szCs w:val="28"/>
          <w:rtl w:val="true"/>
          <w:lang w:bidi="fa-IR"/>
        </w:rPr>
        <w:t>.</w:t>
      </w:r>
    </w:p>
    <w:p>
      <w:pPr>
        <w:pStyle w:val="Heading4"/>
        <w:numPr>
          <w:ilvl w:val="3"/>
          <w:numId w:val="1"/>
        </w:numPr>
        <w:rPr/>
      </w:pPr>
      <w:bookmarkStart w:id="492" w:name="__RefHeading___Toc643641_222507752"/>
      <w:bookmarkStart w:id="493" w:name="_Toc193"/>
      <w:bookmarkEnd w:id="492"/>
      <w:r>
        <w:rPr/>
        <w:t>7</w:t>
      </w:r>
      <w:r>
        <w:rPr>
          <w:rtl w:val="true"/>
        </w:rPr>
        <w:t xml:space="preserve">. </w:t>
      </w:r>
      <w:r>
        <w:rPr>
          <w:rtl w:val="true"/>
        </w:rPr>
        <w:t>تقویت باورهای اعتقادی و ایمانی</w:t>
      </w:r>
      <w:bookmarkEnd w:id="493"/>
    </w:p>
    <w:p>
      <w:pPr>
        <w:pStyle w:val="BookText"/>
        <w:rPr/>
      </w:pPr>
      <w:r>
        <w:rPr>
          <w:rFonts w:ascii="IRNazanin" w:hAnsi="IRNazanin" w:eastAsia="IRNazanin"/>
          <w:color w:val="111111"/>
          <w:sz w:val="28"/>
          <w:sz w:val="28"/>
          <w:szCs w:val="28"/>
          <w:rtl w:val="true"/>
          <w:lang w:bidi="fa-IR"/>
        </w:rPr>
        <w:t xml:space="preserve">بر پایة این سازوکار، برای اینکه انسان بتواند اعمال و رفتار درست و با اعتدالی بروز دهد، باید زیربناهای فکری و معرفتی‌اش استوار و فخیم گردد؛ یعنی، تا انسان شناخت درست و باور عمیقی نسبت به مبانی اعتقادی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یکتاپرستی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نداشته باشد و آنها را با دل و جان نپذیرد، کمتر هنجار پذیر شده و به سمت کمالات واقعی خود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رشد فکری و اخلاقی بشر، مترتب بر تعمیق باورهای دینی و آشنایی عمیق با آغاز و فرجام خود و حاملان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راهبران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مهم ترین برنامه رسول اکرم صلی‌الله‌علیه‌وآله، جایگزینی توحید، به جای شرک و بنیادنهادن تمدن توحیدی بود؛ آن هم با تغییر در باورهای اعراب جاهلی</w:t>
      </w:r>
      <w:r>
        <w:rPr>
          <w:rFonts w:eastAsia="IRNazanin" w:cs="IRNazanin"/>
          <w:color w:val="111111"/>
          <w:sz w:val="28"/>
          <w:szCs w:val="28"/>
          <w:rtl w:val="true"/>
          <w:lang w:bidi="fa-IR"/>
        </w:rPr>
        <w:t>.</w:t>
      </w:r>
    </w:p>
    <w:p>
      <w:pPr>
        <w:pStyle w:val="Heading4"/>
        <w:numPr>
          <w:ilvl w:val="3"/>
          <w:numId w:val="1"/>
        </w:numPr>
        <w:rPr/>
      </w:pPr>
      <w:bookmarkStart w:id="494" w:name="__RefHeading___Toc643643_222507752"/>
      <w:bookmarkStart w:id="495" w:name="_Toc194"/>
      <w:bookmarkEnd w:id="494"/>
      <w:r>
        <w:rPr/>
        <w:t>8</w:t>
      </w:r>
      <w:r>
        <w:rPr>
          <w:rtl w:val="true"/>
        </w:rPr>
        <w:t xml:space="preserve">. </w:t>
      </w:r>
      <w:r>
        <w:rPr>
          <w:rtl w:val="true"/>
        </w:rPr>
        <w:t>ایجاد غنای واقعی در بشر</w:t>
      </w:r>
      <w:bookmarkEnd w:id="49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سازوکارهای مهم در تغییر و تحوّلات روحی انسان‌ها و فروکاستن از آمال مادی صرف و خواسته‌ها‌ی فزاینده دنیوی و تجملاتی، استغنای روحی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بالارفتن ظرفیت‌های فکری و درونی مردم، توجه به نیازهای اصیل و فطری و ماندگار، پایین‌آوردن سطح خواسته‌ها و خواسته‌های گوناگون و فزایندة مادی و غریزی، دراولویت‌قرارندادن امور پست و زودگذر و… نشانه‌های بی‌نیازی روحی و معنوی‌اند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مدیریت و هدایت دقیق و درست، عامل حل بسیاری از کاستی‌ها و ناهنجاری‌ها خواهند بود؛ امری که در عصر ظهور به صورت کامل و تمام محقق خواهد شد</w:t>
      </w:r>
      <w:r>
        <w:rPr>
          <w:rFonts w:eastAsia="IRNazanin" w:cs="IRNazanin"/>
          <w:color w:val="111111"/>
          <w:sz w:val="28"/>
          <w:szCs w:val="28"/>
          <w:rtl w:val="true"/>
          <w:lang w:bidi="fa-IR"/>
        </w:rPr>
        <w:t xml:space="preserve">. </w:t>
      </w:r>
      <w:bookmarkStart w:id="496" w:name="pg12658_166878"/>
    </w:p>
    <w:p>
      <w:pPr>
        <w:pStyle w:val="Heading4"/>
        <w:numPr>
          <w:ilvl w:val="3"/>
          <w:numId w:val="1"/>
        </w:numPr>
        <w:rPr/>
      </w:pPr>
      <w:bookmarkStart w:id="497" w:name="__RefHeading___Toc643645_222507752"/>
      <w:bookmarkStart w:id="498" w:name="_Toc195"/>
      <w:bookmarkEnd w:id="496"/>
      <w:bookmarkEnd w:id="497"/>
      <w:r>
        <w:rPr/>
        <w:t>9</w:t>
      </w:r>
      <w:r>
        <w:rPr>
          <w:rtl w:val="true"/>
        </w:rPr>
        <w:t xml:space="preserve">. </w:t>
      </w:r>
      <w:r>
        <w:rPr>
          <w:rtl w:val="true"/>
        </w:rPr>
        <w:t>به‌سازی اخلاق کارگزاران</w:t>
      </w:r>
      <w:bookmarkEnd w:id="498"/>
    </w:p>
    <w:p>
      <w:pPr>
        <w:pStyle w:val="BookText"/>
        <w:rPr/>
      </w:pPr>
      <w:r>
        <w:rPr>
          <w:rFonts w:ascii="IRNazanin" w:hAnsi="IRNazanin" w:eastAsia="IRNazanin"/>
          <w:color w:val="111111"/>
          <w:sz w:val="28"/>
          <w:sz w:val="28"/>
          <w:szCs w:val="28"/>
          <w:rtl w:val="true"/>
          <w:lang w:bidi="fa-IR"/>
        </w:rPr>
        <w:t>یکی از راه‌های تأثیرگذار در رشد فکری و اخلاقی مردم، تقدم اصلاح رفتاری و معرفتی بازیگران عرصة سیاست و مدیریت جهان بر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کارگزاران امور، از نظر اخلاقی سالم و پاک باشند و در عمل به وظایف خود از راه حق، عدالت و اعتدال بیرون نروند، بسیاری از انحرافات و کژتابی‌های اخلاقی و رفتاری جهان کاسته خواهد شد و مردم نیز پیرو آنان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نخست در به‌سازی اخلاق کارگزاران و مدیران و مجریان، نظارت بر آنها و سخت‌گیری در برابر قانون‌شکنی و هنجارناپذیری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شَدیدٌ عَلَی العُمّالِ رَحیمٌ بِالمَساکِین؛</w:t>
      </w:r>
      <w:r>
        <w:rPr>
          <w:rStyle w:val="FootnoteAnchor"/>
          <w:rtl w:val="true"/>
        </w:rPr>
        <w:footnoteReference w:id="239"/>
      </w:r>
      <w:r>
        <w:rPr>
          <w:rFonts w:ascii="IRNazanin" w:hAnsi="IRNazanin" w:eastAsia="IRNazanin"/>
          <w:color w:val="111111"/>
          <w:sz w:val="28"/>
          <w:sz w:val="28"/>
          <w:szCs w:val="28"/>
          <w:rtl w:val="true"/>
          <w:lang w:bidi="fa-IR"/>
        </w:rPr>
        <w:t>مهدی علیه‌السلام… بر کارگزاران سخت می‌گیرد و بر بینوایان بسیار مهربان است</w:t>
      </w:r>
      <w:r>
        <w:rPr>
          <w:rFonts w:eastAsia="IRNazanin" w:cs="IRNazanin"/>
          <w:color w:val="111111"/>
          <w:sz w:val="28"/>
          <w:szCs w:val="28"/>
          <w:rtl w:val="true"/>
          <w:lang w:bidi="fa-IR"/>
        </w:rPr>
        <w:t>.»</w:t>
      </w:r>
    </w:p>
    <w:p>
      <w:pPr>
        <w:pStyle w:val="Heading4"/>
        <w:numPr>
          <w:ilvl w:val="3"/>
          <w:numId w:val="1"/>
        </w:numPr>
        <w:rPr/>
      </w:pPr>
      <w:bookmarkStart w:id="499" w:name="__RefHeading___Toc643647_222507752"/>
      <w:bookmarkStart w:id="500" w:name="_Toc196"/>
      <w:bookmarkEnd w:id="499"/>
      <w:r>
        <w:rPr/>
        <w:t>10</w:t>
      </w:r>
      <w:r>
        <w:rPr>
          <w:rtl w:val="true"/>
        </w:rPr>
        <w:t xml:space="preserve">. </w:t>
      </w:r>
      <w:r>
        <w:rPr>
          <w:rtl w:val="true"/>
        </w:rPr>
        <w:t>حاکمیت اندیشة قرآنی</w:t>
      </w:r>
      <w:bookmarkEnd w:id="500"/>
    </w:p>
    <w:p>
      <w:pPr>
        <w:pStyle w:val="BookText"/>
        <w:rPr/>
      </w:pPr>
      <w:r>
        <w:rPr>
          <w:rFonts w:ascii="IRNazanin" w:hAnsi="IRNazanin" w:eastAsia="IRNazanin"/>
          <w:color w:val="111111"/>
          <w:sz w:val="28"/>
          <w:sz w:val="28"/>
          <w:szCs w:val="28"/>
          <w:rtl w:val="true"/>
          <w:lang w:bidi="fa-IR"/>
        </w:rPr>
        <w:t>قرآن، برنامه فراگیر و کامل برای ساختن جامعه‌ای سالم و آباد، انسانی فرهیخته و متعالی و آینده‌ای رو به رشد و مترقی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آموزه‌های وحیانی قرآن، به عنوان مبنا و معیار درستی و نادرستی اندیشه‌ها و افکار و تربیت کننده و اصلاح‌گر نفوس و دل‌ها، عامل رستگاری و نجات همة انسان‌ها در هر سطح و منزلتی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پیش‌ازاین اشاره شد امیر مؤمنان علیه‌السلام در بارة اینکه امام مهدی علیه‌السلام قوانین را مطابق با قرآن می‌کند، فرمود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یَعْطِفُ الْهَوَی عَلَی الْهُدَی إِذَا عَطَفُوا الْهُدَی عَلَی الْهَوَی وَ یَعْطِفُ الرَّأْیَ عَلَی الْقُرْآنِ إِذَا عَطَفُوا الْقُرْآنَ عَلَی الرَّأْیِ؛</w:t>
      </w:r>
      <w:r>
        <w:rPr>
          <w:rStyle w:val="FootnoteAnchor"/>
          <w:rtl w:val="true"/>
        </w:rPr>
        <w:footnoteReference w:id="240"/>
      </w:r>
      <w:r>
        <w:rPr>
          <w:rFonts w:ascii="IRNazanin" w:hAnsi="IRNazanin" w:eastAsia="IRNazanin"/>
          <w:color w:val="111111"/>
          <w:sz w:val="28"/>
          <w:sz w:val="28"/>
          <w:szCs w:val="28"/>
          <w:rtl w:val="true"/>
          <w:lang w:bidi="fa-IR"/>
        </w:rPr>
        <w:t>خواهش نفسانی را به هدایت آسمانی بازگرداند، و آن هنگامی است که ـ مردم ـ رستگاری را تابع هوی ساخته‌اند، و رأی آنان را پیرو قرآن کند، و آن هنگامی است که قرآن را تابع رأی خود کرده‌اند</w:t>
      </w:r>
      <w:r>
        <w:rPr>
          <w:rFonts w:eastAsia="IRNazanin" w:cs="IRNazanin"/>
          <w:color w:val="111111"/>
          <w:sz w:val="28"/>
          <w:szCs w:val="28"/>
          <w:rtl w:val="true"/>
          <w:lang w:bidi="fa-IR"/>
        </w:rPr>
        <w:t xml:space="preserve">. </w:t>
      </w:r>
      <w:bookmarkStart w:id="501" w:name="pg12658_166881"/>
    </w:p>
    <w:p>
      <w:pPr>
        <w:pStyle w:val="Heading4"/>
        <w:numPr>
          <w:ilvl w:val="3"/>
          <w:numId w:val="1"/>
        </w:numPr>
        <w:rPr/>
      </w:pPr>
      <w:bookmarkStart w:id="502" w:name="__RefHeading___Toc643649_222507752"/>
      <w:bookmarkStart w:id="503" w:name="_Toc197"/>
      <w:bookmarkEnd w:id="501"/>
      <w:bookmarkEnd w:id="502"/>
      <w:r>
        <w:rPr/>
        <w:t>11</w:t>
      </w:r>
      <w:r>
        <w:rPr>
          <w:rtl w:val="true"/>
        </w:rPr>
        <w:t xml:space="preserve">. </w:t>
      </w:r>
      <w:r>
        <w:rPr>
          <w:rtl w:val="true"/>
        </w:rPr>
        <w:t>وحدت و الفت انسان‌ها</w:t>
      </w:r>
      <w:bookmarkEnd w:id="503"/>
    </w:p>
    <w:p>
      <w:pPr>
        <w:pStyle w:val="BookText"/>
        <w:rPr/>
      </w:pPr>
      <w:r>
        <w:rPr>
          <w:rFonts w:ascii="IRNazanin" w:hAnsi="IRNazanin" w:eastAsia="IRNazanin"/>
          <w:color w:val="111111"/>
          <w:sz w:val="28"/>
          <w:sz w:val="28"/>
          <w:szCs w:val="28"/>
          <w:rtl w:val="true"/>
          <w:lang w:bidi="fa-IR"/>
        </w:rPr>
        <w:t>دوری و اختلاف انسان‌ها از همدیگر و کینه‌ورزی نسبت به هم، چند‌پارگی فرهنگی و عقیدتی، خواست‌ها و اهداف ناهمگون و چندگانه، ارزش‌ها و هنجارهای گوناگون و… از تهدیدات مهم جامعه بشری و عامل رکود و خمودگی فکری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تنازع وتفرقه انسان‌ها هرچه باشد و به هر شکلی صورت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شکاف‌های مذهبی، فرقه ای، قومی، زبانی، نژادی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تاریخچه‌ای به فراخنای زندگی بشری دارد و بسیاری از جنگ‌ها، ستیزه‌جویی‌های فرسایشی، تجاوزگری‌ها و… ثمرة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برنامه‌های اساسی پیامبران، نزدیک ساختن انسان‌ها به همدیگر، تألیف قلوب، تعمیق مهرورزی و محبت است؛ یعنی، تشکیل امت واحده و بازگرداندن انسان‌ها به سرشت و سیرت واقعی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اتحاد و همدلی است که انسان‌ها، یک فرهنگ و آیین واحد را پذیرا بوده و یک هدف و برنامه برای زندگی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در جامعه واحد جهانی گرد هم نیایند و بر تنازع‌ها و تعارض‌های فرهنگی و سیاسی و… پافشاری کنند، هیچ برنامه تربیتی و فرهنگی مؤثر نخواهد بود و مشکلات انسان‌ها همچنان باقی خواهد ماند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لازمة رشد فکری و اخلاقی مردم، شکل‌گیری امت واحده و فرو کاستن از جدایی‌ها، ستیزش‌ها، افکار متفاوت و ارزش‌های چند‌پاره است؛ امری که در عصر ظهور مورد توجّه بوده و همة اختلافات، کینه‌ها و مذاهب و… برطرف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یَقُومُ قائِمُنا… ثُمَّ یَجْمَعُهُمُ اللَّهُ عَلَی أَمْرٍ وَاحِد؛</w:t>
      </w:r>
      <w:r>
        <w:rPr>
          <w:rStyle w:val="FootnoteAnchor"/>
          <w:rtl w:val="true"/>
        </w:rPr>
        <w:footnoteReference w:id="241"/>
      </w:r>
      <w:r>
        <w:rPr>
          <w:rFonts w:ascii="IRNazanin" w:hAnsi="IRNazanin" w:eastAsia="IRNazanin"/>
          <w:color w:val="111111"/>
          <w:sz w:val="28"/>
          <w:sz w:val="28"/>
          <w:szCs w:val="28"/>
          <w:rtl w:val="true"/>
          <w:lang w:bidi="fa-IR"/>
        </w:rPr>
        <w:t>آن‌گاه که قائم ما قیام کند… همه را بر یک فکر و مرام و احد 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لَیُرْفَعُ عَنِ الْمِلَلِ وَ الْأَدْیَانِ الِاخْتِلَاف؛</w:t>
      </w:r>
      <w:r>
        <w:rPr>
          <w:rStyle w:val="FootnoteAnchor"/>
          <w:rtl w:val="true"/>
        </w:rPr>
        <w:footnoteReference w:id="242"/>
      </w:r>
      <w:r>
        <w:rPr>
          <w:rFonts w:ascii="IRNazanin" w:hAnsi="IRNazanin" w:eastAsia="IRNazanin"/>
          <w:color w:val="111111"/>
          <w:sz w:val="28"/>
          <w:sz w:val="28"/>
          <w:szCs w:val="28"/>
          <w:rtl w:val="true"/>
          <w:lang w:bidi="fa-IR"/>
        </w:rPr>
        <w:t>چنددسته‌گی و پراکندگی را از ملت‌ها و ادیان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الفت و دوستی در دل مردم ایجاد می‌کند و بغض و خصومت را برطرف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این باره فرمود</w:t>
      </w:r>
      <w:r>
        <w:rPr>
          <w:rFonts w:eastAsia="IRNazanin" w:cs="IRNazanin"/>
          <w:color w:val="111111"/>
          <w:sz w:val="28"/>
          <w:szCs w:val="28"/>
          <w:rtl w:val="true"/>
          <w:lang w:bidi="fa-IR"/>
        </w:rPr>
        <w:t xml:space="preserve">: </w:t>
      </w:r>
      <w:bookmarkStart w:id="504" w:name="pg12658_166883"/>
    </w:p>
    <w:p>
      <w:pPr>
        <w:pStyle w:val="BookText"/>
        <w:rPr/>
      </w:pPr>
      <w:bookmarkEnd w:id="50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یُؤَلِّفَ اللَّهُ بَیْنَ قُلُوبٍ مُخْتَلِفَة؛</w:t>
      </w:r>
      <w:r>
        <w:rPr>
          <w:rStyle w:val="FootnoteAnchor"/>
          <w:rtl w:val="true"/>
        </w:rPr>
        <w:footnoteReference w:id="243"/>
      </w:r>
      <w:r>
        <w:rPr>
          <w:rFonts w:ascii="IRNazanin" w:hAnsi="IRNazanin" w:eastAsia="IRNazanin"/>
          <w:color w:val="111111"/>
          <w:sz w:val="28"/>
          <w:sz w:val="28"/>
          <w:szCs w:val="28"/>
          <w:rtl w:val="true"/>
          <w:lang w:bidi="fa-IR"/>
        </w:rPr>
        <w:t>… بین قلب‌های گوناگون الفت ایجاد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امیر مؤمنان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لَذَهَبَتِ الشَّحْنَاءُ مِنْ قُلُوبِ الْعِبَاد؛</w:t>
      </w:r>
      <w:r>
        <w:rPr>
          <w:rStyle w:val="FootnoteAnchor"/>
          <w:rtl w:val="true"/>
        </w:rPr>
        <w:footnoteReference w:id="244"/>
      </w:r>
      <w:r>
        <w:rPr>
          <w:rFonts w:ascii="IRNazanin" w:hAnsi="IRNazanin" w:eastAsia="IRNazanin"/>
          <w:color w:val="111111"/>
          <w:sz w:val="28"/>
          <w:sz w:val="28"/>
          <w:szCs w:val="28"/>
          <w:rtl w:val="true"/>
          <w:lang w:bidi="fa-IR"/>
        </w:rPr>
        <w:t>کینه‌ها از قلب‌های بندگان می‌رود</w:t>
      </w:r>
      <w:r>
        <w:rPr>
          <w:rFonts w:eastAsia="IRNazanin" w:cs="IRNazanin"/>
          <w:color w:val="111111"/>
          <w:sz w:val="28"/>
          <w:szCs w:val="28"/>
          <w:rtl w:val="true"/>
          <w:lang w:bidi="fa-IR"/>
        </w:rPr>
        <w:t>. »</w:t>
      </w:r>
    </w:p>
    <w:p>
      <w:pPr>
        <w:pStyle w:val="Heading4"/>
        <w:numPr>
          <w:ilvl w:val="3"/>
          <w:numId w:val="1"/>
        </w:numPr>
        <w:rPr/>
      </w:pPr>
      <w:bookmarkStart w:id="505" w:name="__RefHeading___Toc643651_222507752"/>
      <w:bookmarkStart w:id="506" w:name="_Toc198"/>
      <w:bookmarkEnd w:id="505"/>
      <w:r>
        <w:rPr/>
        <w:t>12</w:t>
      </w:r>
      <w:r>
        <w:rPr>
          <w:rtl w:val="true"/>
        </w:rPr>
        <w:t xml:space="preserve">. </w:t>
      </w:r>
      <w:r>
        <w:rPr>
          <w:rtl w:val="true"/>
        </w:rPr>
        <w:t>فراگیری و همگانی‌شدن تعلیم و تربیت</w:t>
      </w:r>
      <w:bookmarkEnd w:id="506"/>
    </w:p>
    <w:p>
      <w:pPr>
        <w:pStyle w:val="BookText"/>
        <w:rPr/>
      </w:pPr>
      <w:r>
        <w:rPr>
          <w:rFonts w:ascii="IRNazanin" w:hAnsi="IRNazanin" w:eastAsia="IRNazanin"/>
          <w:color w:val="111111"/>
          <w:sz w:val="28"/>
          <w:sz w:val="28"/>
          <w:szCs w:val="28"/>
          <w:rtl w:val="true"/>
          <w:lang w:bidi="fa-IR"/>
        </w:rPr>
        <w:t>یکی از انگاره‌های ارزشمند در تربیت و بالندگی اخلاقی و روحی انسان‌ها، فراگیری و شمول آن به همة افراد اجتماع است؛ یعنی، همگان باید در سطوح و مراحل مختلف زندگی، از برنامه‌های تربیتی و اخلاقی برخوردار شده و به تزکیه و تهذیب نفس و حکمت‌آموزی و خردورزی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بخش‌هایی از اجتماع ـ ولو اندک ـ از طهارت نفس و اخلاق فاضله بی‌بهره باشند، آن را به تباهی کشانده و مانع تأثیر برنامه‌های تربیتی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آن، افراد هنجار شکن و تباه‌گر، خود از موانع اصلی تعلیم و تربیت بوده و همواره درصدد انحراف و اغوای دیگران و افساد جوامع بر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تعلیم و تربیت واقعی، آن است که دربرگیرنده همة افراد بشر بوده و برای همگان، راه‌کارهای مناسب اصلاح و بازسازی اخلاقی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ظهور، تعلیم و تربیت، جهانی، فراگیر و کارآمد بوده و دربرگیرنده همه گروه‌های سنّی، فکری، اعتقادی، سیاسی، جغرافیایی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از این هدایت‌گری و تربیت‌ها بی‌بهره باشد و همچنان بر تباهی و ناراستی خود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فراگیرشدن به گونه‌ای است که در برخی روایات سخن از چندین‌برابرشدن دانش بشری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به امام صادق علیه‌السلام نسبت داده شده که 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سَبْعَةٌ وَ عِشْرُونَ جُزْءاً فَجَمِیعُ مَا جَاءَتْ بِهِ الرُّسُلُ جُزْءَانِ فَلَمْ یَعْرِفِ النَّاسُ حَتَّی الْیَوْمِ غَیْرَ الْجُزْءَیْنِ فَإِذَا قَامَ الْقَائِمُ أَخْرَجَ الْخَمْسَةَ وَ الْعِشْرِینَ </w:t>
      </w:r>
    </w:p>
    <w:p>
      <w:pPr>
        <w:pStyle w:val="BookText"/>
        <w:rPr/>
      </w:pPr>
      <w:r>
        <w:rPr>
          <w:rFonts w:ascii="Amiri" w:hAnsi="Amiri" w:eastAsia="Amiri" w:cs="Amiri"/>
          <w:color w:val="111111"/>
          <w:sz w:val="28"/>
          <w:sz w:val="28"/>
          <w:szCs w:val="28"/>
          <w:rtl w:val="true"/>
          <w:lang w:bidi="ar-SA"/>
        </w:rPr>
        <w:t>جُزْءاً فَبَثَّهَا فِی النَّاسِ وَ ضَمَّ إِلَیْهَا الْجُزْءَیْنِ حَتَّی یَبُثَّهَا سَبْعَةً وَ عِشْرِینَ جُزْءاً؛</w:t>
      </w:r>
      <w:r>
        <w:rPr>
          <w:rStyle w:val="FootnoteAnchor"/>
          <w:rtl w:val="true"/>
        </w:rPr>
        <w:footnoteReference w:id="245"/>
      </w:r>
      <w:r>
        <w:rPr>
          <w:rFonts w:ascii="IRNazanin" w:hAnsi="IRNazanin" w:eastAsia="IRNazanin"/>
          <w:color w:val="111111"/>
          <w:sz w:val="28"/>
          <w:sz w:val="28"/>
          <w:szCs w:val="28"/>
          <w:rtl w:val="true"/>
          <w:lang w:bidi="fa-IR"/>
        </w:rPr>
        <w:t xml:space="preserve">علم،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جزء دارد، همة آنچه پیامبران آورده‌اند دو جزء بوده و مردم تا به امروز بجز این دو جزء، چیزی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قائم به پا خیزد،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جزء دیگر علم را بیرون ساخته، در بین مردم منتشر می‌سازد و این دو جزء را هم بدان می‌افزاید تا به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جزء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نگذرم اگر این روایت هم نمی‌بود بررسی شرایط همگانی حکومت جهانی حضرت مهدی موعود علیه‌السلام رشد علمی شگرفی را نوید می‌دهد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بحث‌های مفصل بررسی ماهیت آن دانش و تفاوت‌های آن با فن‌آوری‌های بشری در عرصه علم امری بایسته است که از حوصلة این نوشتار بیرون است</w:t>
      </w:r>
      <w:r>
        <w:rPr>
          <w:rFonts w:eastAsia="IRNazanin" w:cs="IRNazanin"/>
          <w:color w:val="111111"/>
          <w:sz w:val="28"/>
          <w:szCs w:val="28"/>
          <w:rtl w:val="true"/>
          <w:lang w:bidi="fa-IR"/>
        </w:rPr>
        <w:t xml:space="preserve">. </w:t>
      </w:r>
      <w:bookmarkStart w:id="507" w:name="pg12658_166887"/>
    </w:p>
    <w:p>
      <w:pPr>
        <w:pStyle w:val="Heading3"/>
        <w:numPr>
          <w:ilvl w:val="2"/>
          <w:numId w:val="1"/>
        </w:numPr>
        <w:rPr/>
      </w:pPr>
      <w:bookmarkStart w:id="508" w:name="__RefHeading___Toc643653_222507752"/>
      <w:bookmarkStart w:id="509" w:name="_Toc199"/>
      <w:bookmarkEnd w:id="507"/>
      <w:bookmarkEnd w:id="508"/>
      <w:r>
        <w:rPr>
          <w:rtl w:val="true"/>
        </w:rPr>
        <w:t>خودآزمایی</w:t>
      </w:r>
      <w:bookmarkEnd w:id="5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نگاه قرآن در نظام تعلیم و تربیت یکی از رسالت‌های پیامبران چیست؟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عقل از نگاه آیات و روایات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مورد از مؤلفه‌های مهم اخلاقی ـ فکری نظام مهدوی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سازوکارهای تعلیم و تربیت مهدوی را نام برده؛ چهار مورد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خود را از چگونگی گسترش دانش در حکومت مهدوی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0" w:name="__RefHeading___Toc643655_222507752"/>
      <w:bookmarkStart w:id="511" w:name="_Toc200"/>
      <w:bookmarkEnd w:id="510"/>
      <w:r>
        <w:rPr>
          <w:rtl w:val="true"/>
        </w:rPr>
        <w:t>منابع برای پژوهش</w:t>
      </w:r>
      <w:bookmarkEnd w:id="5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 رحیم، تعلیم و تربیت در عصر ظهور، قم، بنیاد فرهنگی حضرت مهدی موعود،</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بهروزی لک، غلام رضا، سیاست و مهدویت، قم، حکمت روشن،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 محمّد، تاریخ پس از ظهور، ترجمه حسن سجادی‌پور، تهران، موعود عصر،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مدرسی، عباس، تمدن در عصر ظهور،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راشدی، تهران،  نشر فرهنگی مشرق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حکیمی، محمد ، عصر زندگی، تهران،  نشر آفاق،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2" w:name="pg12658_166891"/>
      <w:bookmarkStart w:id="513" w:name="pg12658_166891"/>
      <w:bookmarkEnd w:id="513"/>
    </w:p>
    <w:p>
      <w:pPr>
        <w:pStyle w:val="Heading2"/>
        <w:numPr>
          <w:ilvl w:val="1"/>
          <w:numId w:val="1"/>
        </w:numPr>
        <w:rPr/>
      </w:pPr>
      <w:bookmarkStart w:id="514" w:name="pg12658_166891"/>
      <w:bookmarkStart w:id="515" w:name="__RefHeading___Toc643657_222507752"/>
      <w:bookmarkStart w:id="516" w:name="_Toc201"/>
      <w:bookmarkEnd w:id="514"/>
      <w:bookmarkEnd w:id="515"/>
      <w:r>
        <w:rPr>
          <w:rtl w:val="true"/>
        </w:rPr>
        <w:t>درس نهم</w:t>
      </w:r>
      <w:r>
        <w:rPr>
          <w:rtl w:val="true"/>
        </w:rPr>
        <w:t xml:space="preserve">: </w:t>
      </w:r>
      <w:r>
        <w:rPr>
          <w:rtl w:val="true"/>
        </w:rPr>
        <w:t>مهدویّت و مستشرقان</w:t>
      </w:r>
      <w:bookmarkEnd w:id="516"/>
    </w:p>
    <w:p>
      <w:pPr>
        <w:pStyle w:val="Heading3"/>
        <w:numPr>
          <w:ilvl w:val="2"/>
          <w:numId w:val="1"/>
        </w:numPr>
        <w:rPr/>
      </w:pPr>
      <w:bookmarkStart w:id="517" w:name="__RefHeading___Toc643659_222507752"/>
      <w:bookmarkStart w:id="518" w:name="_Toc202"/>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شرق‌شناسی و مستشرق</w:t>
      </w:r>
    </w:p>
    <w:p>
      <w:pPr>
        <w:pStyle w:val="BookText"/>
        <w:rPr/>
      </w:pPr>
      <w:r>
        <w:rPr>
          <w:rFonts w:ascii="IRNazanin" w:hAnsi="IRNazanin" w:eastAsia="IRNazanin"/>
          <w:color w:val="111111"/>
          <w:sz w:val="28"/>
          <w:sz w:val="28"/>
          <w:szCs w:val="28"/>
          <w:rtl w:val="true"/>
          <w:lang w:bidi="fa-IR"/>
        </w:rPr>
        <w:t>تقسیم‌بندی مستشرقین</w:t>
      </w:r>
    </w:p>
    <w:p>
      <w:pPr>
        <w:pStyle w:val="BookText"/>
        <w:rPr/>
      </w:pPr>
      <w:r>
        <w:rPr>
          <w:rFonts w:ascii="IRNazanin" w:hAnsi="IRNazanin" w:eastAsia="IRNazanin"/>
          <w:color w:val="111111"/>
          <w:sz w:val="28"/>
          <w:sz w:val="28"/>
          <w:szCs w:val="28"/>
          <w:rtl w:val="true"/>
          <w:lang w:bidi="fa-IR"/>
        </w:rPr>
        <w:t>زمینه‌های ورود شرق‌شناسان در موضوع مهدویت</w:t>
      </w:r>
    </w:p>
    <w:p>
      <w:pPr>
        <w:pStyle w:val="BookText"/>
        <w:rPr/>
      </w:pPr>
      <w:r>
        <w:rPr>
          <w:rFonts w:ascii="IRNazanin" w:hAnsi="IRNazanin" w:eastAsia="IRNazanin"/>
          <w:color w:val="111111"/>
          <w:sz w:val="28"/>
          <w:sz w:val="28"/>
          <w:szCs w:val="28"/>
          <w:rtl w:val="true"/>
          <w:lang w:bidi="fa-IR"/>
        </w:rPr>
        <w:t>جنبه‌های مثبت و منفی پژوهش‌های مستشرقان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عرصه‌های مهدویت پژوهی برای شناخت آراء مستشرقان </w:t>
      </w:r>
      <w:bookmarkStart w:id="519" w:name="pg12658_166893"/>
    </w:p>
    <w:p>
      <w:pPr>
        <w:pStyle w:val="Heading3"/>
        <w:numPr>
          <w:ilvl w:val="2"/>
          <w:numId w:val="1"/>
        </w:numPr>
        <w:rPr/>
      </w:pPr>
      <w:bookmarkStart w:id="520" w:name="__RefHeading___Toc643661_222507752"/>
      <w:bookmarkStart w:id="521" w:name="_Toc203"/>
      <w:bookmarkEnd w:id="519"/>
      <w:bookmarkEnd w:id="520"/>
      <w:r>
        <w:rPr>
          <w:rtl w:val="true"/>
        </w:rPr>
        <w:t>پیش‌درآمد</w:t>
      </w:r>
      <w:bookmarkEnd w:id="521"/>
    </w:p>
    <w:p>
      <w:pPr>
        <w:pStyle w:val="BookText"/>
        <w:rPr/>
      </w:pPr>
      <w:r>
        <w:rPr>
          <w:rFonts w:ascii="IRNazanin" w:hAnsi="IRNazanin" w:eastAsia="IRNazanin"/>
          <w:color w:val="111111"/>
          <w:sz w:val="28"/>
          <w:sz w:val="28"/>
          <w:szCs w:val="28"/>
          <w:rtl w:val="true"/>
          <w:lang w:bidi="fa-IR"/>
        </w:rPr>
        <w:t>بسیاری از شرق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شناسان و اندیشمندان غربی دربارة مباحث مهدویت و مفاهیم مربوط به آن، به بحث و گفت‌وگو پرداخته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مباحث گوناگون و پرشماری را مطرح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مستقیم به مباحث پرداخته، آن را از دیدگاه اعتقادی مسلمانان و بر اساس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بررسی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منجی‌گرایی و موعودباوری را نه از دیدگاه اسلام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خاص، بلکه از نگاه دیگر ادیان و به گونه‌ای تطبیقی بررسی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اندیشمندان با وجود آنکه مستقیم درباره مهدویت سخن نگفته‌اند، ولی آن را در ضمن مباحثی چون منجی‌گرایی، هزاره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نجات، بازگشت مسیح، ارض ملکوت، و امثال آن، بحث و بررسی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اینرو مباحث آنان نیز دارای ارزش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عرصة مهدویت‌پژوهی از آن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تلاش شده تا به صورت کوتاه به این بحث اشاره شود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ترید بررسی ابعاد این بحث نیازمند مراجعه به منابع گسترده است که در یک درس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بدان پرداخت و لازم است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مندان به منابع تفصیلی مراجعه کنند</w:t>
      </w:r>
      <w:r>
        <w:rPr>
          <w:rFonts w:eastAsia="IRNazanin" w:cs="IRNazanin"/>
          <w:color w:val="111111"/>
          <w:sz w:val="28"/>
          <w:szCs w:val="28"/>
          <w:rtl w:val="true"/>
          <w:lang w:bidi="fa-IR"/>
        </w:rPr>
        <w:t>.</w:t>
      </w:r>
    </w:p>
    <w:p>
      <w:pPr>
        <w:pStyle w:val="Heading3"/>
        <w:numPr>
          <w:ilvl w:val="2"/>
          <w:numId w:val="1"/>
        </w:numPr>
        <w:rPr/>
      </w:pPr>
      <w:bookmarkStart w:id="522" w:name="__RefHeading___Toc643663_222507752"/>
      <w:bookmarkStart w:id="523" w:name="_Toc204"/>
      <w:bookmarkEnd w:id="522"/>
      <w:r>
        <w:rPr>
          <w:rtl w:val="true"/>
        </w:rPr>
        <w:t>تعاریف متفاوت از واژة شرق</w:t>
      </w:r>
      <w:bookmarkEnd w:id="52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شرق در لغت به معنای برآمدن آفتاب و تابان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است</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و از دیدگاه غربی‌ها </w:t>
      </w:r>
    </w:p>
    <w:p>
      <w:pPr>
        <w:pStyle w:val="BookText"/>
        <w:rPr/>
      </w:pPr>
      <w:r>
        <w:rPr>
          <w:rFonts w:ascii="IRNazanin" w:hAnsi="IRNazanin" w:eastAsia="IRNazanin"/>
          <w:color w:val="111111"/>
          <w:sz w:val="28"/>
          <w:sz w:val="28"/>
          <w:szCs w:val="28"/>
          <w:rtl w:val="true"/>
          <w:lang w:bidi="fa-IR"/>
        </w:rPr>
        <w:t>دربرگیرندة همة کشورهایی است که در شرق قارة اروپا قرار دارند و به سه بخش خاورمیانه، نزدیک و دور تقسیم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تقسیم‌بندی جغرافیایی، بین دین اسلام، ادیان هندی، ادیان چینی، ژاپنی و امثال آن تفاوتی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تعریف شرق از دیدگاه غربیان، تقسیمی بر پایة جغرافیا و شرایط منطقه‌ای است، نه بر پایة فرهنگ، آداب 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گفت تقسیم بر پایة جغرافیا بهترین تقسیم است و برای یک اندیشمند غربی که در صدد شناسایی شرق است، تقسیم بر پایة مذهب و دین، سبب شاخه‌ها و دسته‌بندی‌های گونه‌گونی می‌شود که آن‌ها را نمی‌توان به جز جغرافیا زیر یک نام ویژه قرار داد و روشن است که هر چه، پایه و شاخص تقسیم کلان‌تر باشد،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پاره‌ای از فیلسوفان غربی مانند هایدگر دربارة معنای شرق و غرب به جنبة جغرافیایی آن نظر ندارند و به مفهوم فلسفی آن اشاره می‌کنند،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مغرب، تاریخ مغرب حقیقت است</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وی بر این باور است، غرب درک خاصی از وجود دارد، درکی که به تعبیر نیچه، به نیست‌انگاری انجامیده است، درکی از وجود که مبتنی بر درک تکنولوژیک از آن است</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در واقع وی به مانند هانری کربن کلمه شرق و غرب را در معنایی غیر متداول به معنای طلوع و غروب حقیقت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استعمال واژه غرب را در برابر شرق برای پاره‌ای از سرزمین‌ها، به معنای شکل‌گیری تمدنی خاص در کشورهای اروپایی و امریکایی می‌دانند که در برابر تمدن شرق قرار گرفته است و بر خلاف قرون میانه که سرزمین‌های اروپایی با مفهوم و واژه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کشورهای اسلامی جدا می‌شدند، پس از رنسانس این تقسیم‌بندی بر پایة مذهب جای خود را به ویژگی‌ای غیر مذهبی داد که همان مفهوم مدرنیته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مفهوم غرب به معنای تمدن غرب در برابر تمدن شرق قرار گرفت و افزون بر اروپا همة کشورهایی را که این اندیشه را پذیرفته بودند، در بر می‌گیرد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ناهمگونی تمدن غرب و تمدن شرق پس از رنسانس، تفاوت در دو نگاه و دو رویکرد به جهان هستی است و ناهمگونی فقط در ابزار و یا وسایل مدرن نیست، </w:t>
      </w:r>
      <w:bookmarkStart w:id="524" w:name="pg12658_166896"/>
    </w:p>
    <w:p>
      <w:pPr>
        <w:pStyle w:val="BookText"/>
        <w:rPr/>
      </w:pPr>
      <w:bookmarkEnd w:id="524"/>
      <w:r>
        <w:rPr>
          <w:rFonts w:ascii="IRNazanin" w:hAnsi="IRNazanin" w:eastAsia="IRNazanin"/>
          <w:color w:val="111111"/>
          <w:sz w:val="28"/>
          <w:sz w:val="28"/>
          <w:szCs w:val="28"/>
          <w:rtl w:val="true"/>
          <w:lang w:bidi="fa-IR"/>
        </w:rPr>
        <w:t>به‌گونه‌ای که با ورود ابزار مدرن، این تفاوت و شکاف میان دو تمدن و دو فرهنگ پر نخواهد شد</w:t>
      </w:r>
      <w:r>
        <w:rPr>
          <w:rFonts w:eastAsia="IRNazanin" w:cs="IRNazanin"/>
          <w:color w:val="111111"/>
          <w:sz w:val="28"/>
          <w:szCs w:val="28"/>
          <w:rtl w:val="true"/>
          <w:lang w:bidi="fa-IR"/>
        </w:rPr>
        <w:t>.</w:t>
      </w:r>
    </w:p>
    <w:p>
      <w:pPr>
        <w:pStyle w:val="Heading3"/>
        <w:numPr>
          <w:ilvl w:val="2"/>
          <w:numId w:val="1"/>
        </w:numPr>
        <w:rPr/>
      </w:pPr>
      <w:bookmarkStart w:id="525" w:name="__RefHeading___Toc643665_222507752"/>
      <w:bookmarkStart w:id="526" w:name="_Toc205"/>
      <w:bookmarkEnd w:id="525"/>
      <w:r>
        <w:rPr>
          <w:rtl w:val="true"/>
        </w:rPr>
        <w:t>شرق‌شناسی در فرهنگ لغت</w:t>
      </w:r>
      <w:bookmarkEnd w:id="526"/>
    </w:p>
    <w:p>
      <w:pPr>
        <w:pStyle w:val="BookText"/>
        <w:rPr/>
      </w:pPr>
      <w:r>
        <w:rPr>
          <w:rFonts w:ascii="IRNazanin" w:hAnsi="IRNazanin" w:eastAsia="IRNazanin"/>
          <w:color w:val="111111"/>
          <w:sz w:val="28"/>
          <w:sz w:val="28"/>
          <w:szCs w:val="28"/>
          <w:rtl w:val="true"/>
          <w:lang w:bidi="fa-IR"/>
        </w:rPr>
        <w:t xml:space="preserve">واژة شرق‌شناسی برای نخستین بار در فرهنگ انگلیسی اکسفورد به کار رفت و در سال </w:t>
      </w:r>
      <w:r>
        <w:rPr>
          <w:rFonts w:eastAsia="IRNazanin" w:cs="IRNazanin"/>
          <w:color w:val="111111"/>
          <w:sz w:val="28"/>
          <w:szCs w:val="28"/>
          <w:lang w:bidi="fa-IR"/>
        </w:rPr>
        <w:t>1838</w:t>
      </w:r>
      <w:r>
        <w:rPr>
          <w:rFonts w:ascii="IRNazanin" w:hAnsi="IRNazanin" w:eastAsia="IRNazanin"/>
          <w:color w:val="111111"/>
          <w:sz w:val="28"/>
          <w:sz w:val="28"/>
          <w:szCs w:val="28"/>
          <w:rtl w:val="true"/>
          <w:lang w:bidi="fa-IR"/>
        </w:rPr>
        <w:t>میلادی، همین واژه در فرهنگ علمی فرانسه درج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انگلیسی آکسفورد، کلمه شرق‌شناسی یا خاورشناسی</w:t>
      </w:r>
      <w:r>
        <w:rPr>
          <w:rStyle w:val="FootnoteAnchor"/>
          <w:rtl w:val="true"/>
        </w:rPr>
        <w:footnoteReference w:id="250"/>
      </w:r>
      <w:r>
        <w:rPr>
          <w:rFonts w:ascii="IRNazanin" w:hAnsi="IRNazanin" w:eastAsia="IRNazanin"/>
          <w:color w:val="111111"/>
          <w:sz w:val="28"/>
          <w:sz w:val="28"/>
          <w:szCs w:val="28"/>
          <w:rtl w:val="true"/>
          <w:lang w:bidi="fa-IR"/>
        </w:rPr>
        <w:t xml:space="preserve">که تا سال </w:t>
      </w:r>
      <w:r>
        <w:rPr>
          <w:rFonts w:eastAsia="IRNazanin" w:cs="IRNazanin"/>
          <w:color w:val="111111"/>
          <w:sz w:val="28"/>
          <w:szCs w:val="28"/>
          <w:lang w:bidi="fa-IR"/>
        </w:rPr>
        <w:t>1812</w:t>
      </w:r>
      <w:r>
        <w:rPr>
          <w:rFonts w:ascii="IRNazanin" w:hAnsi="IRNazanin" w:eastAsia="IRNazanin"/>
          <w:color w:val="111111"/>
          <w:sz w:val="28"/>
          <w:sz w:val="28"/>
          <w:szCs w:val="28"/>
          <w:rtl w:val="true"/>
          <w:lang w:bidi="fa-IR"/>
        </w:rPr>
        <w:t>میلادی در این فرهنگ مورد استفاده قرار نگرفته بود، به معنای مطالعه و پژوهش در بارة کشورهای شرقی، برای کسانی استفاده شده است که به مطالعه و پژوهش در فرهنگ، سرزمین و کشورهای مشرق زمین و آسیایی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پیش از اینکه در قرون متأخر اصطلاح شرق‌شناسی در فرهنگ لغت و در دانشگاه‌ها به نام یک رشته علمی و پژوهشی به کار رود، از قرن‌ها پیش، شغل و حرفه‌ای، متداول و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زمانی که پاره‌ای از اندیشمندان غربی وارد سرزمین‌های اسلامی می‌شدند و به تحصیل علم، سیر و سیاحت، سفرنامه‌نویسی و دیگر امور می‌پرداختند، مسأله شرق‌شناسی، حرفه‌ای مشخص بوده است، هر چند در آن دوران، اصطلاح شرق‌شناسی رایج نبوده است</w:t>
      </w:r>
      <w:r>
        <w:rPr>
          <w:rFonts w:eastAsia="IRNazanin" w:cs="IRNazanin"/>
          <w:color w:val="111111"/>
          <w:sz w:val="28"/>
          <w:szCs w:val="28"/>
          <w:rtl w:val="true"/>
          <w:lang w:bidi="fa-IR"/>
        </w:rPr>
        <w:t>.</w:t>
      </w:r>
    </w:p>
    <w:p>
      <w:pPr>
        <w:pStyle w:val="Heading3"/>
        <w:numPr>
          <w:ilvl w:val="2"/>
          <w:numId w:val="1"/>
        </w:numPr>
        <w:rPr/>
      </w:pPr>
      <w:bookmarkStart w:id="527" w:name="__RefHeading___Toc643667_222507752"/>
      <w:bookmarkStart w:id="528" w:name="_Toc206"/>
      <w:bookmarkEnd w:id="527"/>
      <w:r>
        <w:rPr>
          <w:rtl w:val="true"/>
        </w:rPr>
        <w:t>تعریف اصطلاحی شرق‌شناسی</w:t>
      </w:r>
      <w:bookmarkEnd w:id="528"/>
    </w:p>
    <w:p>
      <w:pPr>
        <w:pStyle w:val="BookText"/>
        <w:rPr/>
      </w:pPr>
      <w:r>
        <w:rPr>
          <w:rFonts w:ascii="IRNazanin" w:hAnsi="IRNazanin" w:eastAsia="IRNazanin"/>
          <w:color w:val="111111"/>
          <w:sz w:val="28"/>
          <w:sz w:val="28"/>
          <w:szCs w:val="28"/>
          <w:rtl w:val="true"/>
          <w:lang w:bidi="fa-IR"/>
        </w:rPr>
        <w:t>شرق‌شناسی از دیدگاه اندیشه‌ورزان و پژوهشگران غربی یکی از حوزه‌های ارزشمند پژوهشی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ادیان، آداب و رسوم، فرهنگ و تمدن شرقی را در برمی‌گیرد و گاه با تسامح در مفهوم آن، به اسلام و تاریخ اسلام محدود می‌شود؛ از این رو به اسلام شناسان غربی، مستشرق یا شرق‌شناس نیز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مستشرق در اصطلاح، محققّی غربی است که شرق، متعلق شناسایی اوست و برای این منظور به شرق سفر می‌کند و در بارة ابعاد گوناگون فرهنگ و تمدن شرق به مطالعه و تحقیق می‌پردازد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دانشی که عهده‌دار این وظیفه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در دوره‌های جدید، این اصطلاح به آن دسته از محققان مسلمانی که در جهان غرب زندگی می‌کنند و به پژوهش دربارة عرصه‌های متفاوت تمدن شرق </w:t>
      </w:r>
      <w:bookmarkStart w:id="529" w:name="pg12658_166898"/>
    </w:p>
    <w:p>
      <w:pPr>
        <w:pStyle w:val="BookText"/>
        <w:rPr/>
      </w:pPr>
      <w:bookmarkEnd w:id="529"/>
      <w:r>
        <w:rPr>
          <w:rFonts w:ascii="IRNazanin" w:hAnsi="IRNazanin" w:eastAsia="IRNazanin"/>
          <w:color w:val="111111"/>
          <w:sz w:val="28"/>
          <w:sz w:val="28"/>
          <w:szCs w:val="28"/>
          <w:rtl w:val="true"/>
          <w:lang w:bidi="fa-IR"/>
        </w:rPr>
        <w:t>می‌پردازند، نیز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چه آنان که متولد سرزمین‌های شرقی هستند و به یکی از ادیان شرقی وفادارند، و چه آنان که متولد کشورهای غربی هستند و پس از تحقیق، پیرو یکی از ادیان شرقی شده‌اند</w:t>
      </w:r>
      <w:r>
        <w:rPr>
          <w:rFonts w:eastAsia="IRNazanin" w:cs="IRNazanin"/>
          <w:color w:val="111111"/>
          <w:sz w:val="28"/>
          <w:szCs w:val="28"/>
          <w:rtl w:val="true"/>
          <w:lang w:bidi="fa-IR"/>
        </w:rPr>
        <w:t>.</w:t>
      </w:r>
    </w:p>
    <w:p>
      <w:pPr>
        <w:pStyle w:val="Heading3"/>
        <w:numPr>
          <w:ilvl w:val="2"/>
          <w:numId w:val="1"/>
        </w:numPr>
        <w:rPr/>
      </w:pPr>
      <w:bookmarkStart w:id="530" w:name="__RefHeading___Toc643669_222507752"/>
      <w:bookmarkStart w:id="531" w:name="_Toc207"/>
      <w:bookmarkEnd w:id="530"/>
      <w:r>
        <w:rPr>
          <w:rtl w:val="true"/>
        </w:rPr>
        <w:t xml:space="preserve">تقسیم بندی مستشرقین </w:t>
      </w:r>
      <w:r>
        <w:rPr>
          <w:rtl w:val="true"/>
        </w:rPr>
        <w:t>(</w:t>
      </w:r>
      <w:r>
        <w:rPr>
          <w:rtl w:val="true"/>
        </w:rPr>
        <w:t>اسلام‌شناسان غربی</w:t>
      </w:r>
      <w:r>
        <w:rPr>
          <w:rtl w:val="true"/>
        </w:rPr>
        <w:t>)</w:t>
      </w:r>
      <w:bookmarkEnd w:id="531"/>
    </w:p>
    <w:p>
      <w:pPr>
        <w:pStyle w:val="BookText"/>
        <w:rPr/>
      </w:pPr>
      <w:r>
        <w:rPr>
          <w:rFonts w:ascii="IRNazanin" w:hAnsi="IRNazanin" w:eastAsia="IRNazanin"/>
          <w:color w:val="111111"/>
          <w:sz w:val="28"/>
          <w:sz w:val="28"/>
          <w:szCs w:val="28"/>
          <w:rtl w:val="true"/>
          <w:lang w:bidi="fa-IR"/>
        </w:rPr>
        <w:t>با توجه به آنچه به اختصار گذشت، اسلام شناسان غربی را به سه دسته تقسیم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معنی دقیق کلمه، شرق‌شناس هستند؛ یعنی آن دسته از اندیشمندان غربی غیر مسلمان که در بارة اندیشه، تمدن و فرهنگ شرقی پژوهش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اندیشمندان غربی که پس از تحقیق درباره اسلام، به اسلام گرویده و آثاری را در این راستا از خود به جای گذارده‌اند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رنه گنون و مارتین لینگر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مسلمان که اصالتاً شرقی هستند، ولی در غرب اقامت گزیده و در مراکز علمی به تحقیق و تدریس پیرامون تمدن و فرهنگ شرقی پرداخته‌اند به گونه‌ای که در چند دهه اخیر بسیاری از نویسندگان و محققان دایره المعارف‌ها و دانشنامه‌ها و مدرّسان مراکز علمی در زمینه اسلام و تمدن شرقی، نوعا از این دسته هستند؛ افرادی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جاسم حسین، ساشدینا و حامد الگار</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را نمی‌توان از مصادیق واقعی مستشرقین دانست، ولی به واسطه زندگی متمادی در فرهنگ غرب و آشنایی با روش و نگرش آنان به موضوعات مختلف، ویژگی افراد بومی را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نوع تفکیک میان اسلام‌شناسان غربی، تصویر بهتری را از خاستگاه اندیشه‌های آنان درباره آموزه‌های اسلامی ارائه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محتوای نوشته‌ها و کاوش‌های شرق‌شناسان درباره رویداد‌های اسلام و مسلمانان، به‌ویژه شیعه و تشیع، انگاره و نظام فکری تحلیلی آ نان و شاخصه‌های آن را روشن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نظام فکری تحلیلی حاکم بر اندیشه این دین پژوهان نیز متأثر از محیط پیرامون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عامل باعث گردیده تا آن دسته از اسلام شناسان غربی که اصالتا شرقی و مسلمان بوده، ولی سال‌ها در محافل علمی غرب حضور داشته‌اند، از لحاظ روش تحقیق در موضوعات اسلامی به دو دسته دیگر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معمولا تخصص‌گرایی، دقت نظر، روش مندی، انسجام و پیگیری، از </w:t>
      </w:r>
      <w:bookmarkStart w:id="532" w:name="pg12658_166900"/>
    </w:p>
    <w:p>
      <w:pPr>
        <w:pStyle w:val="BookText"/>
        <w:rPr/>
      </w:pPr>
      <w:bookmarkEnd w:id="532"/>
      <w:r>
        <w:rPr>
          <w:rFonts w:ascii="IRNazanin" w:hAnsi="IRNazanin" w:eastAsia="IRNazanin"/>
          <w:color w:val="111111"/>
          <w:sz w:val="28"/>
          <w:sz w:val="28"/>
          <w:szCs w:val="28"/>
          <w:rtl w:val="true"/>
          <w:lang w:bidi="fa-IR"/>
        </w:rPr>
        <w:t>ویژگی‌های علمی مشترک میان هر سه دسته از اسلام شناسان یادشده است</w:t>
      </w:r>
      <w:r>
        <w:rPr>
          <w:rFonts w:eastAsia="IRNazanin" w:cs="IRNazanin"/>
          <w:color w:val="111111"/>
          <w:sz w:val="28"/>
          <w:szCs w:val="28"/>
          <w:rtl w:val="true"/>
          <w:lang w:bidi="fa-IR"/>
        </w:rPr>
        <w:t>.</w:t>
      </w:r>
    </w:p>
    <w:p>
      <w:pPr>
        <w:pStyle w:val="Heading3"/>
        <w:numPr>
          <w:ilvl w:val="2"/>
          <w:numId w:val="1"/>
        </w:numPr>
        <w:rPr/>
      </w:pPr>
      <w:bookmarkStart w:id="533" w:name="__RefHeading___Toc643671_222507752"/>
      <w:bookmarkStart w:id="534" w:name="_Toc208"/>
      <w:bookmarkEnd w:id="533"/>
      <w:r>
        <w:rPr>
          <w:rtl w:val="true"/>
        </w:rPr>
        <w:t>برخی زمینه‌های ورود مستشرقین به موضوع مهدویت</w:t>
      </w:r>
      <w:bookmarkEnd w:id="534"/>
    </w:p>
    <w:p>
      <w:pPr>
        <w:pStyle w:val="Heading4"/>
        <w:numPr>
          <w:ilvl w:val="3"/>
          <w:numId w:val="1"/>
        </w:numPr>
        <w:rPr/>
      </w:pPr>
      <w:bookmarkStart w:id="535" w:name="__RefHeading___Toc643673_222507752"/>
      <w:bookmarkStart w:id="536" w:name="_Toc209"/>
      <w:bookmarkEnd w:id="535"/>
      <w:r>
        <w:rPr>
          <w:rtl w:val="true"/>
        </w:rPr>
        <w:t>الف</w:t>
      </w:r>
      <w:r>
        <w:rPr>
          <w:rtl w:val="true"/>
        </w:rPr>
        <w:t xml:space="preserve">) </w:t>
      </w:r>
      <w:r>
        <w:rPr>
          <w:rtl w:val="true"/>
        </w:rPr>
        <w:t>جاذبه فرهنگ و تمدن اسلامی</w:t>
      </w:r>
      <w:bookmarkEnd w:id="536"/>
    </w:p>
    <w:p>
      <w:pPr>
        <w:pStyle w:val="BookText"/>
        <w:rPr/>
      </w:pPr>
      <w:r>
        <w:rPr>
          <w:rFonts w:ascii="IRNazanin" w:hAnsi="IRNazanin" w:eastAsia="IRNazanin"/>
          <w:color w:val="111111"/>
          <w:sz w:val="28"/>
          <w:sz w:val="28"/>
          <w:szCs w:val="28"/>
          <w:rtl w:val="true"/>
          <w:lang w:bidi="fa-IR"/>
        </w:rPr>
        <w:t>جاذبة تمدن مشرق زمین، به ویژه تمدن اسلامی، به حدی بوده است که مستشرقین از دیرباز، برای ورود به عرصه اسلام‌شناسی اظهار گرایش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موضوعاتی که مستشرقان و اسلام‌شناسان غربی به آن پرداخته‌اند فرهنگ و تمدن اسلامی است که از شاخصه‌های آن می‌توان به فلسفه اسلامی، کلام، تاریخ اسلام، عرفان اسلامی، قرآن پژوهی، حدیث، ملل و نحل و دیگر علوم مربوط به تمدن اسلامی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از نخستین و مهم ترین حوزه‌های اسلامی که مورد دقت نظر و کاوش اسلام شناسان غربی قرار گرفته و بزرگترین دین پژوهان غربی به آن توجه نموده‌اند، قرآن شناسی می‌باشد، ولی دیگر موضوعات نیز همواره مورد توجه آنان بوده است؛ به طوری که بعضی از حوادث و اتفاقات موجب می‌شد تا به بعضی از موضوعات بیشتر توجه کنند</w:t>
      </w:r>
      <w:r>
        <w:rPr>
          <w:rFonts w:eastAsia="IRNazanin" w:cs="IRNazanin"/>
          <w:color w:val="111111"/>
          <w:sz w:val="28"/>
          <w:szCs w:val="28"/>
          <w:rtl w:val="true"/>
          <w:lang w:bidi="fa-IR"/>
        </w:rPr>
        <w:t>.</w:t>
      </w:r>
    </w:p>
    <w:p>
      <w:pPr>
        <w:pStyle w:val="Heading4"/>
        <w:numPr>
          <w:ilvl w:val="3"/>
          <w:numId w:val="1"/>
        </w:numPr>
        <w:rPr/>
      </w:pPr>
      <w:bookmarkStart w:id="537" w:name="__RefHeading___Toc643675_222507752"/>
      <w:bookmarkStart w:id="538" w:name="_Toc210"/>
      <w:bookmarkEnd w:id="537"/>
      <w:r>
        <w:rPr>
          <w:rtl w:val="true"/>
        </w:rPr>
        <w:t>ب</w:t>
      </w:r>
      <w:r>
        <w:rPr>
          <w:rtl w:val="true"/>
        </w:rPr>
        <w:t xml:space="preserve">) </w:t>
      </w:r>
      <w:r>
        <w:rPr>
          <w:rtl w:val="true"/>
        </w:rPr>
        <w:t>اهداف استعماری و تبشیری</w:t>
      </w:r>
      <w:bookmarkEnd w:id="538"/>
    </w:p>
    <w:p>
      <w:pPr>
        <w:pStyle w:val="BookText"/>
        <w:rPr/>
      </w:pPr>
      <w:r>
        <w:rPr>
          <w:rFonts w:ascii="IRNazanin" w:hAnsi="IRNazanin" w:eastAsia="IRNazanin"/>
          <w:color w:val="111111"/>
          <w:sz w:val="28"/>
          <w:sz w:val="28"/>
          <w:szCs w:val="28"/>
          <w:rtl w:val="true"/>
          <w:lang w:bidi="fa-IR"/>
        </w:rPr>
        <w:t>گروهی بر این باورند که اهداف تبشیری و استعماری با هدف ضربه‌زدن به اسلام و ایجاد تفرقه در بین امت اسلامی یکی از انگیزه‌های اصلی در گرایش مستشرقین به اسلام‌شناسی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شرق‌شناسان، به‌طور معمول از طریق مؤسسات و بنیادهایی برای خاورشناسی گسیل می‌شدند و به‌طور عمده وابسته به مذهب و اندیشه‌ای بوده‌اند که مخالفت با اسلام را برای آنان درپی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همیلتون گیب، شرق‌شناس برجسته، درباره پاره‌ای از خاورشناسان بر این باور است که بعضی از آنان گاه خود را در موضع برتر می‌دیدند و با این تصور که تمدن و مذهبشان برتر از تمدن شرقیان است درباره تمدن و فرهنگ اسلامی قضاوت‌های نادرست و ضعیفی ارائه داده‌اند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نگاه به اسلام‌شناسان غربی، هر چند دور از حقیقت نیست، ولی به‌طور عمده مربوط به شرق شناسان اولیه است که به نام مبلّغان مسیحی فعالیت می‌کرده‌اند؛ ولی امروزه، نگاه اسلام‌شناسان غربی حتی غیر مسلمان همدلانه‌تر و علمی‌تر شده است</w:t>
      </w:r>
      <w:r>
        <w:rPr>
          <w:rFonts w:eastAsia="IRNazanin" w:cs="IRNazanin"/>
          <w:color w:val="111111"/>
          <w:sz w:val="28"/>
          <w:szCs w:val="28"/>
          <w:rtl w:val="true"/>
          <w:lang w:bidi="fa-IR"/>
        </w:rPr>
        <w:t xml:space="preserve">. </w:t>
      </w:r>
      <w:bookmarkStart w:id="539" w:name="pg12658_166902"/>
    </w:p>
    <w:p>
      <w:pPr>
        <w:pStyle w:val="BookText"/>
        <w:rPr/>
      </w:pPr>
      <w:bookmarkEnd w:id="539"/>
      <w:r>
        <w:rPr>
          <w:rFonts w:ascii="IRNazanin" w:hAnsi="IRNazanin" w:eastAsia="IRNazanin"/>
          <w:color w:val="111111"/>
          <w:sz w:val="28"/>
          <w:sz w:val="28"/>
          <w:szCs w:val="28"/>
          <w:rtl w:val="true"/>
          <w:lang w:bidi="fa-IR"/>
        </w:rPr>
        <w:t>همیلتون گیب، در این باره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 بی انصافی است که پیشرفت‌هایی که در سالیان اخیر در میان مبلغان مسیحی حاصل شده است و در نتیجه، آنان بر خلاف سابق، به جای مطالعه خام و خشن اصول ظاهری، با همدردی و همدلی در عمق تجارب مذهبی مسلمانان فرو رفته‌اند را نادیده بگیریم</w:t>
      </w:r>
      <w:r>
        <w:rPr>
          <w:rFonts w:eastAsia="IRNazanin" w:cs="IRNazanin"/>
          <w:color w:val="111111"/>
          <w:sz w:val="28"/>
          <w:szCs w:val="28"/>
          <w:rtl w:val="true"/>
          <w:lang w:bidi="fa-IR"/>
        </w:rPr>
        <w:t>.</w:t>
      </w:r>
    </w:p>
    <w:p>
      <w:pPr>
        <w:pStyle w:val="Heading4"/>
        <w:numPr>
          <w:ilvl w:val="3"/>
          <w:numId w:val="1"/>
        </w:numPr>
        <w:rPr/>
      </w:pPr>
      <w:bookmarkStart w:id="540" w:name="__RefHeading___Toc643677_222507752"/>
      <w:bookmarkStart w:id="541" w:name="_Toc211"/>
      <w:bookmarkEnd w:id="540"/>
      <w:r>
        <w:rPr>
          <w:rtl w:val="true"/>
        </w:rPr>
        <w:t>ج</w:t>
      </w:r>
      <w:r>
        <w:rPr>
          <w:rtl w:val="true"/>
        </w:rPr>
        <w:t xml:space="preserve">) </w:t>
      </w:r>
      <w:r>
        <w:rPr>
          <w:rtl w:val="true"/>
        </w:rPr>
        <w:t>نگاه اندیشمندانه به آموزه‌های اسلامی</w:t>
      </w:r>
      <w:bookmarkEnd w:id="541"/>
    </w:p>
    <w:p>
      <w:pPr>
        <w:pStyle w:val="BookText"/>
        <w:rPr/>
      </w:pPr>
      <w:r>
        <w:rPr>
          <w:rFonts w:ascii="IRNazanin" w:hAnsi="IRNazanin" w:eastAsia="IRNazanin"/>
          <w:color w:val="111111"/>
          <w:sz w:val="28"/>
          <w:sz w:val="28"/>
          <w:szCs w:val="28"/>
          <w:rtl w:val="true"/>
          <w:lang w:bidi="fa-IR"/>
        </w:rPr>
        <w:t>بر خلاف نظر افرادی که شرق‌شناسی به‌طور کلی، و تلاش اسلام‌شناسانه غربیان به طور خاص را یک حرکت حساب شده استعماری و مایه تضعیف دین می‌دانند، عده‌ای دیگر بر این باورند که توجه غرب به تمدن شرق و به ویژه تمدن اسلامی و به تبع آن، آموزه‌های اسلامی، محصول یک نگاه علمی و تحقیقی است که بر اهداف استعماری تقدم داشته است؛ هر چند که استعمار در دوره‌هایی از آن بهره برداری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 سعید، مؤلف کتاب شرق شناسی، از جمله معتقدان این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شرق شناسی مولد یک سلسله علایقی است که از طریق وسایلی همچون اکتشافات مخفیانه، تجدید ساختار زبان شناسانه، کاوش روان کاوانه، توصیف یا بیان نوعی خواست یا نیت و قصد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ورود غرب به مرحله جدیدی از شکوفایی علمی و بهره برداری از علوم مشرق زمین، مباحث دینی نیز به همراه سایر علوم انسانی مورد توجه اندیشمندان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نهضت نو علمی در اروپا از سده پانزدهم و شانزدهم میلادی به این طرف، که به تدریج در دارالفنون‌ها و مراکز علمی مغرب زمین، همه رشته‌ها و شعبه‌های علوم بشری مورد توجه و اقبال و تحقیق و تدقیق قرار گرفت، علم مشرق شناسی و تحقیقات راجع به کلیه شئون علمی و اجتماعی و لغوی و فلسفی و دینی و آداب و اقوام مشرق زمین نیز رو به تکامل گذاشت و مانند سایر فنون، مطرح انظار علما گردید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شناسان غربی، چه آنها که به صورت تحقیقی و عالمانه به اسلام پرداخته‌اند یا آنها که مغرضانه در این وادی وارد شده‌اند، توجه ویژه‌ای به مباحث کلامی و تاریخی، مخصوصا موضوعات مورد اختلاف فرقه‌های اسلامی داشته‌اند</w:t>
      </w:r>
      <w:r>
        <w:rPr>
          <w:rFonts w:eastAsia="IRNazanin" w:cs="IRNazanin"/>
          <w:color w:val="111111"/>
          <w:sz w:val="28"/>
          <w:szCs w:val="28"/>
          <w:rtl w:val="true"/>
          <w:lang w:bidi="fa-IR"/>
        </w:rPr>
        <w:t xml:space="preserve">. </w:t>
      </w:r>
      <w:bookmarkStart w:id="542" w:name="pg12658_166904"/>
    </w:p>
    <w:p>
      <w:pPr>
        <w:pStyle w:val="BookText"/>
        <w:rPr/>
      </w:pPr>
      <w:bookmarkEnd w:id="542"/>
      <w:r>
        <w:rPr>
          <w:rFonts w:ascii="IRNazanin" w:hAnsi="IRNazanin" w:eastAsia="IRNazanin"/>
          <w:color w:val="111111"/>
          <w:sz w:val="28"/>
          <w:sz w:val="28"/>
          <w:szCs w:val="28"/>
          <w:rtl w:val="true"/>
          <w:lang w:bidi="fa-IR"/>
        </w:rPr>
        <w:t>در برخی زمان‌ها شرایط خاص، باعث می‌گردید تا توجه به اسلام و تشیع به صورت جدی‌تر در دستور کار آنها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صاحب نظران برآنند که غربیان در زمان جنگ‌های صلیبی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مکتب تشیع آشنا شدند و به بررسی آن پرداختند و در دوره صفویه به شکل ویژه‌ای به مطالعه درباره آن روی آوردند…آشنایی غربیان با شیعیان ایران و دیگر مناطق و پدید آمدن کتاب‌ها و سفرنامه‌های فراوان درباره تشیع، افزایش نوشته‌های غربیان را در این باره به دنبال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نوشته‌ها به آرامی به آثار و اسناد مهمی در تاریخ تشیع و تحولات سیاسی، اجتماعی و فرهنگی شیعیان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مطالعات به مسائل مهم و در خوری می‌پردازند، کاستی‌های فراوانی هم دارند و تصویری واقعی و درست از شیعه و روحانیان آن ترسیم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کمبود در نوشته‌های پیشین غربیان بیشتر است</w:t>
      </w:r>
      <w:r>
        <w:rPr>
          <w:rFonts w:eastAsia="IRNazanin" w:cs="IRNazanin"/>
          <w:color w:val="111111"/>
          <w:sz w:val="28"/>
          <w:szCs w:val="28"/>
          <w:rtl w:val="true"/>
          <w:lang w:bidi="fa-IR"/>
        </w:rPr>
        <w:t>.</w:t>
      </w:r>
    </w:p>
    <w:p>
      <w:pPr>
        <w:pStyle w:val="Heading4"/>
        <w:numPr>
          <w:ilvl w:val="3"/>
          <w:numId w:val="1"/>
        </w:numPr>
        <w:rPr/>
      </w:pPr>
      <w:bookmarkStart w:id="543" w:name="__RefHeading___Toc643679_222507752"/>
      <w:bookmarkStart w:id="544" w:name="_Toc212"/>
      <w:bookmarkEnd w:id="543"/>
      <w:r>
        <w:rPr>
          <w:rtl w:val="true"/>
        </w:rPr>
        <w:t>د</w:t>
      </w:r>
      <w:r>
        <w:rPr>
          <w:rtl w:val="true"/>
        </w:rPr>
        <w:t xml:space="preserve">) </w:t>
      </w:r>
      <w:r>
        <w:rPr>
          <w:rtl w:val="true"/>
        </w:rPr>
        <w:t>توجه به نهضت‌های اصلاح‌طلبانه اسلامی</w:t>
      </w:r>
      <w:bookmarkEnd w:id="544"/>
    </w:p>
    <w:p>
      <w:pPr>
        <w:pStyle w:val="BookText"/>
        <w:rPr/>
      </w:pPr>
      <w:r>
        <w:rPr>
          <w:rFonts w:ascii="IRNazanin" w:hAnsi="IRNazanin" w:eastAsia="IRNazanin"/>
          <w:color w:val="111111"/>
          <w:sz w:val="28"/>
          <w:sz w:val="28"/>
          <w:szCs w:val="28"/>
          <w:rtl w:val="true"/>
          <w:lang w:bidi="fa-IR"/>
        </w:rPr>
        <w:t>پاره‌ای از اندیشمندان غربی، به ویژه در دو سده گذشته، با توجه به بعضی از رخدادها و وقایعی که در سرزمین‌های اسلامی پیش آمده ـ همچون ادعای بعضی از مدعیان دروغین مهدویت در سرزمین‌های اسلامی و به‌وجودآمدن مذاهبی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کیسانیه، اسماعیلیه، شیخیه، بابیت و بهائیت ـ بر موضوع مهدویت تکیه نموده و درباره نگرش مسلمانان و متون اسلامی پیرامون مهدویت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همزمانی برخی مستشرقین مانند گلدزیهر، دارمستتر، ادوارد براون، فان فلوتن و … با برخی از جریان‌های مدعی مهدویت، در علاقه‌مندی بیشتر آنها به این مباحث نقش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صورت، موضوع مهدویت به عنوان یک اصل پذیرفته شده در میان فرقه‌های اسلامی، در فراز و نشیب تاریخ، مورد توجه و حتی سوء استفاده قرار گرفته و گاهی این حرکات با انگیزه‌های استعماری همراه گردیده و توجه ویژه اسلام‌شناسان غربی را برانگیخته است و باعث گردیده تا درباره مباحث مهدویت و مفاهیم مربوط به آن به بحث و گفتگو بپردازند و در این راستا مسائل متعددی را مطرح نمایند</w:t>
      </w:r>
      <w:r>
        <w:rPr>
          <w:rFonts w:eastAsia="IRNazanin" w:cs="IRNazanin"/>
          <w:color w:val="111111"/>
          <w:sz w:val="28"/>
          <w:szCs w:val="28"/>
          <w:rtl w:val="true"/>
          <w:lang w:bidi="fa-IR"/>
        </w:rPr>
        <w:t>.</w:t>
      </w:r>
    </w:p>
    <w:p>
      <w:pPr>
        <w:pStyle w:val="Heading4"/>
        <w:numPr>
          <w:ilvl w:val="3"/>
          <w:numId w:val="1"/>
        </w:numPr>
        <w:rPr/>
      </w:pPr>
      <w:bookmarkStart w:id="545" w:name="__RefHeading___Toc643681_222507752"/>
      <w:bookmarkStart w:id="546" w:name="_Toc213"/>
      <w:bookmarkEnd w:id="545"/>
      <w:r>
        <w:rPr>
          <w:rtl w:val="true"/>
        </w:rPr>
        <w:t>ه</w:t>
      </w:r>
      <w:r>
        <w:rPr>
          <w:rtl w:val="true"/>
        </w:rPr>
        <w:t xml:space="preserve">) </w:t>
      </w:r>
      <w:r>
        <w:rPr>
          <w:rtl w:val="true"/>
        </w:rPr>
        <w:t>نگاه کلان به موضوع منجی و جامعة آرمانی</w:t>
      </w:r>
      <w:bookmarkEnd w:id="54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مهدویت، که در معارف اسلامی از جایگاهی ممتاز برخوردار است، در یک </w:t>
      </w:r>
    </w:p>
    <w:p>
      <w:pPr>
        <w:pStyle w:val="BookText"/>
        <w:rPr/>
      </w:pPr>
      <w:r>
        <w:rPr>
          <w:rFonts w:ascii="IRNazanin" w:hAnsi="IRNazanin" w:eastAsia="IRNazanin"/>
          <w:color w:val="111111"/>
          <w:sz w:val="28"/>
          <w:sz w:val="28"/>
          <w:szCs w:val="28"/>
          <w:rtl w:val="true"/>
          <w:lang w:bidi="fa-IR"/>
        </w:rPr>
        <w:t>نگاه فراگیر و به صورت بین الأدیانی نیز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ادیان ابراهیمی و غیر 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سامی و غیر 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در شکل‌ها و گونه‌های متفاوت وجود دارد و همه مذاهب، آرمان نهایی جوامع بشری را ظهور و تجلی شخصیت آسمانی و یک منجی دینی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پایة این اندیشه دینی، بسیاری از دین پژوهان غربی ذیل عناوینی همچون منجی‌گرایی، بازگشت مسیح، هزاره گرایی، نجات، رستگاری، پایان تاریخ، آینده پژوهی و امثال آنها، به این موضوع پرداخته و درباره نگرش ادیان به این موضوع، کتاب‌ها و مقالات فراوانی نوشته‌اند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اسلام‌شناسان غربی که موضوع مهدویت را در ذیل مباحث فراگیر منجی گرایی و آینده پژوهی و… دنبال کرده‌اند و همچنین دین‌پژوهانی که به‌طور خاص، به موضوع مهدویت در اسلام توجه کرده‌اند؛ می‌توان از دسته سومی هم نام برد که مباحث و نظرات آنان می‌تواند به پربارشدن مباحث مهدوی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اندیشمندان، فیلسوفان اجتماعی و جامعه شناسان و یا اندیشمندان فلسفه سیاسی هستند که به‌طور لزوم درباره مباحث کلامی و دینی از جمله مبحث مهدویت و یا منجی گرایی بحث ننموده‌اند، ولی به فراخور موضوعات تخصصی خویش به گونه‌ای به مباحث مربوط به مهدویت و منجی گرایی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اندیشمندان به عنوان نمونه درباره جامعه ایده آل، آینده پژوهی، جامعه شناسی دین، نهاد دین، فلسفه تاریخ، آینده و سرنوشت جوامع و دیگر موضوعات مربوط به حوزه علوم اجتماعی بحث نموده‌اند؛ به طوری که پرداختن به موضوعات مذکور، موجب می‌گردد تا بتوان نظرات و آراء آنان را درباره مباحث مهدویت و منجی گرایی استنباط نمود؛ به عنوان نمونه، اندیشمندانی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اشپینگلر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ماکس 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فوکویاما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خود را درباره جامعه آرمانی و ایده آل ابراز می‌دارند، به‌طوری که اگر پژوهشگران بخواهند درباره مباحث تطبیقی و میان رشته‌ای مهدویت تحقیق کنند، لازم است تا به آراء و نظرات این اندیشمندان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سوم از اندیشمندان در زمره اسلام شناسان غربی قرار نمی‌گیرند، اما از این رو که مطالعات آنها زمینه‌ای برای ورود به مباحث منجی و جامعه ایده آل و موعود ادیان است، روزنه ای را به سوی موضوعات مربوط به موعود ادیان و بالطبع، موعود مطرح شده در آموزه‌های اسلامی هموار می‌سازد</w:t>
      </w:r>
      <w:r>
        <w:rPr>
          <w:rFonts w:eastAsia="IRNazanin" w:cs="IRNazanin"/>
          <w:color w:val="111111"/>
          <w:sz w:val="28"/>
          <w:szCs w:val="28"/>
          <w:rtl w:val="true"/>
          <w:lang w:bidi="fa-IR"/>
        </w:rPr>
        <w:t xml:space="preserve">. </w:t>
      </w:r>
      <w:bookmarkStart w:id="547" w:name="pg12658_166908"/>
    </w:p>
    <w:p>
      <w:pPr>
        <w:pStyle w:val="Heading3"/>
        <w:numPr>
          <w:ilvl w:val="2"/>
          <w:numId w:val="1"/>
        </w:numPr>
        <w:rPr/>
      </w:pPr>
      <w:bookmarkStart w:id="548" w:name="__RefHeading___Toc643683_222507752"/>
      <w:bookmarkStart w:id="549" w:name="_Toc214"/>
      <w:bookmarkEnd w:id="547"/>
      <w:bookmarkEnd w:id="548"/>
      <w:r>
        <w:rPr>
          <w:rtl w:val="true"/>
        </w:rPr>
        <w:t>جنبه‌های مثبت و منفی در پژوهش مستشرقان</w:t>
      </w:r>
      <w:bookmarkEnd w:id="549"/>
    </w:p>
    <w:p>
      <w:pPr>
        <w:pStyle w:val="BookText"/>
        <w:rPr/>
      </w:pPr>
      <w:r>
        <w:rPr>
          <w:rFonts w:ascii="IRNazanin" w:hAnsi="IRNazanin" w:eastAsia="IRNazanin"/>
          <w:color w:val="111111"/>
          <w:sz w:val="28"/>
          <w:sz w:val="28"/>
          <w:szCs w:val="28"/>
          <w:rtl w:val="true"/>
          <w:lang w:bidi="fa-IR"/>
        </w:rPr>
        <w:t>پژوهش‌های شرق‌شناسان و دین‌پژوهان غربی دارای جنبه‌های مثبت و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مثبت پاره‌ای از شرق‌شناسان در فرهنگ اسلامی می‌توان به تخصص‌گرایی و محدود نمودن پژوهش به مورد مطالعاتی، روش تحقیق، انسجام و پیگیری، دقت نظر، تفاهم و همدردی اشاره نمود، به طوری که گاه یک شرق شناس برای شناخت آداب و رسوم یک قوم یا ملت، بیش از دو دهه از عمر خویش را در میان یک قوم یا سرزمین سپری نموده و به مانند فردی بومی با احترام به آداب و سنت، رفتارها و اعتقادات توده مردم، توانسته است به ظرائف و جزئیات فرهنگ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علائق، سلیقه‌ها، زاویه دید و عادات افراد جامعه پی ببرد، به طوری که شاید بتوان بعضی از بهترین آثار پژوهشی در تمدن شرقی و اسلامی را نیز متعلق به آن دسته از پژوهشگران دانست که به این شیوه عمل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بعضی از محقققان معتقدند که شرق‌شناسی از سده هجدهم تاکنون جزء جدایی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فرهنگ غرب بوده است و آن را صرفاً ذوق مطالعات باستانی و تاریخی نمی‌دانند که مستشرقان به جهت آن به پژوهش در فرهنگ، علم و سیاست مردم مشرق پرداخته باشند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بعضی از اندیشمندان در تحلیل روش پژوهشی مستشرقان اذعان نموده‌اند که آنان بر خلاف اندیشمندان داخلی، بر روشمندی تحقیق پافشاری داشته و از اظهار نظرهای نابجا و سلیقه‌ای دوری نموده‌اند، به طوری که حتی گاه سخنان نادرست خود را مبتنی بر روش‌شناسی نموده و آن را درست جلوه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تحقیقات آنها را متمایز می‌سازد، پافشاری بر روشمندی و بهره‌گیری از آرایش کلام تعقلی و پرهیز از هر نوع اظهار نظر سلیقه‌ای بی‌پایه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نقاط قوّت موجود در آثار اسلام‌شناسان غربی، از آفات و نقاط منفی موجود در آن نیز نباید غافل بود؛ از این رو روشنگری واقع بینانه و تنزیه و تنقیح آثار موجود در حوزه تاریخ اسلام و مبارزه با تحلیل‌های جهت‌دار و تحریفات و شبهات و مباحث التقاطی مطرح شده از جانب آنها، که دامنه آن از محافل و متون علمی به سطوح عادی جامعه می‌رسد، وظیفه انجمن‌های علمی و پژوهشی و اندیشمندان متعهد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نگاه کلی، آثار مستشرقین و دین پژوهان غربی در بارة اسلام، تا پیش از سده یازدهم، غالبا انتقاد و تحقیر و توهین به اسلام و برنامه‌های پیامبر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بیشتر این آثار، عاریه‌ای‌بودن دین اسلام است؛ یعنی فلسفه اسلامی از حکمت یونانی گرفته شده، کلام اسلامی همان مباحث لاهوتی است که یهود و نصارای تازه مسلمان در دین وارد کرده‌اند و حقوق اسلامی نیز از قوانین رومی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بحث خشونت‌آمیز بودن بخش‌هایی از تاریخ اسلام، احکام اسلام و مبحث زن، دست آویز برخی از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اواخر سده نوزدهم، گروه دیگری دیده می‌شوند که در مقابل گروه نام برده، بعضا به دفاع از اسلام پرداخته‌اند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تقصیر به پیشگاه محمد صلی‌الله‌علیه‌وآله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جان دیون پورت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نوشتة توماس کارلایل و همچنین برخی آثار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 ماری شیمل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سیر تکاملی و عقلی که از تعصب و غرض‌ورزی به سوی انصاف و حق گویی گرایش داشته، بر ما لازم است تا از کنار نقاط منفی موجود در نگاشته‌های این اسلام شناسان به راحتی عبور ننماییم، زیرا ذوق‌زدگی گروهی از کسانی که داعیه روشنفکری داشته‌اند باعث گردیده تا همواره نقاط قوت آثار دین پژوهان غربی، که به طور عمده به روش‌ها محدود می‌شود، برجسته شده و نقاط سستی که تأثیر مخرّب و غیر قابل جبران به دنبال داشته نادیده گرفته شود؛ نقاط سستی عمده‌ای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برداشت‌های شخصی و تکیه بر حدسیات که در بیشتر نگاشته‌ها به آن بر می‌خوریم، بدون آن که به متخصصین در لغت عرب و یا علم تفسیر و حدیث مراجعه کرده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این اندیشمندان، بدون هیچ اعتقاد و باور دینی و با نگاهی منفی به تمدن اسلامی به پژوهش پرداخته‌اند و گاهی برخی از آنان خود را در موضع برتر دیده و با این تصور که تمدن و مذهب آن‌ها برتر از شرقیان است، داوری‌های نادرست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مقطعی و منطقه‌ای دانستن دین اسلام و تعالیم اسلامی با به کار بردن تعبیراتی مانند دین محمد صلی‌الله‌علیه‌وآله یا دین عربی و محدود کردن آن به یک مقطع تاریخی یا جغرافیایی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به منابع دست دوم در زمینه اسلام و همچنین کلی نگری به جای جزئی </w:t>
      </w:r>
    </w:p>
    <w:p>
      <w:pPr>
        <w:pStyle w:val="BookText"/>
        <w:rPr/>
      </w:pPr>
      <w:r>
        <w:rPr>
          <w:rFonts w:ascii="IRNazanin" w:hAnsi="IRNazanin" w:eastAsia="IRNazanin"/>
          <w:color w:val="111111"/>
          <w:sz w:val="28"/>
          <w:sz w:val="28"/>
          <w:szCs w:val="28"/>
          <w:rtl w:val="true"/>
          <w:lang w:bidi="fa-IR"/>
        </w:rPr>
        <w:t>نگری در زمینه شناخت مذاهب اسلامی و برگزیدن شیوه تاریخی نگری در تحلیل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 انجام مطالعات مستشرقان این پیش فرض نهفته بود که اسلام نه یک وحی، بلکه تنها پدیده‌ای است که عاملی انسانی آن را در موقعیت تاریخی خاصی پدید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 به رفتارهای عرفی غیر معتبر و قراردادن آن به عنوان مبنای فکری مسلمانان و شیعیان، زیرا از آنجا که اکثر آنها مشاهدات خود را می‌نگارند به رفتارهای عوام و رایج و عرفیات بیشتر توجه دارند تا آنچه در متون اصیل دینی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باعث گردیده تا خرافات در نوشته‌های آنها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برخی اندیشمندان غربی، تشیع را بر مبنای تحولات و تأثیر و تأثّرات آن در عرصه اجتماع مورد بررسی قرار داده و به همین دلیل، عمدتا اعمال و رفتار شیعیان را به عنوان عقاید حتمی و قطعی آنها پنداشته و این گونه منعکس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پافشاری بر اقتباس اسلام از تعالیم یهود و نصاری و قوانین رومی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افراط‌گرایانه از ابزار عقل در تحلیل‌های تاریخی و تلاش برای شناخت فرهنگ و تمدن اسلامی از راه لغت شناسی زبان و سنجش تاریخی تمدن‌ها و ادیان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برجسته نمایی مسائل اختلافی درون دینی و عدم آشنایی با مبانی عقیدتی شیعه و سنی به گونه‌ای که در بعضی موارد بر اساس اندیشه یک مذهب خاص از مذاهب اسلامی، اظهار نظر می‌کنند و آن را درباره دیگر مذاهب تعمیم می‌دهند؛ این موضوع که در میان دایرةالمعارف نویسان مشهود است، موجب پاره‌ای آراء سست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موارد ذکر شده، گاهی دیده شده که مستشرق، هدفی غیر از اسلام‌پژوهی داشته و از همان ابتدا به انگیزه سیاسی و یا اهداف تبشیری و استعماری، به این کار اقدام کرده و یا این که شخصا وابسته به مذهب و اندیشه‌ای بوده که مخالفت با اسلام را از همان ابتدا، در پی داشته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مستشرقان این اندیشه را در عرصه دین شناسی القا نموده‌اند که دین باوری و دین ورزی مخالف و متضاد با هر گونه اندیشیدن و تفکر است؛ و به تعارض میان عقل و دین حکم نموده اند، ولی نگاهی به تاریخ تمدن اسلامی و تنوع اندیشه‌های فلسفی و نگره‌های عقلانی، به نفی این زمینه انجامیده است؛ حال آن که بنا بر فرض این دسته از </w:t>
      </w:r>
      <w:bookmarkStart w:id="550" w:name="pg12658_166915"/>
    </w:p>
    <w:p>
      <w:pPr>
        <w:pStyle w:val="BookText"/>
        <w:rPr/>
      </w:pPr>
      <w:bookmarkEnd w:id="550"/>
      <w:r>
        <w:rPr>
          <w:rFonts w:ascii="IRNazanin" w:hAnsi="IRNazanin" w:eastAsia="IRNazanin"/>
          <w:color w:val="111111"/>
          <w:sz w:val="28"/>
          <w:sz w:val="28"/>
          <w:szCs w:val="28"/>
          <w:rtl w:val="true"/>
          <w:lang w:bidi="fa-IR"/>
        </w:rPr>
        <w:t>دین پژوهان غربی که دین ورزی را مخالف با هر گونه آزاد اندیشی می‌دانند، ما با نوعی ثنویت مواجه می‌شویم که در فضایی از نبود درنگ و فرمان‌برداری کورِ دینی، قلمروی آزاد اندیشه عقلانی را از ضد آن جدا می‌کند و امکان طرح هر گونه پرسشی را منتفی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آنان نیز، در مواجهه با آرای اندیشمندان مسلمان تصور می‌کردند که هیچ ارتباطی میان علوم و معرفت بشری با معنویت و مذهب وجود ندارد و این نکته‌ای است که مورد غفلت مستشرقان پس از رنسانس واقع شده است</w:t>
      </w:r>
      <w:r>
        <w:rPr>
          <w:rFonts w:eastAsia="IRNazanin" w:cs="IRNazanin"/>
          <w:color w:val="111111"/>
          <w:sz w:val="28"/>
          <w:szCs w:val="28"/>
          <w:rtl w:val="true"/>
          <w:lang w:bidi="fa-IR"/>
        </w:rPr>
        <w:t>.</w:t>
      </w:r>
    </w:p>
    <w:p>
      <w:pPr>
        <w:pStyle w:val="Heading3"/>
        <w:numPr>
          <w:ilvl w:val="2"/>
          <w:numId w:val="1"/>
        </w:numPr>
        <w:rPr/>
      </w:pPr>
      <w:bookmarkStart w:id="551" w:name="__RefHeading___Toc643685_222507752"/>
      <w:bookmarkStart w:id="552" w:name="_Toc215"/>
      <w:bookmarkEnd w:id="551"/>
      <w:r>
        <w:rPr>
          <w:rtl w:val="true"/>
        </w:rPr>
        <w:t>عرصه‌های مهدویت‌پژوهی در نزد مستشرقان</w:t>
      </w:r>
      <w:bookmarkEnd w:id="552"/>
    </w:p>
    <w:p>
      <w:pPr>
        <w:pStyle w:val="BookText"/>
        <w:rPr/>
      </w:pPr>
      <w:r>
        <w:rPr>
          <w:rFonts w:ascii="IRNazanin" w:hAnsi="IRNazanin" w:eastAsia="IRNazanin"/>
          <w:color w:val="111111"/>
          <w:sz w:val="28"/>
          <w:sz w:val="28"/>
          <w:szCs w:val="28"/>
          <w:rtl w:val="true"/>
          <w:lang w:bidi="fa-IR"/>
        </w:rPr>
        <w:t>حال با توجه به فعالیت‌ها و آثار شرق‌شناسان و دین‌پژوهان غربی در زمینه مهدویت و با توجه به فعالیت‌ها و آثاری که آنان درباره این موضوع مهم اسلامی انجام داده‌اند، می‌توان کلیه آثاری را که آنان در زمینه مهدویت انجام داده‌اند، ذیل پنج محور ذیل گرد‌آوری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مستقل در زمینه مهدویت؛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مقاله‌های مکتوب درباره مسأله مهدویت و موضوعات مرتبط با آن در کتاب، مجله یا دائرةالمعارف؛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وب‌ها و وبلاگ‌هایی که به دست شرق‌شناسان و پژوهشگران غربی در زمینه مهدویت پدید آمده؛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پایان‌نامه‌ها، رساله‌ها، پروژه‌ها و تحقیقاتی که به وسیله پژوهشگران دانشگاهی و اندیشمندان غربی در مراکز علمی غرب در زمینه مهدویت نوشته 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هنری و سینمایی که در دوره نو ساخته شده است و پیرامون افکار و اندیشه‌های آخرالزمانی و موعودگرایانه ادیان از جمله مسلمانان درباره فرجام‌شناسی،آخرالزمان، منجی، موعود و رستگاری است</w:t>
      </w:r>
      <w:r>
        <w:rPr>
          <w:rFonts w:eastAsia="IRNazanin" w:cs="IRNazanin"/>
          <w:color w:val="111111"/>
          <w:sz w:val="28"/>
          <w:szCs w:val="28"/>
          <w:rtl w:val="true"/>
          <w:lang w:bidi="fa-IR"/>
        </w:rPr>
        <w:t>.</w:t>
      </w:r>
      <w:r>
        <w:rPr>
          <w:rStyle w:val="FootnoteAnchor"/>
          <w:rtl w:val="true"/>
        </w:rPr>
        <w:footnoteReference w:id="252"/>
      </w:r>
      <w:bookmarkStart w:id="553" w:name="pg12658_166917"/>
    </w:p>
    <w:p>
      <w:pPr>
        <w:pStyle w:val="Heading3"/>
        <w:numPr>
          <w:ilvl w:val="2"/>
          <w:numId w:val="1"/>
        </w:numPr>
        <w:rPr/>
      </w:pPr>
      <w:bookmarkStart w:id="554" w:name="__RefHeading___Toc643687_222507752"/>
      <w:bookmarkStart w:id="555" w:name="_Toc216"/>
      <w:bookmarkEnd w:id="553"/>
      <w:bookmarkEnd w:id="554"/>
      <w:r>
        <w:rPr>
          <w:rtl w:val="true"/>
        </w:rPr>
        <w:t>خودآزمایی</w:t>
      </w:r>
      <w:bookmarkEnd w:id="5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جنبه‌های مثبت و منفی پژوهش مستشرقان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عرصه‌های مهدویت‌پژوهی مستشرقان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لغوی و اصطلاحی شرق‌شناسی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متفاوت شرق را از دیدگاه اندیشمندان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زمینه‌های ورود مستشرقین به موضوع مهدویت کدام است؟</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6" w:name="__RefHeading___Toc643689_222507752"/>
      <w:bookmarkStart w:id="557" w:name="_Toc217"/>
      <w:bookmarkEnd w:id="556"/>
      <w:r>
        <w:rPr>
          <w:rtl w:val="true"/>
        </w:rPr>
        <w:t>منابع برای پژوهش</w:t>
      </w:r>
      <w:bookmarkEnd w:id="5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غلام‌احیا، شیعه‌پژوهی و شیعه‌پژوهان انگلیسی زبان، قم، انتشارات شیعه‌شناسی،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داوری اردکانی، رضا، درباره غرب، تهران، هرمس،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دسوقی، محمد، سیر تاریخی و ارزیابی اندیشه شرق‌شناسی، محمود رضا افتخار زاده، تهران،  نشر فرزان،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سردار، ضیاء‌الدین، شرق‌شناسی، ترجمه محمد علی قاسمی، تهران، پژوهشکده مطالعات فرهنگی و اجتماعی،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موسوی، سید رضی، شرق‌شناسی و مهدویت، قم،  مرکز تخصصی مهدویت،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558" w:name="pg12658_166919"/>
    </w:p>
    <w:p>
      <w:pPr>
        <w:pStyle w:val="Heading2"/>
        <w:numPr>
          <w:ilvl w:val="1"/>
          <w:numId w:val="1"/>
        </w:numPr>
        <w:rPr/>
      </w:pPr>
      <w:bookmarkStart w:id="559" w:name="__RefHeading___Toc643691_222507752"/>
      <w:bookmarkStart w:id="560" w:name="_Toc218"/>
      <w:bookmarkEnd w:id="558"/>
      <w:bookmarkEnd w:id="559"/>
      <w:r>
        <w:rPr>
          <w:rtl w:val="true"/>
        </w:rPr>
        <w:t>درس دهم</w:t>
      </w:r>
      <w:r>
        <w:rPr>
          <w:rtl w:val="true"/>
        </w:rPr>
        <w:t xml:space="preserve">: </w:t>
      </w:r>
      <w:r>
        <w:rPr>
          <w:rtl w:val="true"/>
        </w:rPr>
        <w:t>زمینه</w:t>
      </w:r>
      <w:r>
        <w:rPr>
          <w:rtl w:val="true"/>
        </w:rPr>
        <w:softHyphen/>
      </w:r>
      <w:r>
        <w:rPr>
          <w:rtl w:val="true"/>
        </w:rPr>
        <w:t>شناسی جریان</w:t>
      </w:r>
      <w:r>
        <w:rPr>
          <w:rtl w:val="true"/>
        </w:rPr>
        <w:softHyphen/>
      </w:r>
      <w:r>
        <w:rPr>
          <w:rtl w:val="true"/>
        </w:rPr>
        <w:t>های انحرافی در مهدویت</w:t>
      </w:r>
      <w:bookmarkEnd w:id="560"/>
    </w:p>
    <w:p>
      <w:pPr>
        <w:pStyle w:val="Heading3"/>
        <w:numPr>
          <w:ilvl w:val="2"/>
          <w:numId w:val="1"/>
        </w:numPr>
        <w:rPr/>
      </w:pPr>
      <w:bookmarkStart w:id="561" w:name="__RefHeading___Toc643693_222507752"/>
      <w:bookmarkStart w:id="562" w:name="_Toc219"/>
      <w:bookmarkEnd w:id="561"/>
      <w:r>
        <w:rPr>
          <w:rtl w:val="true"/>
        </w:rPr>
        <w:t>اشاره</w:t>
      </w:r>
      <w:bookmarkEnd w:id="562"/>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پیدایش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انحرافی</w:t>
      </w:r>
    </w:p>
    <w:p>
      <w:pPr>
        <w:pStyle w:val="BookText"/>
        <w:rPr/>
      </w:pPr>
      <w:r>
        <w:rPr>
          <w:rFonts w:ascii="IRNazanin" w:hAnsi="IRNazanin" w:eastAsia="IRNazanin"/>
          <w:color w:val="111111"/>
          <w:sz w:val="28"/>
          <w:sz w:val="28"/>
          <w:szCs w:val="28"/>
          <w:rtl w:val="true"/>
          <w:lang w:bidi="fa-IR"/>
        </w:rPr>
        <w:t>ـ عوامل پدیدآورنده</w:t>
      </w:r>
    </w:p>
    <w:p>
      <w:pPr>
        <w:pStyle w:val="BookText"/>
        <w:rPr/>
      </w:pPr>
      <w:r>
        <w:rPr>
          <w:rFonts w:ascii="IRNazanin" w:hAnsi="IRNazanin" w:eastAsia="IRNazanin"/>
          <w:color w:val="111111"/>
          <w:sz w:val="28"/>
          <w:sz w:val="28"/>
          <w:szCs w:val="28"/>
          <w:rtl w:val="true"/>
          <w:lang w:bidi="fa-IR"/>
        </w:rPr>
        <w:t>ـ عوامل استمراربخش</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انحرافی</w:t>
      </w:r>
    </w:p>
    <w:p>
      <w:pPr>
        <w:pStyle w:val="BookText"/>
        <w:rPr/>
      </w:pP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آمدهای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انحرافی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راهبرد مقابله با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انحرافی </w:t>
      </w:r>
      <w:bookmarkStart w:id="563" w:name="pg12658_166920"/>
    </w:p>
    <w:p>
      <w:pPr>
        <w:pStyle w:val="Heading3"/>
        <w:numPr>
          <w:ilvl w:val="2"/>
          <w:numId w:val="1"/>
        </w:numPr>
        <w:rPr/>
      </w:pPr>
      <w:bookmarkStart w:id="564" w:name="__RefHeading___Toc643695_222507752"/>
      <w:bookmarkStart w:id="565" w:name="_Toc220"/>
      <w:bookmarkEnd w:id="563"/>
      <w:bookmarkEnd w:id="564"/>
      <w:r>
        <w:rPr>
          <w:rtl w:val="true"/>
        </w:rPr>
        <w:t>پیش‌درآمد</w:t>
      </w:r>
      <w:bookmarkEnd w:id="565"/>
    </w:p>
    <w:p>
      <w:pPr>
        <w:pStyle w:val="BookText"/>
        <w:rPr/>
      </w:pPr>
      <w:r>
        <w:rPr>
          <w:rFonts w:ascii="IRNazanin" w:hAnsi="IRNazanin" w:eastAsia="IRNazanin"/>
          <w:color w:val="111111"/>
          <w:sz w:val="28"/>
          <w:sz w:val="28"/>
          <w:szCs w:val="28"/>
          <w:rtl w:val="true"/>
          <w:lang w:bidi="fa-IR"/>
        </w:rPr>
        <w:t>با وجود دشمنی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 در برابر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در دوران معاصر، توجه به باور مهدویت روز به روز در حال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روزافزون و احساس نیاز در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عقلی و عاطفی، ضمن اینکه امر بسیار مبارکی است، ولی سبب شده تا در کنار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اصیل و عمیق،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هر ازگاه سر برآورده، چند صباحی برخی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 و یا مغرض را به خود جلب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انحرافی کاری بس بایسته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ولی از آنجایی که بررسی جریان‌های انحرافی معاصر به‌طور مشخص نیازمند بررسی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میدانی است و ممکن است اشاره مشخص به برخی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افراد، پی‌آمدهایی ناگوار در پی داشته باشد، از این رو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دیده شد تا به مباحثی فراگیر در این باره بسنده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مندان در این زمینه را به مطالعه تفصیلی برخی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انحرافی امروزین، در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مفصل توصیه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شواهد تاریخی گواه آن است که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انحرافی از مهدویت راستین، دیرینه‌ای به درازای تاریخ این باور استوار دارد؛ که هر از گاهی به سبب عواملی سر بر آورده و پس از چندی، خاموش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بررسی خود این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دارای ارزش است، ولی آنچه ارزش دوچندان دارد بررسی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بسترهای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این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نیز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آمدهای ناگوار این انحرافات است؛ که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بررسی این امور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در دوران معاصر،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نوپدید پیش‌گیری کرده،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مندان به باور سترگ مهدویت را از خطرات لغزش در این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آگاه نماید</w:t>
      </w:r>
      <w:r>
        <w:rPr>
          <w:rFonts w:eastAsia="IRNazanin" w:cs="IRNazanin"/>
          <w:color w:val="111111"/>
          <w:sz w:val="28"/>
          <w:szCs w:val="28"/>
          <w:rtl w:val="true"/>
          <w:lang w:bidi="fa-IR"/>
        </w:rPr>
        <w:t xml:space="preserve">. </w:t>
      </w:r>
      <w:bookmarkStart w:id="566" w:name="pg12658_166922"/>
    </w:p>
    <w:p>
      <w:pPr>
        <w:pStyle w:val="BookText"/>
        <w:rPr/>
      </w:pPr>
      <w:bookmarkEnd w:id="566"/>
      <w:r>
        <w:rPr>
          <w:rFonts w:ascii="IRNazanin" w:hAnsi="IRNazanin" w:eastAsia="IRNazanin"/>
          <w:color w:val="111111"/>
          <w:sz w:val="28"/>
          <w:sz w:val="28"/>
          <w:szCs w:val="28"/>
          <w:rtl w:val="true"/>
          <w:lang w:bidi="fa-IR"/>
        </w:rPr>
        <w:t>در اینجا نخست به عوامل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 و آنگاه به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 پایان به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آمدهای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انحرافی در مهدویت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3"/>
        <w:numPr>
          <w:ilvl w:val="2"/>
          <w:numId w:val="1"/>
        </w:numPr>
        <w:rPr/>
      </w:pPr>
      <w:bookmarkStart w:id="567" w:name="__RefHeading___Toc643697_222507752"/>
      <w:bookmarkStart w:id="568" w:name="_Toc221"/>
      <w:bookmarkEnd w:id="567"/>
      <w:r>
        <w:rPr/>
        <w:t>1</w:t>
      </w:r>
      <w:r>
        <w:rPr>
          <w:rtl w:val="true"/>
        </w:rPr>
        <w:t xml:space="preserve">. </w:t>
      </w:r>
      <w:r>
        <w:rPr>
          <w:rtl w:val="true"/>
        </w:rPr>
        <w:t>عوامل پیدایش جریان</w:t>
      </w:r>
      <w:r>
        <w:rPr>
          <w:rtl w:val="true"/>
        </w:rPr>
        <w:softHyphen/>
      </w:r>
      <w:r>
        <w:rPr>
          <w:rtl w:val="true"/>
        </w:rPr>
        <w:t>های انحرافی</w:t>
      </w:r>
      <w:bookmarkEnd w:id="568"/>
    </w:p>
    <w:p>
      <w:pPr>
        <w:pStyle w:val="Heading4"/>
        <w:numPr>
          <w:ilvl w:val="3"/>
          <w:numId w:val="1"/>
        </w:numPr>
        <w:rPr/>
      </w:pPr>
      <w:bookmarkStart w:id="569" w:name="__RefHeading___Toc643699_222507752"/>
      <w:bookmarkStart w:id="570" w:name="_Toc222"/>
      <w:bookmarkEnd w:id="569"/>
      <w:r>
        <w:rPr>
          <w:rtl w:val="true"/>
        </w:rPr>
        <w:t>اشاره</w:t>
      </w:r>
      <w:bookmarkEnd w:id="570"/>
    </w:p>
    <w:p>
      <w:pPr>
        <w:pStyle w:val="BookText"/>
        <w:rPr/>
      </w:pPr>
      <w:r>
        <w:rPr>
          <w:rFonts w:ascii="IRNazanin" w:hAnsi="IRNazanin" w:eastAsia="IRNazanin"/>
          <w:color w:val="111111"/>
          <w:sz w:val="28"/>
          <w:sz w:val="28"/>
          <w:szCs w:val="28"/>
          <w:rtl w:val="true"/>
          <w:lang w:bidi="fa-IR"/>
        </w:rPr>
        <w:t>در پیدایش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کژرو به‌طور عمده دو گروه سبب،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سبب‌های پدیدآورنده؛ اموری که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فراگیر و یا جزئی، در بسترسازی و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جریان انحرافی نقش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سبب‌های استمراربخش؛ اموری که پس از پدیدآمدن انحراف، به ادامه‌یافتن آن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Heading4"/>
        <w:numPr>
          <w:ilvl w:val="3"/>
          <w:numId w:val="1"/>
        </w:numPr>
        <w:rPr/>
      </w:pPr>
      <w:bookmarkStart w:id="571" w:name="__RefHeading___Toc643701_222507752"/>
      <w:bookmarkStart w:id="572" w:name="_Toc223"/>
      <w:bookmarkEnd w:id="571"/>
      <w:r>
        <w:rPr/>
        <w:t>1-1</w:t>
      </w:r>
      <w:r>
        <w:rPr>
          <w:rtl w:val="true"/>
        </w:rPr>
        <w:t xml:space="preserve">. </w:t>
      </w:r>
      <w:r>
        <w:rPr>
          <w:rtl w:val="true"/>
        </w:rPr>
        <w:t>عوامل پدیدآورنده</w:t>
      </w:r>
      <w:bookmarkEnd w:id="572"/>
    </w:p>
    <w:p>
      <w:pPr>
        <w:pStyle w:val="Heading5"/>
        <w:numPr>
          <w:ilvl w:val="4"/>
          <w:numId w:val="1"/>
        </w:numPr>
        <w:rPr/>
      </w:pPr>
      <w:bookmarkStart w:id="573" w:name="__RefHeading___Toc643703_222507752"/>
      <w:bookmarkStart w:id="574" w:name="_Toc224"/>
      <w:bookmarkEnd w:id="573"/>
      <w:r>
        <w:rPr>
          <w:rtl w:val="true"/>
        </w:rPr>
        <w:t>یک</w:t>
      </w:r>
      <w:r>
        <w:rPr>
          <w:rtl w:val="true"/>
        </w:rPr>
        <w:t xml:space="preserve">. </w:t>
      </w:r>
      <w:r>
        <w:rPr>
          <w:rtl w:val="true"/>
        </w:rPr>
        <w:t>ناآگاهی توده مردم</w:t>
      </w:r>
      <w:bookmarkEnd w:id="574"/>
    </w:p>
    <w:p>
      <w:pPr>
        <w:pStyle w:val="BookText"/>
        <w:rPr/>
      </w:pPr>
      <w:r>
        <w:rPr>
          <w:rFonts w:ascii="IRNazanin" w:hAnsi="IRNazanin" w:eastAsia="IRNazanin"/>
          <w:color w:val="111111"/>
          <w:sz w:val="28"/>
          <w:sz w:val="28"/>
          <w:szCs w:val="28"/>
          <w:rtl w:val="true"/>
          <w:lang w:bidi="fa-IR"/>
        </w:rPr>
        <w:t>به همان اندازه که دانش و آگاهی زندگی انسان را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انسان را از بی‌راهه و کج‌راهه دست‌گیری می‌کند، نادانی و ناآگاهی سبب فروافتادن انسان در بیراهه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 افراد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 انحرافی، همواره از نبود دانش و آگاهی کافی افراد بیشترین بهره را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از ویژگی‌های حضرت مهدی علیه‌السلام و مباحث مربوط بر پایة روایات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آیات نورانی قرآن همواره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فراگیری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والا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نادانی را نکوهش و نادانان را سرزنش کرده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معتبر در عرصة مهدویت و آموزهای اصیل آن، به‌راستی 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مندان هرگز فریب افراد منحرف را نخورده، خود را از این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دور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ناآگاهی از حقیقت جهانی‌شدن اسلام و نحوه پیروزی دین اسلام در حکومت مهدوی که در قرآن آمده است سبب شده برخی از افراد ناآگاه جذب شبه‌عرفان‌هایی شوند که هم اکنون در رو به گسترشند و این گروه‌ها ظهور را امری زمینی دانسته‌اند و نقش خواست الهی را نادیده بگیرند و در همین راستا منکر برخی آموزه‌ها ی مربوط به دوران ظهور شوند</w:t>
      </w:r>
      <w:r>
        <w:rPr>
          <w:rFonts w:eastAsia="IRNazanin" w:cs="IRNazanin"/>
          <w:color w:val="111111"/>
          <w:sz w:val="28"/>
          <w:szCs w:val="28"/>
          <w:rtl w:val="true"/>
          <w:lang w:bidi="fa-IR"/>
        </w:rPr>
        <w:t>.</w:t>
      </w:r>
      <w:r>
        <w:rPr>
          <w:rStyle w:val="FootnoteAnchor"/>
          <w:rtl w:val="true"/>
        </w:rPr>
        <w:footnoteReference w:id="253"/>
      </w:r>
      <w:bookmarkStart w:id="575" w:name="pg12658_166924"/>
    </w:p>
    <w:p>
      <w:pPr>
        <w:pStyle w:val="BookText"/>
        <w:rPr/>
      </w:pPr>
      <w:bookmarkEnd w:id="575"/>
      <w:r>
        <w:rPr>
          <w:rFonts w:ascii="IRNazanin" w:hAnsi="IRNazanin" w:eastAsia="IRNazanin"/>
          <w:color w:val="111111"/>
          <w:sz w:val="28"/>
          <w:sz w:val="28"/>
          <w:szCs w:val="28"/>
          <w:rtl w:val="true"/>
          <w:lang w:bidi="fa-IR"/>
        </w:rPr>
        <w:t>این عامل را می‌توان به عنوان رایج‌ترین عامل برای زمینه‌سازی انحراف به‌ویژه در مهدویت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نمونه‌های انحرافی معاصر در این زمینه، به نام احمد الحسن است؛ که در آن از ناآگاهی مردم به حقیقت نشانه‌های ظهور خود را با عنوان یمانی معرفی کرده است</w:t>
      </w:r>
      <w:r>
        <w:rPr>
          <w:rFonts w:eastAsia="IRNazanin" w:cs="IRNazanin"/>
          <w:color w:val="111111"/>
          <w:sz w:val="28"/>
          <w:szCs w:val="28"/>
          <w:rtl w:val="true"/>
          <w:lang w:bidi="fa-IR"/>
        </w:rPr>
        <w:t>.</w:t>
      </w:r>
    </w:p>
    <w:p>
      <w:pPr>
        <w:pStyle w:val="Heading5"/>
        <w:numPr>
          <w:ilvl w:val="4"/>
          <w:numId w:val="1"/>
        </w:numPr>
        <w:rPr/>
      </w:pPr>
      <w:bookmarkStart w:id="576" w:name="__RefHeading___Toc643705_222507752"/>
      <w:bookmarkStart w:id="577" w:name="_Toc225"/>
      <w:bookmarkEnd w:id="576"/>
      <w:r>
        <w:rPr>
          <w:rtl w:val="true"/>
        </w:rPr>
        <w:t>دو</w:t>
      </w:r>
      <w:r>
        <w:rPr>
          <w:rtl w:val="true"/>
        </w:rPr>
        <w:t xml:space="preserve">. </w:t>
      </w:r>
      <w:r>
        <w:rPr>
          <w:rtl w:val="true"/>
        </w:rPr>
        <w:t>آشفتگی</w:t>
      </w:r>
      <w:r>
        <w:rPr>
          <w:rtl w:val="true"/>
        </w:rPr>
        <w:softHyphen/>
      </w:r>
      <w:r>
        <w:rPr>
          <w:rtl w:val="true"/>
        </w:rPr>
        <w:t>های اجتماعی و اقتصادی</w:t>
      </w:r>
      <w:bookmarkEnd w:id="577"/>
    </w:p>
    <w:p>
      <w:pPr>
        <w:pStyle w:val="BookText"/>
        <w:rPr/>
      </w:pPr>
      <w:r>
        <w:rPr>
          <w:rFonts w:ascii="IRNazanin" w:hAnsi="IRNazanin" w:eastAsia="IRNazanin"/>
          <w:color w:val="111111"/>
          <w:sz w:val="28"/>
          <w:sz w:val="28"/>
          <w:szCs w:val="28"/>
          <w:rtl w:val="true"/>
          <w:lang w:bidi="fa-IR"/>
        </w:rPr>
        <w:t>مهدویت به سبب نوع نگاه به آینده و امیدبخشی، همواره درمانی بوده بر دردهای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ستم‌دیده و فرودست، ولی گاهی نگاه به این کارکرد با افراط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برخی عوامل وضعیت افراد را در عرصه اجتماعی و اقتصادی دچار آشفتگی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آشفتگی در پیِ پناهگاهی هستند که در آن به آرامش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گاهی هر دارویی را بر درد خویش می‌آزمایند بدون آنکه بیندیشند آنچه درمان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پنداشته‌اند، خود دردی بر دردهای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نابکار با سوءاستفاده از این حالت افراد و جایگاه مهدویت در چشم آنان، اهداف شیطنت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 خود را پی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القای برخی ذکرها و وِردها و نقل برخی حکایت‌های ساختگی در پی جذب افراد آماده هستند</w:t>
      </w:r>
      <w:r>
        <w:rPr>
          <w:rFonts w:eastAsia="IRNazanin" w:cs="IRNazanin"/>
          <w:color w:val="111111"/>
          <w:sz w:val="28"/>
          <w:szCs w:val="28"/>
          <w:rtl w:val="true"/>
          <w:lang w:bidi="fa-IR"/>
        </w:rPr>
        <w:t>.</w:t>
      </w:r>
    </w:p>
    <w:p>
      <w:pPr>
        <w:pStyle w:val="Heading5"/>
        <w:numPr>
          <w:ilvl w:val="4"/>
          <w:numId w:val="1"/>
        </w:numPr>
        <w:rPr/>
      </w:pPr>
      <w:bookmarkStart w:id="578" w:name="__RefHeading___Toc643707_222507752"/>
      <w:bookmarkStart w:id="579" w:name="_Toc226"/>
      <w:bookmarkEnd w:id="578"/>
      <w:r>
        <w:rPr>
          <w:rtl w:val="true"/>
        </w:rPr>
        <w:t>سه</w:t>
      </w:r>
      <w:r>
        <w:rPr>
          <w:rtl w:val="true"/>
        </w:rPr>
        <w:t xml:space="preserve">. </w:t>
      </w:r>
      <w:r>
        <w:rPr>
          <w:rtl w:val="true"/>
        </w:rPr>
        <w:t>زیاده خواهی</w:t>
      </w:r>
      <w:bookmarkEnd w:id="579"/>
    </w:p>
    <w:p>
      <w:pPr>
        <w:pStyle w:val="BookText"/>
        <w:rPr/>
      </w:pPr>
      <w:r>
        <w:rPr>
          <w:rFonts w:ascii="IRNazanin" w:hAnsi="IRNazanin" w:eastAsia="IRNazanin"/>
          <w:color w:val="111111"/>
          <w:sz w:val="28"/>
          <w:sz w:val="28"/>
          <w:szCs w:val="28"/>
          <w:rtl w:val="true"/>
          <w:lang w:bidi="fa-IR"/>
        </w:rPr>
        <w:t>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و فزون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 از صفات ناشایستی است که برخی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هر کاری 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در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اقتصادی و برخی دیگر را در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سوق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ازحد برخی ساده‌اندیشان، به مباحث سطحی، عرصه را بر افراد فرصت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نهایت بهره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فراوانی از این زمینه در کسانی که پس از مدتی فعالیت و در پی روشنگری دانشمندان دینی به دست قانون گرفتار می‌شوند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در دوران معاصر پس از جریان‌سازی به این افزون‌خواهی اعتراف کرده کاظمینی بروجردی است که یک از اهداف خود را رسیدن به امکانات مادی ذکر کرده است</w:t>
      </w:r>
      <w:r>
        <w:rPr>
          <w:rFonts w:eastAsia="IRNazanin" w:cs="IRNazanin"/>
          <w:color w:val="111111"/>
          <w:sz w:val="28"/>
          <w:szCs w:val="28"/>
          <w:rtl w:val="true"/>
          <w:lang w:bidi="fa-IR"/>
        </w:rPr>
        <w:t>.</w:t>
      </w:r>
    </w:p>
    <w:p>
      <w:pPr>
        <w:pStyle w:val="Heading5"/>
        <w:numPr>
          <w:ilvl w:val="4"/>
          <w:numId w:val="1"/>
        </w:numPr>
        <w:rPr/>
      </w:pPr>
      <w:bookmarkStart w:id="580" w:name="__RefHeading___Toc643709_222507752"/>
      <w:bookmarkStart w:id="581" w:name="_Toc227"/>
      <w:bookmarkEnd w:id="580"/>
      <w:r>
        <w:rPr>
          <w:rtl w:val="true"/>
        </w:rPr>
        <w:t>چهار</w:t>
      </w:r>
      <w:r>
        <w:rPr>
          <w:rtl w:val="true"/>
        </w:rPr>
        <w:t xml:space="preserve">. </w:t>
      </w:r>
      <w:r>
        <w:rPr>
          <w:rtl w:val="true"/>
        </w:rPr>
        <w:t>نابسامانی و اعتبار کم برخی متون</w:t>
      </w:r>
      <w:bookmarkEnd w:id="58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متون مهدوی در طول تاریخ فراز و فرودهایی را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همت بلند بزرگان دین و دانشمندان شیعه در طول تاریخ برای به سلامت رساندن </w:t>
      </w:r>
      <w:bookmarkStart w:id="582" w:name="pg12658_166926"/>
    </w:p>
    <w:p>
      <w:pPr>
        <w:pStyle w:val="BookText"/>
        <w:rPr/>
      </w:pPr>
      <w:bookmarkEnd w:id="582"/>
      <w:r>
        <w:rPr>
          <w:rFonts w:ascii="IRNazanin" w:hAnsi="IRNazanin" w:eastAsia="IRNazanin"/>
          <w:color w:val="111111"/>
          <w:sz w:val="28"/>
          <w:sz w:val="28"/>
          <w:szCs w:val="28"/>
          <w:rtl w:val="true"/>
          <w:lang w:bidi="fa-IR"/>
        </w:rPr>
        <w:t>این متون به نسل‌های آینده، کم و بیش برخی از این منابع از دستبرد برخی افراد دنیاطلب در امان نمانده است و برخی مطالب نادرست در آن وارد شده است که سوکمندانه این خود دستاویزی برای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سازان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انحرافی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چون فتن نعیم بن حماد، شرح الاخبار، بیان الائمه ، الزام الناصب و… 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عرصه تلاش دوستان ناآگاه و دشمنان آگاه به شدت به چشم می‌آید که بر هیچ آگاه بصیر پوشیده نیست</w:t>
      </w:r>
      <w:r>
        <w:rPr>
          <w:rFonts w:eastAsia="IRNazanin" w:cs="IRNazanin"/>
          <w:color w:val="111111"/>
          <w:sz w:val="28"/>
          <w:szCs w:val="28"/>
          <w:rtl w:val="true"/>
          <w:lang w:bidi="fa-IR"/>
        </w:rPr>
        <w:t>.</w:t>
      </w:r>
    </w:p>
    <w:p>
      <w:pPr>
        <w:pStyle w:val="Heading5"/>
        <w:numPr>
          <w:ilvl w:val="4"/>
          <w:numId w:val="1"/>
        </w:numPr>
        <w:rPr/>
      </w:pPr>
      <w:bookmarkStart w:id="583" w:name="__RefHeading___Toc643711_222507752"/>
      <w:bookmarkStart w:id="584" w:name="_Toc228"/>
      <w:bookmarkEnd w:id="583"/>
      <w:r>
        <w:rPr>
          <w:rtl w:val="true"/>
        </w:rPr>
        <w:t>پنج</w:t>
      </w:r>
      <w:r>
        <w:rPr>
          <w:rtl w:val="true"/>
        </w:rPr>
        <w:t xml:space="preserve">. </w:t>
      </w:r>
      <w:r>
        <w:rPr>
          <w:rtl w:val="true"/>
        </w:rPr>
        <w:t>حمایت دشمنان</w:t>
      </w:r>
      <w:bookmarkEnd w:id="584"/>
    </w:p>
    <w:p>
      <w:pPr>
        <w:pStyle w:val="BookText"/>
        <w:rPr/>
      </w:pPr>
      <w:r>
        <w:rPr>
          <w:rFonts w:ascii="IRNazanin" w:hAnsi="IRNazanin" w:eastAsia="IRNazanin"/>
          <w:color w:val="111111"/>
          <w:sz w:val="28"/>
          <w:sz w:val="28"/>
          <w:szCs w:val="28"/>
          <w:rtl w:val="true"/>
          <w:lang w:bidi="fa-IR"/>
        </w:rPr>
        <w:t>از آنجایی که باور به مهدی موعود علیه‌السلام نقش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مانندی در به حرکت درآوردن جوامع به سوی ظلم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ستیزی دارد، همواره دشمنان به هر کاری در برابر این باور دست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از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انحرافی به عنوان شاخص این کارها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تاریخی این شیطنت بر هیچ آگاهی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معاصر این فعالیت بسیار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گیرتر از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متقابل فرقه‌ها ومدعیان دروغین با استعمار و استبداد در هر زمان شواهد پرشماری دارد از جمله وابستگی و پیوند دوسویه بهاییت و قدرت‌های استکباری که از آغاز رسمیت‌یافتن این فرقه دیدنی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قادیانیه یکی دیگر از جریان‌های انحرافی است که نقش استعمار پیر انگلیس در آن انکارناشدنی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 تا مسلمانان را از آموزه‌های راستین اسلام دور سازد</w:t>
      </w:r>
      <w:r>
        <w:rPr>
          <w:rFonts w:eastAsia="IRNazanin" w:cs="IRNazanin"/>
          <w:color w:val="111111"/>
          <w:sz w:val="28"/>
          <w:szCs w:val="28"/>
          <w:rtl w:val="true"/>
          <w:lang w:bidi="fa-IR"/>
        </w:rPr>
        <w:t>.</w:t>
      </w:r>
    </w:p>
    <w:p>
      <w:pPr>
        <w:pStyle w:val="Heading4"/>
        <w:numPr>
          <w:ilvl w:val="3"/>
          <w:numId w:val="1"/>
        </w:numPr>
        <w:rPr/>
      </w:pPr>
      <w:bookmarkStart w:id="585" w:name="__RefHeading___Toc643713_222507752"/>
      <w:bookmarkStart w:id="586" w:name="_Toc229"/>
      <w:bookmarkEnd w:id="585"/>
      <w:r>
        <w:rPr/>
        <w:t>1-2</w:t>
      </w:r>
      <w:r>
        <w:rPr>
          <w:rtl w:val="true"/>
        </w:rPr>
        <w:t xml:space="preserve">. </w:t>
      </w:r>
      <w:r>
        <w:rPr>
          <w:rtl w:val="true"/>
        </w:rPr>
        <w:t>عوامل استمراربخش</w:t>
      </w:r>
      <w:bookmarkEnd w:id="586"/>
    </w:p>
    <w:p>
      <w:pPr>
        <w:pStyle w:val="Heading5"/>
        <w:numPr>
          <w:ilvl w:val="4"/>
          <w:numId w:val="1"/>
        </w:numPr>
        <w:rPr/>
      </w:pPr>
      <w:bookmarkStart w:id="587" w:name="__RefHeading___Toc643715_222507752"/>
      <w:bookmarkStart w:id="588" w:name="_Toc230"/>
      <w:bookmarkEnd w:id="587"/>
      <w:r>
        <w:rPr>
          <w:rtl w:val="true"/>
        </w:rPr>
        <w:t>یک</w:t>
      </w:r>
      <w:r>
        <w:rPr>
          <w:rtl w:val="true"/>
        </w:rPr>
        <w:t xml:space="preserve">. </w:t>
      </w:r>
      <w:r>
        <w:rPr>
          <w:rtl w:val="true"/>
        </w:rPr>
        <w:t>اباحی‌گری و تکلیف‌گریزی</w:t>
      </w:r>
      <w:bookmarkEnd w:id="58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انحرافی با گذر از خط قرمزهای دین، هواداران خود را در گرداب اباحی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بندوباری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اندازند که این خود سبب دوام این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روشن این عامل در پرهیز هواداران از تقلید و پیروی از مراجع بزرگ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تا آنجا پیش می‌رود که خود را برتر از علما و دانشمندان دینی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بهائیت و واقعه بدشت و قرة العین را می‌توان نمونه‌ای اندک از موارد بسیار دانست</w:t>
      </w:r>
      <w:r>
        <w:rPr>
          <w:rFonts w:eastAsia="IRNazanin" w:cs="IRNazanin"/>
          <w:color w:val="111111"/>
          <w:sz w:val="28"/>
          <w:szCs w:val="28"/>
          <w:rtl w:val="true"/>
          <w:lang w:bidi="fa-IR"/>
        </w:rPr>
        <w:t xml:space="preserve">. </w:t>
      </w:r>
      <w:bookmarkStart w:id="589" w:name="pg12658_166928"/>
    </w:p>
    <w:p>
      <w:pPr>
        <w:pStyle w:val="Heading5"/>
        <w:numPr>
          <w:ilvl w:val="4"/>
          <w:numId w:val="1"/>
        </w:numPr>
        <w:rPr/>
      </w:pPr>
      <w:bookmarkStart w:id="590" w:name="__RefHeading___Toc643717_222507752"/>
      <w:bookmarkStart w:id="591" w:name="_Toc231"/>
      <w:bookmarkEnd w:id="589"/>
      <w:bookmarkEnd w:id="590"/>
      <w:r>
        <w:rPr>
          <w:rtl w:val="true"/>
        </w:rPr>
        <w:t>دو</w:t>
      </w:r>
      <w:r>
        <w:rPr>
          <w:rtl w:val="true"/>
        </w:rPr>
        <w:t xml:space="preserve">. </w:t>
      </w:r>
      <w:r>
        <w:rPr>
          <w:rtl w:val="true"/>
        </w:rPr>
        <w:t>حمایت برخی خواص</w:t>
      </w:r>
      <w:bookmarkEnd w:id="591"/>
    </w:p>
    <w:p>
      <w:pPr>
        <w:pStyle w:val="BookText"/>
        <w:rPr/>
      </w:pPr>
      <w:r>
        <w:rPr>
          <w:rFonts w:ascii="IRNazanin" w:hAnsi="IRNazanin" w:eastAsia="IRNazanin"/>
          <w:color w:val="111111"/>
          <w:sz w:val="28"/>
          <w:sz w:val="28"/>
          <w:szCs w:val="28"/>
          <w:rtl w:val="true"/>
          <w:lang w:bidi="fa-IR"/>
        </w:rPr>
        <w:t>برخی از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انحرافی به‌گونه‌ای گسترده به برخی ظواهر 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جایی که در مواردی برخی نخبگان را نیز دچار تردید و سردرگمی کرده و در کارها هواداری آنها را نیز به دست می‌آورند که این خود سهم فراوانی در بقا و استمرار این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به‌دور از زیرکی‌های یک مؤمن به ظاهر برخی افراد نگاه کرده و رفتار آنها را از روی حسن ظن پی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معاصر نمونه‌های فراوانی از این جریان‌ها وجود دارد که نیازی به تفصیل نیست و هراز گاهی یکی از آنها رسوا می‌شود</w:t>
      </w:r>
      <w:r>
        <w:rPr>
          <w:rFonts w:eastAsia="IRNazanin" w:cs="IRNazanin"/>
          <w:color w:val="111111"/>
          <w:sz w:val="28"/>
          <w:szCs w:val="28"/>
          <w:rtl w:val="true"/>
          <w:lang w:bidi="fa-IR"/>
        </w:rPr>
        <w:t>.</w:t>
      </w:r>
    </w:p>
    <w:p>
      <w:pPr>
        <w:pStyle w:val="Heading5"/>
        <w:numPr>
          <w:ilvl w:val="4"/>
          <w:numId w:val="1"/>
        </w:numPr>
        <w:rPr/>
      </w:pPr>
      <w:bookmarkStart w:id="592" w:name="__RefHeading___Toc643719_222507752"/>
      <w:bookmarkStart w:id="593" w:name="_Toc232"/>
      <w:bookmarkEnd w:id="592"/>
      <w:r>
        <w:rPr>
          <w:rtl w:val="true"/>
        </w:rPr>
        <w:t>سه</w:t>
      </w:r>
      <w:r>
        <w:rPr>
          <w:rtl w:val="true"/>
        </w:rPr>
        <w:t xml:space="preserve">. </w:t>
      </w:r>
      <w:r>
        <w:rPr>
          <w:rtl w:val="true"/>
        </w:rPr>
        <w:t>غفلت برخی خواص</w:t>
      </w:r>
      <w:bookmarkEnd w:id="593"/>
    </w:p>
    <w:p>
      <w:pPr>
        <w:pStyle w:val="BookText"/>
        <w:rPr/>
      </w:pPr>
      <w:r>
        <w:rPr>
          <w:rFonts w:ascii="IRNazanin" w:hAnsi="IRNazanin" w:eastAsia="IRNazanin"/>
          <w:color w:val="111111"/>
          <w:sz w:val="28"/>
          <w:sz w:val="28"/>
          <w:szCs w:val="28"/>
          <w:rtl w:val="true"/>
          <w:lang w:bidi="fa-IR"/>
        </w:rPr>
        <w:t>بسیاری از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انحرافی تا آنگاه که به انحرفات بزرگ دچار نشده و یا در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وارد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همواره مورد فراموشی واقع می‌شوند و با این توجیه که پرداختن به آنها سبب بزرگ‌تر شدن آنها می‌شود یا اینکه یادی از آنها نکنید تا خودبه‌خود از میان بروند زمینه برای گسترش آنها بیشتر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غفلت آنگاه دشوار‌آفرین‌تر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 جریان‌ها به پایان راه خود رسیده‌اند و هوادران آنها در کنار بدبینی به باورهای دینی اعتماد خود را نیز از بزرگان از دست می‌دهند که چرا آنها در هدایت مردم اقدامی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می‌توان به موضع‌گیری مسامحه‌کارانه برخی از علما در بارة باب اشاره کرد که با نسبت خبط دماغ وی را از مجازات تبرئه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سوکمندانه برخی شنیده‌ها گویای آن است که یکی از شگردهای برخی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انحرافی در این است که حساسیت چندانی را پدید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خود زیرکی بیشتری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در بارة نقش خواص، هنگام بروز بدعت‌ها، رسول گرامی اسلام با بیانی همراه توبیخ کسانی که سکوت می‌کنند را به شدّت سرزنش کرده می‌فرماید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ظَهَرَتِ الْبِدَعُ فِی أُمَّتِی فَلْیُظْهِرِ الْعَالِمُ عِلْمَهُ فَمَنْ لَمْ یَفْعَلْ فَعَلَیْهِ لَعْنَةُ اللَّهِ؛</w:t>
      </w:r>
      <w:r>
        <w:rPr>
          <w:rStyle w:val="FootnoteAnchor"/>
          <w:rtl w:val="true"/>
        </w:rPr>
        <w:footnoteReference w:id="254"/>
      </w:r>
      <w:r>
        <w:rPr>
          <w:rFonts w:ascii="IRNazanin" w:hAnsi="IRNazanin" w:eastAsia="IRNazanin"/>
          <w:color w:val="111111"/>
          <w:sz w:val="28"/>
          <w:sz w:val="28"/>
          <w:szCs w:val="28"/>
          <w:rtl w:val="true"/>
          <w:lang w:bidi="fa-IR"/>
        </w:rPr>
        <w:t xml:space="preserve">آنگاه که بدعت‌ها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نوپیدای مخالف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 من آشکار شد، </w:t>
      </w:r>
      <w:bookmarkStart w:id="594" w:name="pg12658_166930"/>
    </w:p>
    <w:p>
      <w:pPr>
        <w:pStyle w:val="BookText"/>
        <w:rPr/>
      </w:pPr>
      <w:bookmarkEnd w:id="594"/>
      <w:r>
        <w:rPr>
          <w:rFonts w:ascii="IRNazanin" w:hAnsi="IRNazanin" w:eastAsia="IRNazanin"/>
          <w:color w:val="111111"/>
          <w:sz w:val="28"/>
          <w:sz w:val="28"/>
          <w:szCs w:val="28"/>
          <w:rtl w:val="true"/>
          <w:lang w:bidi="fa-IR"/>
        </w:rPr>
        <w:t>بر عالم است که دانش خود را آشکار سازد، که اگر چنین نکند لعنت خداوند بر او است</w:t>
      </w:r>
      <w:r>
        <w:rPr>
          <w:rFonts w:eastAsia="IRNazanin" w:cs="IRNazanin"/>
          <w:color w:val="111111"/>
          <w:sz w:val="28"/>
          <w:szCs w:val="28"/>
          <w:rtl w:val="true"/>
          <w:lang w:bidi="fa-IR"/>
        </w:rPr>
        <w:t>.</w:t>
      </w:r>
    </w:p>
    <w:p>
      <w:pPr>
        <w:pStyle w:val="Heading5"/>
        <w:numPr>
          <w:ilvl w:val="4"/>
          <w:numId w:val="1"/>
        </w:numPr>
        <w:rPr/>
      </w:pPr>
      <w:bookmarkStart w:id="595" w:name="__RefHeading___Toc643721_222507752"/>
      <w:bookmarkStart w:id="596" w:name="_Toc233"/>
      <w:bookmarkEnd w:id="595"/>
      <w:r>
        <w:rPr>
          <w:rtl w:val="true"/>
        </w:rPr>
        <w:t>چهار</w:t>
      </w:r>
      <w:r>
        <w:rPr>
          <w:rtl w:val="true"/>
        </w:rPr>
        <w:t xml:space="preserve">. </w:t>
      </w:r>
      <w:r>
        <w:rPr>
          <w:rtl w:val="true"/>
        </w:rPr>
        <w:t>ساختن حکایات</w:t>
      </w:r>
      <w:bookmarkEnd w:id="596"/>
    </w:p>
    <w:p>
      <w:pPr>
        <w:pStyle w:val="BookText"/>
        <w:rPr/>
      </w:pPr>
      <w:r>
        <w:rPr>
          <w:rFonts w:ascii="IRNazanin" w:hAnsi="IRNazanin" w:eastAsia="IRNazanin"/>
          <w:color w:val="111111"/>
          <w:sz w:val="28"/>
          <w:sz w:val="28"/>
          <w:szCs w:val="28"/>
          <w:rtl w:val="true"/>
          <w:lang w:bidi="fa-IR"/>
        </w:rPr>
        <w:t>برخی از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انحرافی برای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هواداران خود با چنگ‌زدن به برخی شگردهای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 از جمله دادن شخصیت دروغین، آنها را در ادامة راه برای هواداری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کسی در بارة جلسه ای در عالم رؤیا چنین دیده است و چنان و یا در بارة فلان شخص در خواب دیده که مورد عنایت اهل بیت علیهم‌السلام بود و مانند آن، 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فریبنده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برای ادامة اغفال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نمونه‌های این حکایت آنقدر فراوان است که نیازی به یادکردن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مدعیان معاصر با نگارش کتاب‌هایی با عنوان پرواز روح و ملاقات با حضرت مهدی علیه‌السلام بر این پندار است که اگرچه این حکایت‌ها ساختگی است، اما برای جذب جوانان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پندار باطل که آنگاه که افشا شد چه پی‌آمدهای بدی در پی داشت</w:t>
      </w:r>
      <w:r>
        <w:rPr>
          <w:rFonts w:eastAsia="IRNazanin" w:cs="IRNazanin"/>
          <w:color w:val="111111"/>
          <w:sz w:val="28"/>
          <w:szCs w:val="28"/>
          <w:rtl w:val="true"/>
          <w:lang w:bidi="fa-IR"/>
        </w:rPr>
        <w:t>.</w:t>
      </w:r>
    </w:p>
    <w:p>
      <w:pPr>
        <w:pStyle w:val="Heading3"/>
        <w:numPr>
          <w:ilvl w:val="2"/>
          <w:numId w:val="1"/>
        </w:numPr>
        <w:rPr/>
      </w:pPr>
      <w:bookmarkStart w:id="597" w:name="__RefHeading___Toc643723_222507752"/>
      <w:bookmarkStart w:id="598" w:name="_Toc234"/>
      <w:bookmarkEnd w:id="597"/>
      <w:r>
        <w:rPr/>
        <w:t>2</w:t>
      </w:r>
      <w:r>
        <w:rPr>
          <w:rtl w:val="true"/>
        </w:rPr>
        <w:t xml:space="preserve">. </w:t>
      </w:r>
      <w:r>
        <w:rPr>
          <w:rtl w:val="true"/>
        </w:rPr>
        <w:t>ویژگی</w:t>
      </w:r>
      <w:r>
        <w:rPr>
          <w:rtl w:val="true"/>
        </w:rPr>
        <w:softHyphen/>
      </w:r>
      <w:r>
        <w:rPr>
          <w:rtl w:val="true"/>
        </w:rPr>
        <w:t>های جریان</w:t>
      </w:r>
      <w:r>
        <w:rPr>
          <w:rtl w:val="true"/>
        </w:rPr>
        <w:softHyphen/>
      </w:r>
      <w:r>
        <w:rPr>
          <w:rtl w:val="true"/>
        </w:rPr>
        <w:t>های انحرافی</w:t>
      </w:r>
      <w:bookmarkEnd w:id="598"/>
    </w:p>
    <w:p>
      <w:pPr>
        <w:pStyle w:val="Heading4"/>
        <w:numPr>
          <w:ilvl w:val="3"/>
          <w:numId w:val="1"/>
        </w:numPr>
        <w:rPr/>
      </w:pPr>
      <w:bookmarkStart w:id="599" w:name="__RefHeading___Toc643725_222507752"/>
      <w:bookmarkStart w:id="600" w:name="_Toc235"/>
      <w:bookmarkEnd w:id="599"/>
      <w:r>
        <w:rPr/>
        <w:t>2-1</w:t>
      </w:r>
      <w:r>
        <w:rPr>
          <w:rtl w:val="true"/>
        </w:rPr>
        <w:t xml:space="preserve">. </w:t>
      </w:r>
      <w:r>
        <w:rPr>
          <w:rtl w:val="true"/>
        </w:rPr>
        <w:t>عقل گریزی و اهتمام افراطی به امور احساسی</w:t>
      </w:r>
      <w:bookmarkEnd w:id="600"/>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گمان نگاه آگاهانه نیاز پایه‌ای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عنوان چراغی پرفروغ، همواره راه را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انسان‌ها به بیراهه کشیده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همواره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خردورزی و بهره‌مندی از عقل سفارش و خردمندان را از والایی ویژه برخوردار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انحرافی پیروان خود را به پرهیز از خردورزی و پیروی بی‌چون‌وچرا از خود فرا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خوانده، نگاه خردمندانه به مباحث را بیرون از شئون پیروان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سوکمندانه این نوع نگاه در برخی لایه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جامعه در کنار نگاه افراطی به عشق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 محض به امام مهدی علیه‌السلام، جلوگیر درنگ در مباحث پایه‌ای مهدویت شده و سبب رواج مباحث بی‌پایه شده است</w:t>
      </w:r>
      <w:r>
        <w:rPr>
          <w:rFonts w:eastAsia="IRNazanin" w:cs="IRNazanin"/>
          <w:color w:val="111111"/>
          <w:sz w:val="28"/>
          <w:szCs w:val="28"/>
          <w:rtl w:val="true"/>
          <w:lang w:bidi="fa-IR"/>
        </w:rPr>
        <w:t xml:space="preserve">. </w:t>
      </w:r>
      <w:bookmarkStart w:id="601" w:name="pg12658_166932"/>
    </w:p>
    <w:p>
      <w:pPr>
        <w:pStyle w:val="Heading4"/>
        <w:numPr>
          <w:ilvl w:val="3"/>
          <w:numId w:val="1"/>
        </w:numPr>
        <w:rPr/>
      </w:pPr>
      <w:bookmarkStart w:id="602" w:name="__RefHeading___Toc643727_222507752"/>
      <w:bookmarkStart w:id="603" w:name="_Toc236"/>
      <w:bookmarkEnd w:id="601"/>
      <w:bookmarkEnd w:id="602"/>
      <w:r>
        <w:rPr/>
        <w:t>2-2</w:t>
      </w:r>
      <w:r>
        <w:rPr>
          <w:rtl w:val="true"/>
        </w:rPr>
        <w:t xml:space="preserve">. </w:t>
      </w:r>
      <w:r>
        <w:rPr>
          <w:rtl w:val="true"/>
        </w:rPr>
        <w:t>درآمیختن حق و باطل</w:t>
      </w:r>
      <w:bookmarkEnd w:id="603"/>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گمان اگر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انحرافی پایة کجی خود را بر باطل نهند هرگز جز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پلید گرد آنها جمع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از این رو برای فریب تودة مردم، بخشی از حق را با بخشی از باطل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آمیزند و خود را هوادار حق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درآمیختن مطالب درست با نادرست و حق با باطل، 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مخاطبان از رودر رویی روشن و صریح با این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سازان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حق‌نمایانِ باطل فروش به‌ویژه در آغاز کار خود برای به‌دست‌آوردن اعتماد از باطل کمتر بهره می‌گیرند و زمانی که هواداران به‌طور کامل اعتماد پیدا کردند، از القای هر باطلی ابا ندارند</w:t>
      </w:r>
      <w:r>
        <w:rPr>
          <w:rFonts w:eastAsia="IRNazanin" w:cs="IRNazanin"/>
          <w:color w:val="111111"/>
          <w:sz w:val="28"/>
          <w:szCs w:val="28"/>
          <w:rtl w:val="true"/>
          <w:lang w:bidi="fa-IR"/>
        </w:rPr>
        <w:t>.</w:t>
      </w:r>
    </w:p>
    <w:p>
      <w:pPr>
        <w:pStyle w:val="Heading4"/>
        <w:numPr>
          <w:ilvl w:val="3"/>
          <w:numId w:val="1"/>
        </w:numPr>
        <w:rPr/>
      </w:pPr>
      <w:bookmarkStart w:id="604" w:name="__RefHeading___Toc643729_222507752"/>
      <w:bookmarkStart w:id="605" w:name="_Toc237"/>
      <w:bookmarkEnd w:id="604"/>
      <w:r>
        <w:rPr/>
        <w:t>2-3</w:t>
      </w:r>
      <w:r>
        <w:rPr>
          <w:rtl w:val="true"/>
        </w:rPr>
        <w:t xml:space="preserve">. </w:t>
      </w:r>
      <w:r>
        <w:rPr>
          <w:rtl w:val="true"/>
        </w:rPr>
        <w:t>دورکردن مردم از مرجعیت و روحانیت</w:t>
      </w:r>
      <w:bookmarkEnd w:id="605"/>
    </w:p>
    <w:p>
      <w:pPr>
        <w:pStyle w:val="BookText"/>
        <w:rPr/>
      </w:pPr>
      <w:r>
        <w:rPr>
          <w:rFonts w:ascii="IRNazanin" w:hAnsi="IRNazanin" w:eastAsia="IRNazanin"/>
          <w:color w:val="111111"/>
          <w:sz w:val="28"/>
          <w:sz w:val="28"/>
          <w:szCs w:val="28"/>
          <w:rtl w:val="true"/>
          <w:lang w:bidi="fa-IR"/>
        </w:rPr>
        <w:t>بر دوست و دشمن روشن است که روحانیت آگاه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جایگاه والای مرجعیت، در دوام فرهنگ شیعی و دور‌کردن مردم از بی‌راهه‌ها در طول تاریخ نقش ارزنده و کلیدی داشته‌اند و دوری از روحانیت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زمینة همواری را برای جولان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انحرافی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سازان انحرافات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مقام روحانیت و مرجعیت را در نگاه هواداران پایین آورده، آنها را از گرد چراغ راهنمایی ایشان دور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جایگاه دانشمندان دین و فقها در نگهداری دین در عصر غیبت جایگاه ویژه و ارزشمندی است به‌طور معمول مدعیان برای برداشتن این مانع به رودررویی آشکار و پنهان با این مساله پرداخته‌اند تا بتوانند پس از تضعیف پایگاه مردمی آنان، برای خود و ادعاهای خود جایگاهی فراهم کنند، در اینجا به نمونه‌ای از ادعاها و شگردهای شگفت‌انگیز یکی از مدعیان معاصر اشاره می‌کنیم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در یکی از سخنرانی‌های خود بر لزوم وجود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به میان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وقایع پیش و بعد از ظهور را مفصل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جلسه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بشر بیان می‌کند که اکنون هادی در جامعه وجود ندارد و ما هم فقط سفره معانی باز کرده‌ایم، ولی بر پایة همین سلسله دروس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حاوی نفی اهمیت فقاهت و نیز حاوی ادعای ارتباط خاص با غیب و ملکوت و… است، در واقع خود را مصداق آن هادی معرفی می‌کند که مقامش در حد ائمه هدی </w:t>
      </w:r>
      <w:bookmarkStart w:id="606" w:name="pg12658_166934"/>
    </w:p>
    <w:p>
      <w:pPr>
        <w:pStyle w:val="BookText"/>
        <w:rPr/>
      </w:pPr>
      <w:bookmarkEnd w:id="606"/>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حتی حوادث زلزله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حادثه کوی 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اسحاق رابین را به خود نسبت می‌دهد و می‌گوید ما از خدا خواستیم و او انجام داده حتی در جایی به حضرت موسی هشدار می‌دهد که جلوی اسرائیلی‌ها را بگیر و الا من خودم اقدام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اطرافیان وی هم غافل از تناقضات موجود در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فایده انقلاب و علم و فقاهت یا بی‌ثمر بودن آنها، وجود یا عدم وجود نایب خاص در زمان غیبت امام زمان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کلام ظاهراً مستند او را خورده‌اند؛ اما با جمع‌بندی مطالب او و دقت علمی و دینی در آنها، انحرافات روشن می‌شود؛ ولی پیروان با تکیه بر ظواهر و توهم تقویت شدن حس غیبی خود، چشم بسته، مطالب او را پذیرفته‌اند</w:t>
      </w:r>
      <w:r>
        <w:rPr>
          <w:rFonts w:eastAsia="IRNazanin" w:cs="IRNazanin"/>
          <w:color w:val="111111"/>
          <w:sz w:val="28"/>
          <w:szCs w:val="28"/>
          <w:rtl w:val="true"/>
          <w:lang w:bidi="fa-IR"/>
        </w:rPr>
        <w:t>.</w:t>
      </w:r>
      <w:r>
        <w:rPr>
          <w:rStyle w:val="FootnoteAnchor"/>
          <w:rtl w:val="true"/>
        </w:rPr>
        <w:footnoteReference w:id="255"/>
      </w:r>
    </w:p>
    <w:p>
      <w:pPr>
        <w:pStyle w:val="Heading4"/>
        <w:numPr>
          <w:ilvl w:val="3"/>
          <w:numId w:val="1"/>
        </w:numPr>
        <w:rPr/>
      </w:pPr>
      <w:bookmarkStart w:id="607" w:name="__RefHeading___Toc643731_222507752"/>
      <w:bookmarkStart w:id="608" w:name="_Toc238"/>
      <w:bookmarkEnd w:id="607"/>
      <w:r>
        <w:rPr/>
        <w:t>2-4</w:t>
      </w:r>
      <w:r>
        <w:rPr>
          <w:rtl w:val="true"/>
        </w:rPr>
        <w:t xml:space="preserve"> .  </w:t>
      </w:r>
      <w:r>
        <w:rPr>
          <w:rtl w:val="true"/>
        </w:rPr>
        <w:t>خرافه پردازی</w:t>
      </w:r>
      <w:bookmarkEnd w:id="608"/>
    </w:p>
    <w:p>
      <w:pPr>
        <w:pStyle w:val="BookText"/>
        <w:rPr/>
      </w:pPr>
      <w:r>
        <w:rPr>
          <w:rFonts w:ascii="IRNazanin" w:hAnsi="IRNazanin" w:eastAsia="IRNazanin"/>
          <w:color w:val="111111"/>
          <w:sz w:val="28"/>
          <w:sz w:val="28"/>
          <w:szCs w:val="28"/>
          <w:rtl w:val="true"/>
          <w:lang w:bidi="fa-IR"/>
        </w:rPr>
        <w:t>مهدویت، زلال پاکی است که در گذر از مسیر تاریخ بیشترین طمع بدان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 منحرفان این زلال را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خوش برخی خرافات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امروزه نه فقط از دامنة آن کم نشده که بر دامنة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 باطلی است که گفته می‌شود گسترش دانش، خرافه‌گرایی را ریشه‌کن کرده یا به حد اقل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انسان روزی را در میان تودة مردم سپری کند و با آنها هم‌سخن شود آنگاه روشن خواهد شد که البته از خرافات ناآگاهانة دوره‌های پیشین کاسته و برخی خرافات متمدنانه رواج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شگرد گسترش خرافات یکی از ابزار جریان‌های انحرافی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نماز جماعت به امامت حضرت مهدی علیه‌السلام و پهن‌کردن سجاده، ساخت برخی مکان‌ها و انتساب آن به حضرت مهدی علیه‌السلام و… نمونه‌هایی از این خرافه‌پردازی است</w:t>
      </w:r>
      <w:r>
        <w:rPr>
          <w:rFonts w:eastAsia="IRNazanin" w:cs="IRNazanin"/>
          <w:color w:val="111111"/>
          <w:sz w:val="28"/>
          <w:szCs w:val="28"/>
          <w:rtl w:val="true"/>
          <w:lang w:bidi="fa-IR"/>
        </w:rPr>
        <w:t>.</w:t>
      </w:r>
    </w:p>
    <w:p>
      <w:pPr>
        <w:pStyle w:val="Heading4"/>
        <w:numPr>
          <w:ilvl w:val="3"/>
          <w:numId w:val="1"/>
        </w:numPr>
        <w:rPr/>
      </w:pPr>
      <w:bookmarkStart w:id="609" w:name="__RefHeading___Toc643733_222507752"/>
      <w:bookmarkStart w:id="610" w:name="_Toc239"/>
      <w:bookmarkEnd w:id="609"/>
      <w:r>
        <w:rPr/>
        <w:t>2-5</w:t>
      </w:r>
      <w:r>
        <w:rPr>
          <w:rtl w:val="true"/>
        </w:rPr>
        <w:t xml:space="preserve">. </w:t>
      </w:r>
      <w:r>
        <w:rPr>
          <w:rtl w:val="true"/>
        </w:rPr>
        <w:t>عوام</w:t>
      </w:r>
      <w:r>
        <w:rPr>
          <w:rtl w:val="true"/>
        </w:rPr>
        <w:softHyphen/>
      </w:r>
      <w:r>
        <w:rPr>
          <w:rtl w:val="true"/>
        </w:rPr>
        <w:t>زدگی</w:t>
      </w:r>
      <w:bookmarkEnd w:id="61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پیروی از نادانی نادانان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 آسیبی است نابودکننده برای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دینی، آموزه‌هایی که به خردورزی و به دست‌آوردن آگاهی پافشاری و سفارش فراوان کرده </w:t>
      </w:r>
      <w:bookmarkStart w:id="611" w:name="pg12658_166936"/>
    </w:p>
    <w:p>
      <w:pPr>
        <w:pStyle w:val="BookText"/>
        <w:rPr/>
      </w:pPr>
      <w:bookmarkEnd w:id="61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انحرافی در فهم و نقل خویش بسیار پیرو خرسندی و ناخرسندی عوامند تا آنان را همواره گرد خویش نگه دارند</w:t>
      </w:r>
      <w:r>
        <w:rPr>
          <w:rFonts w:eastAsia="IRNazanin" w:cs="IRNazanin"/>
          <w:color w:val="111111"/>
          <w:sz w:val="28"/>
          <w:szCs w:val="28"/>
          <w:rtl w:val="true"/>
          <w:lang w:bidi="fa-IR"/>
        </w:rPr>
        <w:t>.</w:t>
      </w:r>
    </w:p>
    <w:p>
      <w:pPr>
        <w:pStyle w:val="Heading4"/>
        <w:numPr>
          <w:ilvl w:val="3"/>
          <w:numId w:val="1"/>
        </w:numPr>
        <w:rPr/>
      </w:pPr>
      <w:bookmarkStart w:id="612" w:name="__RefHeading___Toc643735_222507752"/>
      <w:bookmarkStart w:id="613" w:name="_Toc240"/>
      <w:bookmarkEnd w:id="612"/>
      <w:r>
        <w:rPr/>
        <w:t>2-6</w:t>
      </w:r>
      <w:r>
        <w:rPr>
          <w:rtl w:val="true"/>
        </w:rPr>
        <w:t xml:space="preserve">. </w:t>
      </w:r>
      <w:r>
        <w:rPr>
          <w:rtl w:val="true"/>
        </w:rPr>
        <w:t>خودمرکزی و مریدپروری</w:t>
      </w:r>
      <w:bookmarkEnd w:id="613"/>
    </w:p>
    <w:p>
      <w:pPr>
        <w:pStyle w:val="BookText"/>
        <w:rPr/>
      </w:pPr>
      <w:r>
        <w:rPr>
          <w:rFonts w:ascii="IRNazanin" w:hAnsi="IRNazanin" w:eastAsia="IRNazanin"/>
          <w:color w:val="111111"/>
          <w:sz w:val="28"/>
          <w:sz w:val="28"/>
          <w:szCs w:val="28"/>
          <w:rtl w:val="true"/>
          <w:lang w:bidi="fa-IR"/>
        </w:rPr>
        <w:t>در بیشتر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انحرافی،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سازان همواره خود را به جای حقیقت، محور قرار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 دیگران را فروتر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که در رتبة آنها قرار گیرند؛ از این رو پیروان خود را از توجه به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دانشمندان علوم دینی، برحذر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تا مبادا با رجوع به آنان، شیّادی آنها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نمونة روشن این ویژگی در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منحرف معاصر، همان گونه که یاد شد، دورکردن افراد از تقلید و پیروی از مراجع تقلید است که با ایجاد شک و تردید در اصل تقلید و گاهی در اعتبار مراجع، پیروی از خود را برای آنان کافی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بیشتر خود را دارای کرامات و توان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شگرف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با این شگرد همواره نوعی دل‌نگرانی در طرفداران خود در گریز از اطراف خود پدید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 سیروسلوک 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معرفی خود به عنوان استاد اخلاق و عرفان از این موارد است</w:t>
      </w:r>
      <w:r>
        <w:rPr>
          <w:rFonts w:eastAsia="IRNazanin" w:cs="IRNazanin"/>
          <w:color w:val="111111"/>
          <w:sz w:val="28"/>
          <w:szCs w:val="28"/>
          <w:rtl w:val="true"/>
          <w:lang w:bidi="fa-IR"/>
        </w:rPr>
        <w:t>.</w:t>
      </w:r>
    </w:p>
    <w:p>
      <w:pPr>
        <w:pStyle w:val="Heading4"/>
        <w:numPr>
          <w:ilvl w:val="3"/>
          <w:numId w:val="1"/>
        </w:numPr>
        <w:rPr/>
      </w:pPr>
      <w:bookmarkStart w:id="614" w:name="__RefHeading___Toc643737_222507752"/>
      <w:bookmarkStart w:id="615" w:name="_Toc241"/>
      <w:bookmarkEnd w:id="614"/>
      <w:r>
        <w:rPr/>
        <w:t>2-7</w:t>
      </w:r>
      <w:r>
        <w:rPr>
          <w:rtl w:val="true"/>
        </w:rPr>
        <w:t xml:space="preserve">. </w:t>
      </w:r>
      <w:r>
        <w:rPr>
          <w:rtl w:val="true"/>
        </w:rPr>
        <w:t>بهره از سخنان چندپهلو</w:t>
      </w:r>
      <w:bookmarkEnd w:id="61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چنگ‌زدن به روایات سست، ساختگی و چندپهلو از دیگر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سازان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نیز همچون آیات قرآن دارای محکم و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برای نیل به اهداف شیطانی خود آیات متشابه را دستاویز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به شدّت سرزنش کرده، آنها را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معرفی کرده 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مریض شده است</w:t>
      </w:r>
      <w:r>
        <w:rPr>
          <w:rFonts w:eastAsia="IRNazanin" w:cs="IRNazanin"/>
          <w:color w:val="111111"/>
          <w:sz w:val="28"/>
          <w:szCs w:val="28"/>
          <w:rtl w:val="true"/>
          <w:lang w:bidi="fa-IR"/>
        </w:rPr>
        <w:t>.</w:t>
      </w:r>
      <w:r>
        <w:rPr>
          <w:rStyle w:val="FootnoteAnchor"/>
          <w:rtl w:val="true"/>
        </w:rPr>
        <w:footnoteReference w:id="256"/>
      </w:r>
      <w:bookmarkStart w:id="616" w:name="pg12658_166938"/>
    </w:p>
    <w:p>
      <w:pPr>
        <w:pStyle w:val="BookText"/>
        <w:rPr/>
      </w:pPr>
      <w:bookmarkEnd w:id="616"/>
      <w:r>
        <w:rPr>
          <w:rFonts w:ascii="IRNazanin" w:hAnsi="IRNazanin" w:eastAsia="IRNazanin"/>
          <w:color w:val="111111"/>
          <w:sz w:val="28"/>
          <w:sz w:val="28"/>
          <w:szCs w:val="28"/>
          <w:rtl w:val="true"/>
          <w:lang w:bidi="fa-IR"/>
        </w:rPr>
        <w:t>بنابراین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مهم عموم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انحرافی،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سازان آنها از گفتارهایی است که بر معانی گوناگونی قابل حمل است تا در هنگامه‌های گرفتاری با تفسیری گونه‌گون خود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نبود روشنی در سخن و چنگ‌زدن به سخنان مبهم و گنگ است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حتی برای برخی از طرفداران نیز غیر قابل فهم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نمونة روشن آن در تطبیق‌های نادرست در نشانه‌های ظهور است که امروزه برخی افراد انجام می‌دهند</w:t>
      </w:r>
      <w:r>
        <w:rPr>
          <w:rFonts w:eastAsia="IRNazanin" w:cs="IRNazanin"/>
          <w:color w:val="111111"/>
          <w:sz w:val="28"/>
          <w:szCs w:val="28"/>
          <w:rtl w:val="true"/>
          <w:lang w:bidi="fa-IR"/>
        </w:rPr>
        <w:t>.</w:t>
      </w:r>
    </w:p>
    <w:p>
      <w:pPr>
        <w:pStyle w:val="Heading4"/>
        <w:numPr>
          <w:ilvl w:val="3"/>
          <w:numId w:val="1"/>
        </w:numPr>
        <w:rPr/>
      </w:pPr>
      <w:bookmarkStart w:id="617" w:name="__RefHeading___Toc643739_222507752"/>
      <w:bookmarkStart w:id="618" w:name="_Toc242"/>
      <w:bookmarkEnd w:id="617"/>
      <w:r>
        <w:rPr/>
        <w:t>2-8</w:t>
      </w:r>
      <w:r>
        <w:rPr>
          <w:rtl w:val="true"/>
        </w:rPr>
        <w:t xml:space="preserve"> . </w:t>
      </w:r>
      <w:r>
        <w:rPr>
          <w:rtl w:val="true"/>
        </w:rPr>
        <w:t>دادن شأن و جایگاه دروغین به هوادارن خود</w:t>
      </w:r>
      <w:bookmarkEnd w:id="618"/>
    </w:p>
    <w:p>
      <w:pPr>
        <w:pStyle w:val="BookText"/>
        <w:rPr/>
      </w:pPr>
      <w:r>
        <w:rPr>
          <w:rFonts w:ascii="IRNazanin" w:hAnsi="IRNazanin" w:eastAsia="IRNazanin"/>
          <w:color w:val="111111"/>
          <w:sz w:val="28"/>
          <w:sz w:val="28"/>
          <w:szCs w:val="28"/>
          <w:rtl w:val="true"/>
          <w:lang w:bidi="fa-IR"/>
        </w:rPr>
        <w:t>بی‌گمان هر انسانی از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خود خرسند و شادمان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بیشتر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انحرافی بزرگ‌داشت هواداران خود و سبک‌کردن دیگران است</w:t>
      </w:r>
      <w:r>
        <w:rPr>
          <w:rFonts w:eastAsia="IRNazanin" w:cs="IRNazanin"/>
          <w:color w:val="111111"/>
          <w:sz w:val="28"/>
          <w:szCs w:val="28"/>
          <w:rtl w:val="true"/>
          <w:lang w:bidi="fa-IR"/>
        </w:rPr>
        <w:t>.</w:t>
      </w:r>
    </w:p>
    <w:p>
      <w:pPr>
        <w:pStyle w:val="Heading4"/>
        <w:numPr>
          <w:ilvl w:val="3"/>
          <w:numId w:val="1"/>
        </w:numPr>
        <w:rPr/>
      </w:pPr>
      <w:bookmarkStart w:id="619" w:name="__RefHeading___Toc643741_222507752"/>
      <w:bookmarkStart w:id="620" w:name="_Toc243"/>
      <w:bookmarkEnd w:id="619"/>
      <w:r>
        <w:rPr/>
        <w:t>2-9</w:t>
      </w:r>
      <w:r>
        <w:rPr>
          <w:rtl w:val="true"/>
        </w:rPr>
        <w:t xml:space="preserve"> . </w:t>
      </w:r>
      <w:r>
        <w:rPr>
          <w:rtl w:val="true"/>
        </w:rPr>
        <w:t>بی‌ثباتی در باورها و پندارها</w:t>
      </w:r>
      <w:bookmarkEnd w:id="62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نااستواری در ابراز باور از ویژگی‌های کسانی است که بر حقیقت ثبات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سازانی که از آگاهی چندانی برخوردار نیستند که بیشتر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اینها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Heading4"/>
        <w:numPr>
          <w:ilvl w:val="3"/>
          <w:numId w:val="1"/>
        </w:numPr>
        <w:rPr/>
      </w:pPr>
      <w:bookmarkStart w:id="621" w:name="__RefHeading___Toc643743_222507752"/>
      <w:bookmarkStart w:id="622" w:name="_Toc244"/>
      <w:bookmarkEnd w:id="621"/>
      <w:r>
        <w:rPr/>
        <w:t>2-10</w:t>
      </w:r>
      <w:r>
        <w:rPr>
          <w:rtl w:val="true"/>
        </w:rPr>
        <w:t xml:space="preserve">. </w:t>
      </w:r>
      <w:r>
        <w:rPr>
          <w:rtl w:val="true"/>
        </w:rPr>
        <w:t>پیروی از خواسته</w:t>
      </w:r>
      <w:r>
        <w:rPr>
          <w:rtl w:val="true"/>
        </w:rPr>
        <w:softHyphen/>
      </w:r>
      <w:r>
        <w:rPr>
          <w:rtl w:val="true"/>
        </w:rPr>
        <w:t>های نفسانی</w:t>
      </w:r>
      <w:bookmarkEnd w:id="622"/>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حکایت از آن دارد که شمار فراوانی از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انحرافی از هواداران برای پاسخ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در انواع مختلف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وافری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اعترافات برخی سران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انحرافی از هواداران خود در سوءاسفاده‌های گوناگون از جمله جنسی گواه روشنی بر این ویژگی است</w:t>
      </w:r>
      <w:r>
        <w:rPr>
          <w:rFonts w:eastAsia="IRNazanin" w:cs="IRNazanin"/>
          <w:color w:val="111111"/>
          <w:sz w:val="28"/>
          <w:szCs w:val="28"/>
          <w:rtl w:val="true"/>
          <w:lang w:bidi="fa-IR"/>
        </w:rPr>
        <w:t>.</w:t>
      </w:r>
    </w:p>
    <w:p>
      <w:pPr>
        <w:pStyle w:val="Heading4"/>
        <w:numPr>
          <w:ilvl w:val="3"/>
          <w:numId w:val="1"/>
        </w:numPr>
        <w:rPr/>
      </w:pPr>
      <w:bookmarkStart w:id="623" w:name="__RefHeading___Toc643745_222507752"/>
      <w:bookmarkStart w:id="624" w:name="_Toc245"/>
      <w:bookmarkEnd w:id="623"/>
      <w:r>
        <w:rPr/>
        <w:t>2-11</w:t>
      </w:r>
      <w:r>
        <w:rPr>
          <w:rtl w:val="true"/>
        </w:rPr>
        <w:t xml:space="preserve">. </w:t>
      </w:r>
      <w:r>
        <w:rPr>
          <w:rtl w:val="true"/>
        </w:rPr>
        <w:t>سوءاستفاده از آشفتگی‌های سیاسی و اجتماعی</w:t>
      </w:r>
      <w:bookmarkEnd w:id="62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مهم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انحرافی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برداری از موقعیت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خاص سیاسی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سوکمندانه پس از انقلاب باشکوه ایران اسلامی بدون پدیدآوردن ظرفیت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بایسته برای پاسخ به عطش برآمده برای فراگیری معارف و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دینی، </w:t>
      </w:r>
      <w:bookmarkStart w:id="625" w:name="pg12658_166940"/>
    </w:p>
    <w:p>
      <w:pPr>
        <w:pStyle w:val="BookText"/>
        <w:rPr/>
      </w:pPr>
      <w:bookmarkEnd w:id="625"/>
      <w:r>
        <w:rPr>
          <w:rFonts w:ascii="IRNazanin" w:hAnsi="IRNazanin" w:eastAsia="IRNazanin"/>
          <w:color w:val="111111"/>
          <w:sz w:val="28"/>
          <w:sz w:val="28"/>
          <w:szCs w:val="28"/>
          <w:rtl w:val="true"/>
          <w:lang w:bidi="fa-IR"/>
        </w:rPr>
        <w:t>همواره شعلة این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پرفروغ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تلاش دست‌اندرکاران تبلیغ و ترویج معارف دینی در مقایسه با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 از آن، رشد بسیار فراوانی را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ولی این هرگز به معنای پاسخ فراگیر و همه جانبه به نیازهای جامعه در این فراگیری نیست و این خود بستر را برای افراد شیّاد در فرآوری انحرافات و ادعاهای دروغین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آنکه دشمنان این انقلاب در دهة نخست پیروزی انقلاب اسلامی، دانشمندان بزرگی را از انقلاب گرفتند</w:t>
      </w:r>
      <w:r>
        <w:rPr>
          <w:rFonts w:eastAsia="IRNazanin" w:cs="IRNazanin"/>
          <w:color w:val="111111"/>
          <w:sz w:val="28"/>
          <w:szCs w:val="28"/>
          <w:rtl w:val="true"/>
          <w:lang w:bidi="fa-IR"/>
        </w:rPr>
        <w:t>.</w:t>
      </w:r>
    </w:p>
    <w:p>
      <w:pPr>
        <w:pStyle w:val="Heading4"/>
        <w:numPr>
          <w:ilvl w:val="3"/>
          <w:numId w:val="1"/>
        </w:numPr>
        <w:rPr/>
      </w:pPr>
      <w:bookmarkStart w:id="626" w:name="__RefHeading___Toc643747_222507752"/>
      <w:bookmarkStart w:id="627" w:name="_Toc246"/>
      <w:bookmarkEnd w:id="626"/>
      <w:r>
        <w:rPr/>
        <w:t>2-12</w:t>
      </w:r>
      <w:r>
        <w:rPr>
          <w:rtl w:val="true"/>
        </w:rPr>
        <w:t xml:space="preserve">. </w:t>
      </w:r>
      <w:r>
        <w:rPr>
          <w:rtl w:val="true"/>
        </w:rPr>
        <w:t>بهره</w:t>
      </w:r>
      <w:r>
        <w:rPr>
          <w:rtl w:val="true"/>
        </w:rPr>
        <w:softHyphen/>
      </w:r>
      <w:r>
        <w:rPr>
          <w:rtl w:val="true"/>
        </w:rPr>
        <w:t>مندی از ویژگی</w:t>
      </w:r>
      <w:r>
        <w:rPr>
          <w:rtl w:val="true"/>
        </w:rPr>
        <w:softHyphen/>
      </w:r>
      <w:r>
        <w:rPr>
          <w:rtl w:val="true"/>
        </w:rPr>
        <w:t>های خاص ظاهری</w:t>
      </w:r>
      <w:bookmarkEnd w:id="627"/>
    </w:p>
    <w:p>
      <w:pPr>
        <w:pStyle w:val="BookText"/>
        <w:rPr/>
      </w:pPr>
      <w:r>
        <w:rPr>
          <w:rFonts w:ascii="IRNazanin" w:hAnsi="IRNazanin" w:eastAsia="IRNazanin"/>
          <w:color w:val="111111"/>
          <w:sz w:val="28"/>
          <w:sz w:val="28"/>
          <w:szCs w:val="28"/>
          <w:rtl w:val="true"/>
          <w:lang w:bidi="fa-IR"/>
        </w:rPr>
        <w:t>اگرچه گفته شده بسیاری ازجریان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سازان انحرافات، دارای ناهنجاریهای روانی بوده و از تعادل شخصیتی در رنج هستند، ولی برخی از این افراد دارای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شخصیتی خاص هستند که به راحتی با آن دیگران را فریب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کسوت به لباس روحانیت، سیدبودن،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مناسب، اخلاق خوش، برخورداری از بیان جذاب و تأثیرگذار و مانند آن</w:t>
      </w:r>
      <w:r>
        <w:rPr>
          <w:rFonts w:eastAsia="IRNazanin" w:cs="IRNazanin"/>
          <w:color w:val="111111"/>
          <w:sz w:val="28"/>
          <w:szCs w:val="28"/>
          <w:rtl w:val="true"/>
          <w:lang w:bidi="fa-IR"/>
        </w:rPr>
        <w:t>.</w:t>
      </w:r>
    </w:p>
    <w:p>
      <w:pPr>
        <w:pStyle w:val="Heading4"/>
        <w:numPr>
          <w:ilvl w:val="3"/>
          <w:numId w:val="1"/>
        </w:numPr>
        <w:rPr/>
      </w:pPr>
      <w:bookmarkStart w:id="628" w:name="__RefHeading___Toc643749_222507752"/>
      <w:bookmarkStart w:id="629" w:name="_Toc247"/>
      <w:bookmarkEnd w:id="628"/>
      <w:r>
        <w:rPr/>
        <w:t>2-13</w:t>
      </w:r>
      <w:r>
        <w:rPr>
          <w:rtl w:val="true"/>
        </w:rPr>
        <w:t xml:space="preserve">. </w:t>
      </w:r>
      <w:r>
        <w:rPr>
          <w:rtl w:val="true"/>
        </w:rPr>
        <w:t>ترویج پندارهای ادعایی عجیب وغریب</w:t>
      </w:r>
      <w:bookmarkEnd w:id="629"/>
    </w:p>
    <w:p>
      <w:pPr>
        <w:pStyle w:val="BookText"/>
        <w:rPr/>
      </w:pPr>
      <w:r>
        <w:rPr>
          <w:rFonts w:ascii="IRNazanin" w:hAnsi="IRNazanin" w:eastAsia="IRNazanin"/>
          <w:color w:val="111111"/>
          <w:sz w:val="28"/>
          <w:sz w:val="28"/>
          <w:szCs w:val="28"/>
          <w:rtl w:val="true"/>
          <w:lang w:bidi="fa-IR"/>
        </w:rPr>
        <w:t>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جریان‌سازان منحرف برخی ادعاهای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است که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نگاه جوانان را به خود جلب می‌کند و وقتی روایات را می‌بینیم اثری از این ادعاها به چشم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ادعای همسری امام زمان از برخی بانوان جریان‌ساز، تا طرح مباحثی چون ظهور صغرا پیش از ظهور و ملک کبیر هنگام ظهور و مانند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این پندارها دانست</w:t>
      </w:r>
      <w:r>
        <w:rPr>
          <w:rFonts w:eastAsia="IRNazanin" w:cs="IRNazanin"/>
          <w:color w:val="111111"/>
          <w:sz w:val="28"/>
          <w:szCs w:val="28"/>
          <w:rtl w:val="true"/>
          <w:lang w:bidi="fa-IR"/>
        </w:rPr>
        <w:t>.</w:t>
      </w:r>
    </w:p>
    <w:p>
      <w:pPr>
        <w:pStyle w:val="Heading3"/>
        <w:numPr>
          <w:ilvl w:val="2"/>
          <w:numId w:val="1"/>
        </w:numPr>
        <w:rPr/>
      </w:pPr>
      <w:bookmarkStart w:id="630" w:name="__RefHeading___Toc643751_222507752"/>
      <w:bookmarkStart w:id="631" w:name="_Toc248"/>
      <w:bookmarkEnd w:id="630"/>
      <w:r>
        <w:rPr/>
        <w:t>3</w:t>
      </w:r>
      <w:r>
        <w:rPr>
          <w:rtl w:val="true"/>
        </w:rPr>
        <w:t xml:space="preserve">. </w:t>
      </w:r>
      <w:r>
        <w:rPr>
          <w:rtl w:val="true"/>
        </w:rPr>
        <w:t>پی</w:t>
      </w:r>
      <w:r>
        <w:rPr>
          <w:rtl w:val="true"/>
        </w:rPr>
        <w:softHyphen/>
      </w:r>
      <w:r>
        <w:rPr>
          <w:rtl w:val="true"/>
        </w:rPr>
        <w:t>آمدهای جریان</w:t>
      </w:r>
      <w:r>
        <w:rPr>
          <w:rtl w:val="true"/>
        </w:rPr>
        <w:softHyphen/>
      </w:r>
      <w:r>
        <w:rPr>
          <w:rtl w:val="true"/>
        </w:rPr>
        <w:t>های انحرافی</w:t>
      </w:r>
      <w:bookmarkEnd w:id="631"/>
    </w:p>
    <w:p>
      <w:pPr>
        <w:pStyle w:val="Heading4"/>
        <w:numPr>
          <w:ilvl w:val="3"/>
          <w:numId w:val="1"/>
        </w:numPr>
        <w:rPr/>
      </w:pPr>
      <w:bookmarkStart w:id="632" w:name="__RefHeading___Toc643753_222507752"/>
      <w:bookmarkStart w:id="633" w:name="_Toc249"/>
      <w:bookmarkEnd w:id="632"/>
      <w:r>
        <w:rPr/>
        <w:t>3-1</w:t>
      </w:r>
      <w:r>
        <w:rPr>
          <w:rtl w:val="true"/>
        </w:rPr>
        <w:t xml:space="preserve">. </w:t>
      </w:r>
      <w:r>
        <w:rPr>
          <w:rtl w:val="true"/>
        </w:rPr>
        <w:t>بی‌ثباتی در باورهای دینی</w:t>
      </w:r>
      <w:bookmarkEnd w:id="633"/>
    </w:p>
    <w:p>
      <w:pPr>
        <w:pStyle w:val="BookText"/>
        <w:rPr/>
      </w:pPr>
      <w:r>
        <w:rPr>
          <w:rFonts w:ascii="IRNazanin" w:hAnsi="IRNazanin" w:eastAsia="IRNazanin"/>
          <w:color w:val="111111"/>
          <w:sz w:val="28"/>
          <w:sz w:val="28"/>
          <w:szCs w:val="28"/>
          <w:rtl w:val="true"/>
          <w:lang w:bidi="fa-IR"/>
        </w:rPr>
        <w:t>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پیامد این انحرافات، پدیدآوردن تزلزل در باورهای دینی و مذهبی افراد است که این خود گناه بزرگ و نابخشودنی است که مصداق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یصدون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نیستند افراد هوادار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انحرافی که پس از مدتی به کلی از دین سرخورده شده و همة دین را خرافه و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هیچ نیروی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دل نمی‌دهند</w:t>
      </w:r>
      <w:r>
        <w:rPr>
          <w:rFonts w:eastAsia="IRNazanin" w:cs="IRNazanin"/>
          <w:color w:val="111111"/>
          <w:sz w:val="28"/>
          <w:szCs w:val="28"/>
          <w:rtl w:val="true"/>
          <w:lang w:bidi="fa-IR"/>
        </w:rPr>
        <w:t xml:space="preserve">. </w:t>
      </w:r>
      <w:bookmarkStart w:id="634" w:name="pg12658_166942"/>
    </w:p>
    <w:p>
      <w:pPr>
        <w:pStyle w:val="Heading4"/>
        <w:numPr>
          <w:ilvl w:val="3"/>
          <w:numId w:val="1"/>
        </w:numPr>
        <w:rPr/>
      </w:pPr>
      <w:bookmarkStart w:id="635" w:name="__RefHeading___Toc643755_222507752"/>
      <w:bookmarkStart w:id="636" w:name="_Toc250"/>
      <w:bookmarkEnd w:id="634"/>
      <w:bookmarkEnd w:id="635"/>
      <w:r>
        <w:rPr/>
        <w:t>3-2</w:t>
      </w:r>
      <w:r>
        <w:rPr>
          <w:rtl w:val="true"/>
        </w:rPr>
        <w:t xml:space="preserve">. </w:t>
      </w:r>
      <w:r>
        <w:rPr>
          <w:rtl w:val="true"/>
        </w:rPr>
        <w:t>از بین بردن سرمایه</w:t>
      </w:r>
      <w:r>
        <w:rPr>
          <w:rtl w:val="true"/>
        </w:rPr>
        <w:softHyphen/>
      </w:r>
      <w:r>
        <w:rPr>
          <w:rtl w:val="true"/>
        </w:rPr>
        <w:t>های فکری</w:t>
      </w:r>
      <w:bookmarkEnd w:id="636"/>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گمان امروزه مکتب اهل بیت علیهم‌السلام بیش از هر زمان دیگر نیازمند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از نیروهای فکری در عرصه‌های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ازدست‌رفتن این نیروها در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انحرافی و هدررفت توان فکری آنها خسارت بزرگی به پیروان اهل بیت علیهم‌السلام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Heading3"/>
        <w:numPr>
          <w:ilvl w:val="2"/>
          <w:numId w:val="1"/>
        </w:numPr>
        <w:rPr/>
      </w:pPr>
      <w:bookmarkStart w:id="637" w:name="__RefHeading___Toc643757_222507752"/>
      <w:bookmarkStart w:id="638" w:name="_Toc251"/>
      <w:bookmarkEnd w:id="637"/>
      <w:r>
        <w:rPr>
          <w:rtl w:val="true"/>
        </w:rPr>
        <w:t>راه</w:t>
      </w:r>
      <w:r>
        <w:rPr>
          <w:rtl w:val="true"/>
        </w:rPr>
        <w:softHyphen/>
      </w:r>
      <w:r>
        <w:rPr>
          <w:rtl w:val="true"/>
        </w:rPr>
        <w:t>برد رودررویی با جریان</w:t>
      </w:r>
      <w:r>
        <w:rPr>
          <w:rtl w:val="true"/>
        </w:rPr>
        <w:softHyphen/>
      </w:r>
      <w:r>
        <w:rPr>
          <w:rtl w:val="true"/>
        </w:rPr>
        <w:t>های انحرافی</w:t>
      </w:r>
      <w:bookmarkEnd w:id="638"/>
    </w:p>
    <w:p>
      <w:pPr>
        <w:pStyle w:val="Heading4"/>
        <w:numPr>
          <w:ilvl w:val="3"/>
          <w:numId w:val="1"/>
        </w:numPr>
        <w:rPr/>
      </w:pPr>
      <w:bookmarkStart w:id="639" w:name="__RefHeading___Toc643759_222507752"/>
      <w:bookmarkStart w:id="640" w:name="_Toc252"/>
      <w:bookmarkEnd w:id="639"/>
      <w:r>
        <w:rPr>
          <w:rtl w:val="true"/>
        </w:rPr>
        <w:t>اشاره</w:t>
      </w:r>
      <w:bookmarkEnd w:id="640"/>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انحرافی در مهدویت، افزون بر تخریب باورهای اصیل و هویت دینی و فرهنگی جامعه، امنیت ملی را نیز به چالش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از این رو افزون بر راهکارهای فرهنگی و علمی، برخورد امنیتی و عملی نیز امری ناگزیر و اجتناب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مندان به مباحث اصیل مهدوی در کنار تلاش در نگهداری خویش و دیگران جهت در امان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ماندن از ورود در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انحرافی،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تمام کوشش خود را برای رودررویی با این خطرات بزرگ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مسئولیت دانشمندان دین در این زمینه بس بزرگ و دارای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رودررویی با این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 نوع کار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 و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عملی</w:t>
      </w:r>
    </w:p>
    <w:p>
      <w:pPr>
        <w:pStyle w:val="Heading4"/>
        <w:numPr>
          <w:ilvl w:val="3"/>
          <w:numId w:val="1"/>
        </w:numPr>
        <w:rPr/>
      </w:pPr>
      <w:bookmarkStart w:id="641" w:name="__RefHeading___Toc643761_222507752"/>
      <w:bookmarkStart w:id="642" w:name="_Toc253"/>
      <w:bookmarkEnd w:id="641"/>
      <w:r>
        <w:rPr/>
        <w:t>1</w:t>
      </w:r>
      <w:r>
        <w:rPr>
          <w:rtl w:val="true"/>
        </w:rPr>
        <w:t xml:space="preserve">. </w:t>
      </w:r>
      <w:r>
        <w:rPr>
          <w:rtl w:val="true"/>
        </w:rPr>
        <w:t>رفتار</w:t>
      </w:r>
      <w:r>
        <w:rPr>
          <w:rtl w:val="true"/>
        </w:rPr>
        <w:softHyphen/>
      </w:r>
      <w:r>
        <w:rPr>
          <w:rtl w:val="true"/>
        </w:rPr>
        <w:t>های علمی</w:t>
      </w:r>
      <w:bookmarkEnd w:id="642"/>
    </w:p>
    <w:p>
      <w:pPr>
        <w:pStyle w:val="Heading5"/>
        <w:numPr>
          <w:ilvl w:val="4"/>
          <w:numId w:val="1"/>
        </w:numPr>
        <w:rPr/>
      </w:pPr>
      <w:bookmarkStart w:id="643" w:name="__RefHeading___Toc643763_222507752"/>
      <w:bookmarkStart w:id="644" w:name="_Toc254"/>
      <w:bookmarkEnd w:id="643"/>
      <w:r>
        <w:rPr/>
        <w:t>1-1</w:t>
      </w:r>
      <w:r>
        <w:rPr>
          <w:rtl w:val="true"/>
        </w:rPr>
        <w:t xml:space="preserve">. </w:t>
      </w:r>
      <w:r>
        <w:rPr>
          <w:rtl w:val="true"/>
        </w:rPr>
        <w:t>بهره</w:t>
      </w:r>
      <w:r>
        <w:rPr>
          <w:rtl w:val="true"/>
        </w:rPr>
        <w:softHyphen/>
      </w:r>
      <w:r>
        <w:rPr>
          <w:rtl w:val="true"/>
        </w:rPr>
        <w:t>گیری از آگاهی</w:t>
      </w:r>
      <w:r>
        <w:rPr>
          <w:rtl w:val="true"/>
        </w:rPr>
        <w:softHyphen/>
      </w:r>
      <w:r>
        <w:rPr>
          <w:rtl w:val="true"/>
        </w:rPr>
        <w:t>های معتبر</w:t>
      </w:r>
      <w:bookmarkEnd w:id="644"/>
    </w:p>
    <w:p>
      <w:pPr>
        <w:pStyle w:val="BookText"/>
        <w:rPr/>
      </w:pPr>
      <w:r>
        <w:rPr>
          <w:rFonts w:ascii="IRNazanin" w:hAnsi="IRNazanin" w:eastAsia="IRNazanin"/>
          <w:color w:val="111111"/>
          <w:sz w:val="28"/>
          <w:sz w:val="28"/>
          <w:szCs w:val="28"/>
          <w:rtl w:val="true"/>
          <w:lang w:bidi="fa-IR"/>
        </w:rPr>
        <w:t>دانش، سرآغاز هر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گفته شد نادانی از باورهای راستین مهدویت، سببی پایه‌ای برای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انحرافی است؛ از این رو نخستین گام برای رهایی از این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افزایش آگاهی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معتبر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عرصه برای این فراگیری چنگ‌زدن به آیات قرآن و روایات معتبر معصومان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بُعد علمی و شناختی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دلسوزان در این عرصه به گونه‌ای حساب‌شده، خردمندانه و کارشناسانه وارد صحنه شده به وظایف خود به خوبی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این آگاهی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دو بعد اساسی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bookmarkStart w:id="645" w:name="pg12658_166944"/>
    </w:p>
    <w:p>
      <w:pPr>
        <w:pStyle w:val="BookText"/>
        <w:rPr/>
      </w:pPr>
      <w:bookmarkEnd w:id="645"/>
      <w:r>
        <w:rPr>
          <w:rFonts w:ascii="IRNazanin" w:hAnsi="IRNazanin" w:eastAsia="IRNazanin"/>
          <w:color w:val="111111"/>
          <w:sz w:val="28"/>
          <w:sz w:val="28"/>
          <w:szCs w:val="28"/>
          <w:rtl w:val="true"/>
          <w:lang w:bidi="fa-IR"/>
        </w:rPr>
        <w:t>در معارف معتبر و اصیل مهدوی و آنگاه شناخت انحرافات،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آمدهای آنها، در این راه نورانی</w:t>
      </w:r>
      <w:r>
        <w:rPr>
          <w:rFonts w:eastAsia="IRNazanin" w:cs="IRNazanin"/>
          <w:color w:val="111111"/>
          <w:sz w:val="28"/>
          <w:szCs w:val="28"/>
          <w:rtl w:val="true"/>
          <w:lang w:bidi="fa-IR"/>
        </w:rPr>
        <w:t>.</w:t>
      </w:r>
    </w:p>
    <w:p>
      <w:pPr>
        <w:pStyle w:val="Heading5"/>
        <w:numPr>
          <w:ilvl w:val="4"/>
          <w:numId w:val="1"/>
        </w:numPr>
        <w:rPr/>
      </w:pPr>
      <w:bookmarkStart w:id="646" w:name="__RefHeading___Toc643765_222507752"/>
      <w:bookmarkStart w:id="647" w:name="_Toc255"/>
      <w:bookmarkEnd w:id="646"/>
      <w:r>
        <w:rPr/>
        <w:t>1-2</w:t>
      </w:r>
      <w:r>
        <w:rPr>
          <w:rtl w:val="true"/>
        </w:rPr>
        <w:t xml:space="preserve">. </w:t>
      </w:r>
      <w:r>
        <w:rPr>
          <w:rtl w:val="true"/>
        </w:rPr>
        <w:t>طراحی سامانة مهندسی فراگیر مهدویت</w:t>
      </w:r>
      <w:bookmarkEnd w:id="647"/>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ناهمگونی و ناهماهنگی میان عناصر فرهنگ دینی، زمینه را برای گسترش انحرافات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سطحی، جزئی و جزیره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مباحث مهدویت از عوامل مهم شکل‌گیری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انحرافی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فراگیر و کلان به معارف مهدوی با یک سامانة مهندسی کلان از سوی متولیان فرهنگی اعم از روحانیون و فرهنگیان، به صورت هماهنگ،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سدّ نفوذناپذیری در برابر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این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ادامة حرکت آنها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سامانه از آن جهت ارزش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که شواهد حکایت از آن دارد که بسیاری از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انحرافات بزرگ منجر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در آغاز راه، چندان منحرف به چشم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از این رو بسیاری از کسانی که در این کج‌راهه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می‌افتند به سبب انحراف کند و آهسته، کمتر آن را احساس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نیز دارای ارزش است که تفاوت بنیادین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انحرافی در دوران معاصر نسبت به گذشته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آنها از ابزار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به نشر ناگهانی انحرافات کمک شایانی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آنکه همنوایی آنها با دشمنان 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بیگانگان مددرسان خوبی برای این منحرفان باشند</w:t>
      </w:r>
      <w:r>
        <w:rPr>
          <w:rFonts w:eastAsia="IRNazanin" w:cs="IRNazanin"/>
          <w:color w:val="111111"/>
          <w:sz w:val="28"/>
          <w:szCs w:val="28"/>
          <w:rtl w:val="true"/>
          <w:lang w:bidi="fa-IR"/>
        </w:rPr>
        <w:t>.</w:t>
      </w:r>
    </w:p>
    <w:p>
      <w:pPr>
        <w:pStyle w:val="Heading5"/>
        <w:numPr>
          <w:ilvl w:val="4"/>
          <w:numId w:val="1"/>
        </w:numPr>
        <w:rPr/>
      </w:pPr>
      <w:bookmarkStart w:id="648" w:name="__RefHeading___Toc643767_222507752"/>
      <w:bookmarkStart w:id="649" w:name="_Toc256"/>
      <w:bookmarkEnd w:id="648"/>
      <w:r>
        <w:rPr/>
        <w:t>1-3</w:t>
      </w:r>
      <w:r>
        <w:rPr>
          <w:rtl w:val="true"/>
        </w:rPr>
        <w:t xml:space="preserve">. </w:t>
      </w:r>
      <w:r>
        <w:rPr>
          <w:rtl w:val="true"/>
        </w:rPr>
        <w:t>پافشاری بر خردورزی و پرهیز از خرافات</w:t>
      </w:r>
      <w:bookmarkEnd w:id="649"/>
    </w:p>
    <w:p>
      <w:pPr>
        <w:pStyle w:val="BookText"/>
        <w:rPr/>
      </w:pPr>
      <w:r>
        <w:rPr>
          <w:rFonts w:ascii="IRNazanin" w:hAnsi="IRNazanin" w:eastAsia="IRNazanin"/>
          <w:color w:val="111111"/>
          <w:sz w:val="28"/>
          <w:sz w:val="28"/>
          <w:szCs w:val="28"/>
          <w:rtl w:val="true"/>
          <w:lang w:bidi="fa-IR"/>
        </w:rPr>
        <w:t>گفته شد یکی از ابزار مهم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سازان انحراف، چنگ‌زدن به امور پنداری و خرافی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راهبرد رودررویی با این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پافشاری بر خردمندانه‌بودن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مهدوی و بازشناخت آنها بر پایة روایات معتبر است که می‌تواند حقایق بسیاری را آشکار سازد و راه را بر منحرفان ببندد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بیشتر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انحرافی فاقد بنیان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قوی عقلی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سازان این حرکت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هواداران خود را به پرهیز از امور عقلانی سفارش و بیشتر آنها را در پندار و خیال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زمینه را برای مقابلة خردمندانه در برابر آنها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bookmarkStart w:id="650" w:name="pg12658_166946"/>
    </w:p>
    <w:p>
      <w:pPr>
        <w:pStyle w:val="BookText"/>
        <w:rPr/>
      </w:pPr>
      <w:bookmarkEnd w:id="650"/>
      <w:r>
        <w:rPr>
          <w:rFonts w:ascii="IRNazanin" w:hAnsi="IRNazanin" w:eastAsia="IRNazanin"/>
          <w:color w:val="111111"/>
          <w:sz w:val="28"/>
          <w:sz w:val="28"/>
          <w:szCs w:val="28"/>
          <w:rtl w:val="true"/>
          <w:lang w:bidi="fa-IR"/>
        </w:rPr>
        <w:t>ناگفته نگذرم، خطر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افتادن در دام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انحرافی اگرچه بیشتر گروه‌های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سواد و سادة جامعه را تهدید می‌کند، اما شواهد گواه آن است که پیچیدگی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انحرافی معاصر در بسیاری از موارد سبب شده تا برخی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تحصیل‌کردة جامعه نیز فریب برخی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سازها را خورده به انحراف کشیده شوند</w:t>
      </w:r>
      <w:r>
        <w:rPr>
          <w:rFonts w:eastAsia="IRNazanin" w:cs="IRNazanin"/>
          <w:color w:val="111111"/>
          <w:sz w:val="28"/>
          <w:szCs w:val="28"/>
          <w:rtl w:val="true"/>
          <w:lang w:bidi="fa-IR"/>
        </w:rPr>
        <w:t>.</w:t>
      </w:r>
    </w:p>
    <w:p>
      <w:pPr>
        <w:pStyle w:val="Heading4"/>
        <w:numPr>
          <w:ilvl w:val="3"/>
          <w:numId w:val="1"/>
        </w:numPr>
        <w:rPr/>
      </w:pPr>
      <w:bookmarkStart w:id="651" w:name="__RefHeading___Toc643769_222507752"/>
      <w:bookmarkStart w:id="652" w:name="_Toc257"/>
      <w:bookmarkEnd w:id="651"/>
      <w:r>
        <w:rPr/>
        <w:t>2</w:t>
      </w:r>
      <w:r>
        <w:rPr>
          <w:rtl w:val="true"/>
        </w:rPr>
        <w:t xml:space="preserve">. </w:t>
      </w:r>
      <w:r>
        <w:rPr>
          <w:rtl w:val="true"/>
        </w:rPr>
        <w:t>راه</w:t>
      </w:r>
      <w:r>
        <w:rPr>
          <w:rtl w:val="true"/>
        </w:rPr>
        <w:softHyphen/>
      </w:r>
      <w:r>
        <w:rPr>
          <w:rtl w:val="true"/>
        </w:rPr>
        <w:t>های عملی</w:t>
      </w:r>
      <w:bookmarkEnd w:id="652"/>
    </w:p>
    <w:p>
      <w:pPr>
        <w:pStyle w:val="Heading5"/>
        <w:numPr>
          <w:ilvl w:val="4"/>
          <w:numId w:val="1"/>
        </w:numPr>
        <w:rPr/>
      </w:pPr>
      <w:bookmarkStart w:id="653" w:name="__RefHeading___Toc643771_222507752"/>
      <w:bookmarkStart w:id="654" w:name="_Toc258"/>
      <w:bookmarkEnd w:id="653"/>
      <w:r>
        <w:rPr/>
        <w:t>2-1</w:t>
      </w:r>
      <w:r>
        <w:rPr>
          <w:rtl w:val="true"/>
        </w:rPr>
        <w:t xml:space="preserve">. </w:t>
      </w:r>
      <w:r>
        <w:rPr>
          <w:rtl w:val="true"/>
        </w:rPr>
        <w:t>افشاگری و پدید‌آوردن حساسیت</w:t>
      </w:r>
      <w:bookmarkEnd w:id="654"/>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گمان بزرگی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آمدهای ناگوار این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انحرافی راه را بر هر کوتاهی و مدارا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که این انحرافات از مواد افیونی بدتر است که آن جان آدمی را و این روح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هرگز کسی به مدارا با مسببین آلوده‌شدن جوانان به مواد افیونی خرسند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همگان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قشر فرهیخته جامعه است تا با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از فرصت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ممکن به افشاگری این جریان‌ها پرداخته،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جوانان را از دام این انحرافات دور کنند</w:t>
      </w:r>
      <w:r>
        <w:rPr>
          <w:rFonts w:eastAsia="IRNazanin" w:cs="IRNazanin"/>
          <w:color w:val="111111"/>
          <w:sz w:val="28"/>
          <w:szCs w:val="28"/>
          <w:rtl w:val="true"/>
          <w:lang w:bidi="fa-IR"/>
        </w:rPr>
        <w:t>.</w:t>
      </w:r>
    </w:p>
    <w:p>
      <w:pPr>
        <w:pStyle w:val="Heading5"/>
        <w:numPr>
          <w:ilvl w:val="4"/>
          <w:numId w:val="1"/>
        </w:numPr>
        <w:rPr/>
      </w:pPr>
      <w:bookmarkStart w:id="655" w:name="__RefHeading___Toc643773_222507752"/>
      <w:bookmarkStart w:id="656" w:name="_Toc259"/>
      <w:bookmarkEnd w:id="655"/>
      <w:r>
        <w:rPr/>
        <w:t>2-2</w:t>
      </w:r>
      <w:r>
        <w:rPr>
          <w:rtl w:val="true"/>
        </w:rPr>
        <w:t xml:space="preserve">. </w:t>
      </w:r>
      <w:r>
        <w:rPr>
          <w:rtl w:val="true"/>
        </w:rPr>
        <w:t>جلوگیری از کارهای</w:t>
      </w:r>
      <w:r>
        <w:rPr>
          <w:rtl w:val="true"/>
        </w:rPr>
        <w:softHyphen/>
        <w:t xml:space="preserve"> </w:t>
      </w:r>
      <w:r>
        <w:rPr>
          <w:rtl w:val="true"/>
        </w:rPr>
        <w:t>تبلیغی جریان</w:t>
      </w:r>
      <w:r>
        <w:rPr>
          <w:rtl w:val="true"/>
        </w:rPr>
        <w:softHyphen/>
      </w:r>
      <w:r>
        <w:rPr>
          <w:rtl w:val="true"/>
        </w:rPr>
        <w:t>ها</w:t>
      </w:r>
      <w:bookmarkEnd w:id="656"/>
    </w:p>
    <w:p>
      <w:pPr>
        <w:pStyle w:val="BookText"/>
        <w:rPr/>
      </w:pPr>
      <w:r>
        <w:rPr>
          <w:rFonts w:ascii="IRNazanin" w:hAnsi="IRNazanin" w:eastAsia="IRNazanin"/>
          <w:color w:val="111111"/>
          <w:sz w:val="28"/>
          <w:sz w:val="28"/>
          <w:szCs w:val="28"/>
          <w:rtl w:val="true"/>
          <w:lang w:bidi="fa-IR"/>
        </w:rPr>
        <w:t>و در آنجا که خیرخواهی پاسخی در پی نداشت بهترین گزینه رودررویی با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انحرافی و برچیدن بساط انحراف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نگذرم برخی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انحرافی با پافشاری و از روی عمد و ظاهر به دفاع از نظام اسلامی و مقام معظم رهبری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پردازند تا در سایة این ادعا، خود را از تیررس نگاه و برخورد نیروهای امنیتی در حاشیة امن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نیاز به تیزهوشی مسئولان امر را دوچندان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 گونه که پیش‌تر اشاره شد بررسی‌های ژرف جریان‌های انحرافی امری بایسته و شایسته است که یک علاقه‌مند با معارف مهدویت هرگز نباید از آن غفلت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همة خوانندگان را به بررسی‌های عمیق و علمی جریان‌های انحرافی مهدوی فرا می‌خوانیم</w:t>
      </w:r>
      <w:r>
        <w:rPr>
          <w:rFonts w:eastAsia="IRNazanin" w:cs="IRNazanin"/>
          <w:color w:val="111111"/>
          <w:sz w:val="28"/>
          <w:szCs w:val="28"/>
          <w:rtl w:val="true"/>
          <w:lang w:bidi="fa-IR"/>
        </w:rPr>
        <w:t xml:space="preserve">. </w:t>
      </w:r>
      <w:bookmarkStart w:id="657" w:name="pg12658_166948"/>
    </w:p>
    <w:p>
      <w:pPr>
        <w:pStyle w:val="Heading3"/>
        <w:numPr>
          <w:ilvl w:val="2"/>
          <w:numId w:val="1"/>
        </w:numPr>
        <w:rPr/>
      </w:pPr>
      <w:bookmarkStart w:id="658" w:name="__RefHeading___Toc643775_222507752"/>
      <w:bookmarkStart w:id="659" w:name="_Toc260"/>
      <w:bookmarkEnd w:id="657"/>
      <w:bookmarkEnd w:id="658"/>
      <w:r>
        <w:rPr>
          <w:rtl w:val="true"/>
        </w:rPr>
        <w:t>خودآزمایی</w:t>
      </w:r>
      <w:bookmarkEnd w:id="6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پیدایش جریان‌های انحرافی چه عواملی نقش دارند؟ چهار مورد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ویژگی‌های جریان‌های انحرافی کدامند؟ پنج نمونه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آسیب جریان‌های انحرافی در عرصة اعتقادات کدام است؟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گروه‌های راهبرد در برابر جریان‌های انحرافی کدام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نگاه شما مهم‌ترین راهبرد عملی برای رودررویی با جریان‌های انحرافی چیست؟</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0" w:name="__RefHeading___Toc643777_222507752"/>
      <w:bookmarkStart w:id="661" w:name="_Toc261"/>
      <w:bookmarkEnd w:id="660"/>
      <w:r>
        <w:rPr>
          <w:rtl w:val="true"/>
        </w:rPr>
        <w:t>منابع برای پژوهش</w:t>
      </w:r>
      <w:bookmarkEnd w:id="6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اسحاقیان، جواد، پیچک انحراف، بنیاد فرهنگی حضرت مهدی موعود علیه‌السلام، قم،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امیر محسن، قبیلة تزویر، بنیاد فرهنگی حضرت مهدی موعود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انتظار موعود، پیوند و همکاری متقابل بهائیت و صهیونیسم، 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ویژه نامه کژ راهه، تأملی در عرفان‌های دروغین، جام جم، صدا و سیمای جمهوری اسلامی ایران، اسفند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فصلنامه تخصصی تاریخ معاصر ایران، مؤسسه مطالعات تاریخ معاصر ایران،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662" w:name="pg12658_166950"/>
    </w:p>
    <w:p>
      <w:pPr>
        <w:pStyle w:val="Heading2"/>
        <w:numPr>
          <w:ilvl w:val="1"/>
          <w:numId w:val="1"/>
        </w:numPr>
        <w:rPr/>
      </w:pPr>
      <w:bookmarkStart w:id="663" w:name="__RefHeading___Toc643779_222507752"/>
      <w:bookmarkStart w:id="664" w:name="_Toc262"/>
      <w:bookmarkEnd w:id="662"/>
      <w:bookmarkEnd w:id="663"/>
      <w:r>
        <w:rPr>
          <w:rtl w:val="true"/>
        </w:rPr>
        <w:t>درس یازدهم</w:t>
      </w:r>
      <w:r>
        <w:rPr>
          <w:rtl w:val="true"/>
        </w:rPr>
        <w:t xml:space="preserve">: </w:t>
      </w:r>
      <w:r>
        <w:rPr>
          <w:rtl w:val="true"/>
        </w:rPr>
        <w:t xml:space="preserve">رجعت و رجعت کنندگان </w:t>
      </w:r>
      <w:r>
        <w:rPr>
          <w:rtl w:val="true"/>
        </w:rPr>
        <w:t>(</w:t>
      </w:r>
      <w:r>
        <w:rPr>
          <w:rtl w:val="true"/>
        </w:rPr>
        <w:t>کلیّات</w:t>
      </w:r>
      <w:r>
        <w:rPr>
          <w:rtl w:val="true"/>
        </w:rPr>
        <w:t>)</w:t>
      </w:r>
      <w:bookmarkEnd w:id="664"/>
    </w:p>
    <w:p>
      <w:pPr>
        <w:pStyle w:val="Heading3"/>
        <w:numPr>
          <w:ilvl w:val="2"/>
          <w:numId w:val="1"/>
        </w:numPr>
        <w:rPr/>
      </w:pPr>
      <w:bookmarkStart w:id="665" w:name="__RefHeading___Toc643781_222507752"/>
      <w:bookmarkStart w:id="666" w:name="_Toc263"/>
      <w:bookmarkEnd w:id="665"/>
      <w:r>
        <w:rPr>
          <w:rtl w:val="true"/>
        </w:rPr>
        <w:t>اشاره</w:t>
      </w:r>
      <w:bookmarkEnd w:id="666"/>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واژة رجعت</w:t>
      </w:r>
    </w:p>
    <w:p>
      <w:pPr>
        <w:pStyle w:val="BookText"/>
        <w:rPr/>
      </w:pPr>
      <w:r>
        <w:rPr>
          <w:rFonts w:ascii="IRNazanin" w:hAnsi="IRNazanin" w:eastAsia="IRNazanin"/>
          <w:color w:val="111111"/>
          <w:sz w:val="28"/>
          <w:sz w:val="28"/>
          <w:szCs w:val="28"/>
          <w:rtl w:val="true"/>
          <w:lang w:bidi="fa-IR"/>
        </w:rPr>
        <w:t>چیستی رجعت</w:t>
      </w:r>
    </w:p>
    <w:p>
      <w:pPr>
        <w:pStyle w:val="BookText"/>
        <w:rPr/>
      </w:pPr>
      <w:r>
        <w:rPr>
          <w:rFonts w:ascii="IRNazanin" w:hAnsi="IRNazanin" w:eastAsia="IRNazanin"/>
          <w:color w:val="111111"/>
          <w:sz w:val="28"/>
          <w:sz w:val="28"/>
          <w:szCs w:val="28"/>
          <w:rtl w:val="true"/>
          <w:lang w:bidi="fa-IR"/>
        </w:rPr>
        <w:t>رجعت در اعتقادات شیعه</w:t>
      </w:r>
    </w:p>
    <w:p>
      <w:pPr>
        <w:pStyle w:val="BookText"/>
        <w:rPr/>
      </w:pPr>
      <w:r>
        <w:rPr>
          <w:rFonts w:ascii="IRNazanin" w:hAnsi="IRNazanin" w:eastAsia="IRNazanin"/>
          <w:color w:val="111111"/>
          <w:sz w:val="28"/>
          <w:sz w:val="28"/>
          <w:szCs w:val="28"/>
          <w:rtl w:val="true"/>
          <w:lang w:bidi="fa-IR"/>
        </w:rPr>
        <w:t>رجعت از نگاه اهل سنت</w:t>
      </w:r>
    </w:p>
    <w:p>
      <w:pPr>
        <w:pStyle w:val="BookText"/>
        <w:rPr/>
      </w:pPr>
      <w:r>
        <w:rPr>
          <w:rFonts w:ascii="IRNazanin" w:hAnsi="IRNazanin" w:eastAsia="IRNazanin"/>
          <w:color w:val="111111"/>
          <w:sz w:val="28"/>
          <w:sz w:val="28"/>
          <w:szCs w:val="28"/>
          <w:rtl w:val="true"/>
          <w:lang w:bidi="fa-IR"/>
        </w:rPr>
        <w:t>آثار تربیتی اعتقاد به رجعت</w:t>
      </w:r>
    </w:p>
    <w:p>
      <w:pPr>
        <w:pStyle w:val="BookText"/>
        <w:rPr/>
      </w:pPr>
      <w:r>
        <w:rPr>
          <w:rFonts w:ascii="IRNazanin" w:hAnsi="IRNazanin" w:eastAsia="IRNazanin"/>
          <w:color w:val="111111"/>
          <w:sz w:val="28"/>
          <w:sz w:val="28"/>
          <w:szCs w:val="28"/>
          <w:rtl w:val="true"/>
          <w:lang w:bidi="fa-IR"/>
        </w:rPr>
        <w:t>رجعت در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ادله نقلی بر وقوع رجعت </w:t>
      </w:r>
      <w:bookmarkStart w:id="667" w:name="pg12658_166952"/>
    </w:p>
    <w:p>
      <w:pPr>
        <w:pStyle w:val="Heading3"/>
        <w:numPr>
          <w:ilvl w:val="2"/>
          <w:numId w:val="1"/>
        </w:numPr>
        <w:rPr/>
      </w:pPr>
      <w:bookmarkStart w:id="668" w:name="__RefHeading___Toc643783_222507752"/>
      <w:bookmarkStart w:id="669" w:name="_Toc264"/>
      <w:bookmarkEnd w:id="667"/>
      <w:bookmarkEnd w:id="668"/>
      <w:r>
        <w:rPr>
          <w:rtl w:val="true"/>
        </w:rPr>
        <w:t>پیش‌درآمد</w:t>
      </w:r>
      <w:bookmarkEnd w:id="669"/>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بحث رجعت از مباحث برجستة اعتقادی پیروان مکتب اهل بیت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تاریخِ شیعه، ده‌هاکتاب ـ به‌گونة فراگیر یا در بخشی از آن ـ در این زمینه نگارش یافته است، اما همانند برخی از دیگر باورهای شیعی، در فراز و فرودهای خود، همواره با چالش‌هایی روبرو بوده است؛ از درون چونان کم‌فهمی و یا کج‌فهمی و از بیرون مانند دیدگاه برخی علمای اهل سنّت درباره این موضوع، که همواره مخالف با شیعه بوده، مشکلات را دو چندان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واقع‌نگر و دور از سطح‌نگری دربارة انگارة رجعت، بایسته‌ای ناگزیر است که می‌تواند حقایق افزون‌تری را فراروی دوستداران قرار دهد  و افق‌های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را بنمایاند و در عین حال به برخی از پرسش‌ها و شبهات در این زمینه نیز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و درس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آینده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اندازة ممکن، به این بحث مهم پرداخته شود و البته بررسی‌های تفصیلی را به مراجعه به منابع گسترده 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نهیم</w:t>
      </w:r>
      <w:r>
        <w:rPr>
          <w:rFonts w:eastAsia="IRNazanin" w:cs="IRNazanin"/>
          <w:color w:val="111111"/>
          <w:sz w:val="28"/>
          <w:szCs w:val="28"/>
          <w:rtl w:val="true"/>
          <w:lang w:bidi="fa-IR"/>
        </w:rPr>
        <w:t>.</w:t>
      </w:r>
    </w:p>
    <w:p>
      <w:pPr>
        <w:pStyle w:val="Heading3"/>
        <w:numPr>
          <w:ilvl w:val="2"/>
          <w:numId w:val="1"/>
        </w:numPr>
        <w:rPr/>
      </w:pPr>
      <w:bookmarkStart w:id="670" w:name="__RefHeading___Toc643785_222507752"/>
      <w:bookmarkStart w:id="671" w:name="_Toc265"/>
      <w:bookmarkEnd w:id="670"/>
      <w:r>
        <w:rPr>
          <w:rtl w:val="true"/>
        </w:rPr>
        <w:t>مفهوم</w:t>
      </w:r>
      <w:r>
        <w:rPr>
          <w:rtl w:val="true"/>
        </w:rPr>
        <w:softHyphen/>
      </w:r>
      <w:r>
        <w:rPr>
          <w:rtl w:val="true"/>
        </w:rPr>
        <w:t>شناسی واژه رجعت</w:t>
      </w:r>
      <w:bookmarkEnd w:id="671"/>
    </w:p>
    <w:p>
      <w:pPr>
        <w:pStyle w:val="Heading4"/>
        <w:numPr>
          <w:ilvl w:val="3"/>
          <w:numId w:val="1"/>
        </w:numPr>
        <w:rPr/>
      </w:pPr>
      <w:bookmarkStart w:id="672" w:name="__RefHeading___Toc643787_222507752"/>
      <w:bookmarkStart w:id="673" w:name="_Toc266"/>
      <w:bookmarkEnd w:id="672"/>
      <w:r>
        <w:rPr>
          <w:rtl w:val="true"/>
        </w:rPr>
        <w:t>از نگاه لغت</w:t>
      </w:r>
      <w:bookmarkEnd w:id="67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برگشتن به جایی که پیش‌تر در آنجا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دانش لغت در گزارش از معنای یادشده، در کنار اشاره به برخی مصادیق آن نوشته‌اند</w:t>
      </w:r>
      <w:r>
        <w:rPr>
          <w:rFonts w:eastAsia="IRNazanin" w:cs="IRNazanin"/>
          <w:color w:val="111111"/>
          <w:sz w:val="28"/>
          <w:szCs w:val="28"/>
          <w:rtl w:val="true"/>
          <w:lang w:bidi="fa-IR"/>
        </w:rPr>
        <w:t xml:space="preserve">: </w:t>
      </w:r>
      <w:bookmarkStart w:id="674" w:name="pg12658_166954"/>
    </w:p>
    <w:p>
      <w:pPr>
        <w:pStyle w:val="BookText"/>
        <w:rPr/>
      </w:pPr>
      <w:bookmarkEnd w:id="674"/>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بازگشت مرد به اهلش بعد از طلاق است و گروهی معتقد به بازگشت به دنیا پیش از روز قیامت هستند</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رجعت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بازگشت به دنیا بعد از مردن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بازگشت مرد به زن خود پس از طلاق را گویند</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آنچه آغاز از آن بوده،… پس رجوع بازگشت را گویند که هم در طلاق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هم در بازگشت به دنیا بعد از مردن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از این‌رو است که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گویند فلانی به رجعت ایمان دارد</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 به فتح، یعنی برگشت پس از مرگ و بعد از ظهور مهدی</w:t>
      </w:r>
      <w:r>
        <w:rPr>
          <w:rFonts w:eastAsia="IRNazanin" w:cs="IRNazanin"/>
          <w:color w:val="111111"/>
          <w:sz w:val="28"/>
          <w:szCs w:val="28"/>
          <w:rtl w:val="true"/>
          <w:lang w:bidi="fa-IR"/>
        </w:rPr>
        <w:t>»</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معنای بازگرداندن نیز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رجعه لقادر</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چنانچه اشاره شد در همة موارد یادشده، با تعبیرهای گوناگون، یک هماهنگی وجود داشت و آن بازگشت به جایی که آغاز از آنجا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بایستة یادآوری است که افزون بر واژة رجعت در بحث بازگشت برخی مردگان به دنیا، از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کَرَة</w:t>
      </w:r>
      <w:r>
        <w:rPr>
          <w:rFonts w:eastAsia="IRNazanin" w:cs="IRNazanin"/>
          <w:color w:val="111111"/>
          <w:sz w:val="28"/>
          <w:szCs w:val="28"/>
          <w:rtl w:val="true"/>
          <w:lang w:bidi="fa-IR"/>
        </w:rPr>
        <w:t>»</w:t>
      </w:r>
      <w:r>
        <w:rPr>
          <w:rStyle w:val="FootnoteAnchor"/>
          <w:rtl w:val="true"/>
        </w:rPr>
        <w:footnoteReference w:id="2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اوبة</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نیز استفاده شده است که به معنای بازگشت است</w:t>
      </w:r>
      <w:r>
        <w:rPr>
          <w:rFonts w:eastAsia="IRNazanin" w:cs="IRNazanin"/>
          <w:color w:val="111111"/>
          <w:sz w:val="28"/>
          <w:szCs w:val="28"/>
          <w:rtl w:val="true"/>
          <w:lang w:bidi="fa-IR"/>
        </w:rPr>
        <w:t>.</w:t>
      </w:r>
    </w:p>
    <w:p>
      <w:pPr>
        <w:pStyle w:val="Heading3"/>
        <w:numPr>
          <w:ilvl w:val="2"/>
          <w:numId w:val="1"/>
        </w:numPr>
        <w:rPr/>
      </w:pPr>
      <w:bookmarkStart w:id="675" w:name="__RefHeading___Toc643789_222507752"/>
      <w:bookmarkStart w:id="676" w:name="_Toc267"/>
      <w:bookmarkEnd w:id="675"/>
      <w:r>
        <w:rPr>
          <w:rtl w:val="true"/>
        </w:rPr>
        <w:t>معنای اصطلاحی</w:t>
      </w:r>
      <w:bookmarkEnd w:id="67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معنای اصطلاحی رجعت، دانشمندان شیعه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مختلفی سخن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با بررسی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یک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به این نتیجه رسیده است که رجعت در اصطلاح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بازگشت دو گروه از مردگان ـ مؤمنین خالص و کافرین </w:t>
      </w:r>
    </w:p>
    <w:p>
      <w:pPr>
        <w:pStyle w:val="BookText"/>
        <w:rPr/>
      </w:pPr>
      <w:r>
        <w:rPr>
          <w:rFonts w:ascii="IRNazanin" w:hAnsi="IRNazanin" w:eastAsia="IRNazanin"/>
          <w:color w:val="111111"/>
          <w:sz w:val="28"/>
          <w:sz w:val="28"/>
          <w:szCs w:val="28"/>
          <w:rtl w:val="true"/>
          <w:lang w:bidi="fa-IR"/>
        </w:rPr>
        <w:t>خالص ـ پس از ظهور حضرت مهدی علیه‌السلام با همان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دنیا با آن زندگی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مؤمنان از برپایی حکومت جهانی عدل شاد شده، به فیض همراه حضرت مهدی علیه‌السلام برسند و کافران از پستی و حقارت ستمگران دردمند شده، و به برخی مکافات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دنیوی کارهای خود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معنا در سخنان بزرگان علمای شیعه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مفید در این 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گروهی از مردگان را به همان صورت‌هایی که در گذشته بودند، به دنیا بر می‌گرداند؛ پس گروهی را عزیز و گروهی دیگر را ذلیل می‌کند و اهل حق را بر اهل باطل غلبه و نصرت داده و مظلومین را بر ظالمین و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غلبه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هنگام ظهور مهدی آل‌محمد علیهم‌السلام خواهد بود…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سید مرتضی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عقیدة شیعه چنین است، خداوند هنگام ظهور امام زمان علیه‌السلام گروهی از شیعیان را که ـ پیش از قیام آن حضرت از دنیا رفته‌اندـ به دنیا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تا آنان به پاداش یاری و همراهی و درک حکومت آن وجود مقدس نایل آیند و نیز برخی از دشمنان حضرتش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از ایشان انتقام گیرد و آنان برتری حق و منزلت پیروان حق را نگریسته و اندوهگین شوند</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حرعاملی در این 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مراد از رجعت، زندگی بعد از مرگ و پیش از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به ذهن متبادر می‌شود و علما نیز به آن تصریح کرده‌اند ،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استعمالات آن فهمیده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شود و در بعضی از احادیث به آن تصریح شده است</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مرحوم مظفر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عقیدة شیعه در رجعت بر اساس پیروی از اهل‌بیت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عده‌ای از کسانی را که در گذشته از دنیا رفته‌اند، به همان اندام و صورت پیشین، زنده کرده و به دنیا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آنان عزّت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پاره‌ای را ذلیل و خوار خواهد کرد و حقوق حق‌پرستان را از باطل</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پرستان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گیرد و داد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دیدگان را از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ستاند و این، یکی از رویدادهایی است که پس از قیام مهدی آل محمد علیهم‌السلام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پس از مردن به این جهان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یا از ایمان بالا برخوردارند یا افرادی در نهایت درجه تباهی و آن گاه دوباره می‌میرند…</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برخی رجعت را به بازگشت دولت آل محمد علیهم‌السلام تأویل نموده‌اند و بازگشت خود ائمه علیهم‌السلام را با بدن‌های ظاهری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منکر شده‌اند؛</w:t>
      </w:r>
      <w:r>
        <w:rPr>
          <w:rStyle w:val="FootnoteAnchor"/>
          <w:rtl w:val="true"/>
        </w:rPr>
        <w:footnoteReference w:id="268"/>
      </w:r>
      <w:r>
        <w:rPr>
          <w:rFonts w:ascii="IRNazanin" w:hAnsi="IRNazanin" w:eastAsia="IRNazanin"/>
          <w:color w:val="111111"/>
          <w:sz w:val="28"/>
          <w:sz w:val="28"/>
          <w:szCs w:val="28"/>
          <w:rtl w:val="true"/>
          <w:lang w:bidi="fa-IR"/>
        </w:rPr>
        <w:t>که سخنشان به جهاتی مردود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شبهاتی که ایشان در بحث رجعت با آن مواجه شده‌اند، بی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پاسخ مانده است؛ در بخش شبهات بیان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فراوانی اشاره به بازگشت جسمانی ائمه علیهم‌السلام شده است و هرگز این روایات قابل تأویل و توجیه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به فلسفة رجعت اشاره کرده، تصریح شده است که بازگشت مؤمنین جهت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 از دولت کریمه و بازگشت کفار، جهت متألم شدن از حکومت حق است و این روایات نیز تأویل به دولت حق نمی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رجعت‌هایی که در امت‌های گذشته صورت گرفته و در روایات به آن اشاره شده، همه رجعت مردگان را با همان جسم دنیایی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رجعت در آخرالزمان نیز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خواهد بود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رجعت، انتقام از کفار است و این با تأویل رجعت به دولت ائمه سازگاری ندارد</w:t>
      </w:r>
      <w:r>
        <w:rPr>
          <w:rFonts w:eastAsia="IRNazanin" w:cs="IRNazanin"/>
          <w:color w:val="111111"/>
          <w:sz w:val="28"/>
          <w:szCs w:val="28"/>
          <w:rtl w:val="true"/>
          <w:lang w:bidi="fa-IR"/>
        </w:rPr>
        <w:t xml:space="preserve">. </w:t>
      </w:r>
      <w:bookmarkStart w:id="677" w:name="pg12658_166961"/>
    </w:p>
    <w:p>
      <w:pPr>
        <w:pStyle w:val="BookText"/>
        <w:rPr/>
      </w:pPr>
      <w:bookmarkEnd w:id="67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مرتضی در پاسخ پرسش‌هایی که از ری به دستش رسیده بود، در بارة این پرسش که حقیقت رجعت چگونه است؟ چرا عدة اندکی از امامی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مراد بازگشت دولت اهل بیت علیهم‌السلام در زمان حضرت قائم علیه‌السلام است نه بازگشت بدن‌ها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که که رجعت را تأویل کرده و گویند مراد بازگشت دولت ائمه علیهم‌السلام است نه بازگشت مردگان به دنیا، چون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رجعت را اثبات کنند دست به تأویل می‌زنند، ولی اینجا تأویل راه ندارد، زیرا دلیلش ظاهر اخبار نیست تا قابل تأویل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حتمی و قطعی ممکن نیست مدرکش خبر واحدهایی باشد که یقین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نیست، دلیلش اجماع امامیه است که به اتفاق معتقدند هنگام قیام حضرت مهدی علیه‌السلام خداوند جمعی از دوستان وعده‌ای از دشمنان خود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مطلب قطعی و حتمی است و احتمالی نیست که تأویل‌پذیر باشد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مرحوم طبرسی نیز در مجمع البیان این تأویل را ناشی از عدم توانایی بر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به شبهات مطرح شده دانسته و به برخی شبهات پاسخ داده است</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در معنای اصطلاحی رجعت، همان تفسیر نخست درست است</w:t>
      </w:r>
      <w:r>
        <w:rPr>
          <w:rFonts w:eastAsia="IRNazanin" w:cs="IRNazanin"/>
          <w:color w:val="111111"/>
          <w:sz w:val="28"/>
          <w:szCs w:val="28"/>
          <w:rtl w:val="true"/>
          <w:lang w:bidi="fa-IR"/>
        </w:rPr>
        <w:t>.</w:t>
      </w:r>
    </w:p>
    <w:p>
      <w:pPr>
        <w:pStyle w:val="Heading3"/>
        <w:numPr>
          <w:ilvl w:val="2"/>
          <w:numId w:val="1"/>
        </w:numPr>
        <w:rPr/>
      </w:pPr>
      <w:bookmarkStart w:id="678" w:name="__RefHeading___Toc643791_222507752"/>
      <w:bookmarkStart w:id="679" w:name="_Toc268"/>
      <w:bookmarkEnd w:id="678"/>
      <w:r>
        <w:rPr>
          <w:rtl w:val="true"/>
        </w:rPr>
        <w:t>چیستی و چگونگی رجعت</w:t>
      </w:r>
      <w:bookmarkEnd w:id="67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مجموع آیات، روایات و بیان دانشمندان بزرگ شیعه که به آنها اشاره خواهد شد،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رجعت، جهانی است با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خاص به خود که نه ـ به طور دقیق ـ چون جهان دنیاست و نه همانند جهان آخرت است و در عین حال، برزخ نیز نیست؛ عالمی است با تعریف خاص به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علامه طباطبایی در این باره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از مراتب روز قیامت است اگر چه در کشف و ظهور پایین‌تر از روز قیامت است و دلیل پایین‌تر بودن آن از قیامت، امکان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یافتن تباهی و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به خلاف قیامت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تباهی و شری در </w:t>
      </w:r>
      <w:bookmarkStart w:id="680" w:name="pg12658_166963"/>
    </w:p>
    <w:p>
      <w:pPr>
        <w:pStyle w:val="BookText"/>
        <w:rPr/>
      </w:pPr>
      <w:bookmarkEnd w:id="680"/>
      <w:r>
        <w:rPr>
          <w:rFonts w:ascii="IRNazanin" w:hAnsi="IRNazanin" w:eastAsia="IRNazanin"/>
          <w:color w:val="111111"/>
          <w:sz w:val="28"/>
          <w:sz w:val="28"/>
          <w:szCs w:val="28"/>
          <w:rtl w:val="true"/>
          <w:lang w:bidi="fa-IR"/>
        </w:rPr>
        <w:t>آن راه نخواهد یافت و به همین دلیل روز ظهور حضرت مهدی علیه‌السلام نیز گاه ملحق به قیامت شده است به خاطر ظهور و غلبه تامه حق، اگر چه روز ظهور حضرت نیز پایین‌تر از روز رجعت است</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که مرحوم علامه رستاخیز بزرگ را در بالاترین درجة کشف و شهود دانسته و رجعت، در رتبة میانی است و پایین‌تر از این دو، ظهور حضرت مهدی علیه‌السلام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دستاورد سخن اینکه اگر چه رجعت، در همین دنیای مادی و با این مشخصه‌های ویژه اتفاق خواهد افتاد؛ اما مقیاس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آن روز بزرگ به وقوع خواهد پیوست، آن را از نحوة زندگی در زمان ما متفاوت خواهد کرد و بی گمان تبیین زوایای آن، امروزه کاری بس سخت می‌نماید؛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حقیقت معاد همچنان جزو رازهای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81" w:name="__RefHeading___Toc643793_222507752"/>
      <w:bookmarkStart w:id="682" w:name="_Toc269"/>
      <w:bookmarkEnd w:id="681"/>
      <w:r>
        <w:rPr>
          <w:rtl w:val="true"/>
        </w:rPr>
        <w:t>جایگاه رجعت در اعتقادات شیعه</w:t>
      </w:r>
      <w:bookmarkEnd w:id="682"/>
    </w:p>
    <w:p>
      <w:pPr>
        <w:pStyle w:val="BookText"/>
        <w:rPr/>
      </w:pPr>
      <w:r>
        <w:rPr>
          <w:rFonts w:ascii="IRNazanin" w:hAnsi="IRNazanin" w:eastAsia="IRNazanin"/>
          <w:color w:val="111111"/>
          <w:sz w:val="28"/>
          <w:sz w:val="28"/>
          <w:szCs w:val="28"/>
          <w:rtl w:val="true"/>
          <w:lang w:bidi="fa-IR"/>
        </w:rPr>
        <w:t xml:space="preserve">در روایات باور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اعتقادات شیعه از جایگاه والایی برخوردار است تا جایی که منکر آن را از دایرة تشیع بیرون دانسته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منَّا مَنْ لَمْ یُؤْمِنْ بِکَرتِنا؛</w:t>
      </w:r>
      <w:r>
        <w:rPr>
          <w:rStyle w:val="FootnoteAnchor"/>
          <w:rtl w:val="true"/>
        </w:rPr>
        <w:footnoteReference w:id="272"/>
      </w:r>
      <w:r>
        <w:rPr>
          <w:rFonts w:ascii="IRNazanin" w:hAnsi="IRNazanin" w:eastAsia="IRNazanin"/>
          <w:color w:val="111111"/>
          <w:sz w:val="28"/>
          <w:sz w:val="28"/>
          <w:szCs w:val="28"/>
          <w:rtl w:val="true"/>
          <w:lang w:bidi="fa-IR"/>
        </w:rPr>
        <w:t>از ما نیست کسی که ایمان به بازگشت ما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روایتی دیگر آن حضرت یکی از شرایط ایمان را اعتقاد به رجعت دانسته و می‌فرماید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أَقَرَّ بِسَبْعَةِ أَشْیَاءَ فَهُوَ مُؤْمِنٌ… وَ الْإِیمَانِ بِالرَّجْعَة؛</w:t>
      </w:r>
      <w:r>
        <w:rPr>
          <w:rStyle w:val="FootnoteAnchor"/>
          <w:rtl w:val="true"/>
        </w:rPr>
        <w:footnoteReference w:id="273"/>
      </w:r>
      <w:r>
        <w:rPr>
          <w:rFonts w:ascii="IRNazanin" w:hAnsi="IRNazanin" w:eastAsia="IRNazanin"/>
          <w:color w:val="111111"/>
          <w:sz w:val="28"/>
          <w:sz w:val="28"/>
          <w:szCs w:val="28"/>
          <w:rtl w:val="true"/>
          <w:lang w:bidi="fa-IR"/>
        </w:rPr>
        <w:t>هر کس به هفت چیز اعتقاد داشته باشد مؤمن است… که یکی از آنها ایمان به رجعت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روایت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اعتقاد به رجعت نیز در کنار اعتقاد به یکتاپرستی و همانند آن از ضروریات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مفید در توضیح کلام امام صادق علیه‌السلام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یقل برجعتنا فلیس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فانما اراد بذلک ما یختصه من القول به فی ان اللَّه تعالی یحیی قوماً من امة محمد صلی الله علیه وآله بعد موتهم قبل یوم القیامة و هذا مذهب یختص به آل‌محمد صلی‌اللَّه علیه و علیهم؛</w:t>
      </w:r>
      <w:r>
        <w:rPr>
          <w:rStyle w:val="FootnoteAnchor"/>
          <w:rtl w:val="true"/>
        </w:rPr>
        <w:footnoteReference w:id="274"/>
      </w:r>
      <w:r>
        <w:rPr>
          <w:rFonts w:ascii="IRNazanin" w:hAnsi="IRNazanin" w:eastAsia="IRNazanin"/>
          <w:color w:val="111111"/>
          <w:sz w:val="28"/>
          <w:sz w:val="28"/>
          <w:szCs w:val="28"/>
          <w:rtl w:val="true"/>
          <w:lang w:bidi="fa-IR"/>
        </w:rPr>
        <w:t>و اما فرمایش معصوم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قائل به رجعت ما نشد از ما نیست ،همانا از آن اراده کرده است مسئله رجعت را که عبارت است از اینکه خداوند گروهی از آل‌محمد علیهم‌السلام را پس از مردن پیش از روز قیامت زنده می‌کند و این مذهبی است مختص به آل‌محمد علیهم‌السلام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طوسی در این زمینه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ما صلی‌الله‌علیه‌وآله و ائمه معصومین علیهم‌السلام همراه با گروهی از امت‌های گذشته و آینده باز خواهند گشت و بر این اعتقاد آیات و روایات فراوانی دلالت دارد و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روزی که برمی‌انگیزیم از هر امتی گروهی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اعتقاد به رجعت لازم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شیخ حر عاملی پس از نقل سخنان برخی دانشمندان در بارة ارزش باور به رجعت نزد شیعه دلیل خود را مبنی بر ضروری‌بودن این اعتقاد،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بیان می‌کند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جمله ادله‌ای که رجعت را صحیح و ضرورت آن را بر هر آشنا با اخبار مسلّم دانسته،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ضروریات مثل وجوب نماز و حرمت زنا، بیش از رجعت، حدیث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گفته روایت علمای اهل سنّت؛ چون فخر رازی، نیشابوری، زمخشری، شهرستانی، ابن ابی الحدید و… است که در کتاب‌های خود، شیعه را معتقد به رجعت دانسته و به آنان اعتراض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دلیل است که </w:t>
      </w:r>
      <w:bookmarkStart w:id="683" w:name="pg12658_166967"/>
    </w:p>
    <w:p>
      <w:pPr>
        <w:pStyle w:val="BookText"/>
        <w:rPr/>
      </w:pPr>
      <w:bookmarkEnd w:id="683"/>
      <w:r>
        <w:rPr>
          <w:rFonts w:ascii="IRNazanin" w:hAnsi="IRNazanin" w:eastAsia="IRNazanin"/>
          <w:color w:val="111111"/>
          <w:sz w:val="28"/>
          <w:sz w:val="28"/>
          <w:szCs w:val="28"/>
          <w:rtl w:val="true"/>
          <w:lang w:bidi="fa-IR"/>
        </w:rPr>
        <w:t>رجعت صحیح بوده و مختص به امامیه و از ضروریات مذهب ایشان است</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فخرالدین طریحی اسدی در مجمع البحرین افزون بر بیان معنای رجعت، جایگاه آن را نزد شیعه این‌گونه توضیح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رجعت از ضروریات مذهب امامیه است و شواهد قرآنی و روایات وارده از اهل‌بیت علیهم‌السلام در این زمینه، مشهورتر از آن است که لازم به یادآوری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ائمه علیهم‌السلام وارد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به رجعت ما اقرار نداشته باشد از ما نیست</w:t>
      </w:r>
      <w:r>
        <w:rPr>
          <w:rFonts w:eastAsia="IRNazanin" w:cs="IRNazanin"/>
          <w:color w:val="111111"/>
          <w:sz w:val="28"/>
          <w:szCs w:val="28"/>
          <w:rtl w:val="true"/>
          <w:lang w:bidi="fa-IR"/>
        </w:rPr>
        <w:t>.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برخی از مفسرین معاصر نیز به روشنی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از ضروریات مذهب شیعه است و نه از ضروریات اسلام…</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4" w:name="__RefHeading___Toc643795_222507752"/>
      <w:bookmarkStart w:id="685" w:name="_Toc270"/>
      <w:bookmarkEnd w:id="684"/>
      <w:r>
        <w:rPr>
          <w:rtl w:val="true"/>
        </w:rPr>
        <w:t>رجعت از نگاه اهل سنت</w:t>
      </w:r>
      <w:bookmarkEnd w:id="685"/>
    </w:p>
    <w:p>
      <w:pPr>
        <w:pStyle w:val="BookText"/>
        <w:rPr/>
      </w:pPr>
      <w:r>
        <w:rPr>
          <w:rFonts w:ascii="IRNazanin" w:hAnsi="IRNazanin" w:eastAsia="IRNazanin"/>
          <w:color w:val="111111"/>
          <w:sz w:val="28"/>
          <w:sz w:val="28"/>
          <w:szCs w:val="28"/>
          <w:rtl w:val="true"/>
          <w:lang w:bidi="fa-IR"/>
        </w:rPr>
        <w:t>این باور اگرچه ریشة قرآنی دارد، اما از آنجا که در مکتب اهل بیت علیهم‌السلام به طور ویژه بدان پرداخته شده از همان ابتدای پیدایش مورد ناسزاگویی و استهزای اهل سنّت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برخی این عقیده را برگرفته از عقاید یهود و نصاری دانسته و دیگری منشأ اعتقاد به رجعت را پندارهای عرب جاهلیت دانسته،</w:t>
      </w:r>
      <w:r>
        <w:rPr>
          <w:rStyle w:val="FootnoteAnchor"/>
          <w:rtl w:val="true"/>
        </w:rPr>
        <w:footnoteReference w:id="279"/>
      </w:r>
      <w:r>
        <w:rPr>
          <w:rFonts w:ascii="IRNazanin" w:hAnsi="IRNazanin" w:eastAsia="IRNazanin"/>
          <w:color w:val="111111"/>
          <w:sz w:val="28"/>
          <w:sz w:val="28"/>
          <w:szCs w:val="28"/>
          <w:rtl w:val="true"/>
          <w:lang w:bidi="fa-IR"/>
        </w:rPr>
        <w:t>دیگری به سبب نفهمیدن درست این اعتقاد، آن را اعتقادی مضحک قلمداد نموده است</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و گروهی نیز آن را از 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دروغین دانسته</w:t>
      </w:r>
      <w:r>
        <w:rPr>
          <w:rStyle w:val="FootnoteAnchor"/>
          <w:rtl w:val="true"/>
        </w:rPr>
        <w:footnoteReference w:id="281"/>
      </w:r>
      <w:r>
        <w:rPr>
          <w:rFonts w:ascii="IRNazanin" w:hAnsi="IRNazanin" w:eastAsia="IRNazanin"/>
          <w:color w:val="111111"/>
          <w:sz w:val="28"/>
          <w:sz w:val="28"/>
          <w:szCs w:val="28"/>
          <w:rtl w:val="true"/>
          <w:lang w:bidi="fa-IR"/>
        </w:rPr>
        <w:t>، دیگری منشأ باور به رجعت را تأثیرات فلسفه آفریقایی بر ذهن شیعه قلمداد کرده است</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پا را از همه آنچه گفته شد فراتر نهاده و باور به رجعت را برابر با تکذیب </w:t>
      </w:r>
    </w:p>
    <w:p>
      <w:pPr>
        <w:pStyle w:val="BookText"/>
        <w:rPr/>
      </w:pPr>
      <w:r>
        <w:rPr>
          <w:rFonts w:ascii="IRNazanin" w:hAnsi="IRNazanin" w:eastAsia="IRNazanin"/>
          <w:color w:val="111111"/>
          <w:sz w:val="28"/>
          <w:sz w:val="28"/>
          <w:szCs w:val="28"/>
          <w:rtl w:val="true"/>
          <w:lang w:bidi="fa-IR"/>
        </w:rPr>
        <w:t>آیات قرآن و کفر دانسته‌اند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و کم نیست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سخنان ناشایست که در طول تاریخ نثار باورمندان رجعت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مظفر در این 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عقیده به رجعت را خلاف عقاید اسلامی می‌داند و آن را هیچ نمی‌پسندند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و شرح حال نویسان آنها معتقدین به رجعت را طعن و طرد کرده و آن را نشانه طرد روایت راوی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نظر آنان عقیده به رجعت در شمار کفر و شرک یا بدتر از آن قرار دارد و به این بهانه شیعه را می‌کوبند و ناسزا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شک این از اقسام دستاویزهای بی‌اساس و گمراه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کننده‌ای است که فرقه‌های اسلامی آن را وسیله‌ای برای طعن و طرد یکدیگر قرار داده‌اند، ولی هیچ مجوزی که صحت این دستاویز را روشن کند وجود ندارد، زیرا اعتقاد به رجعت، نه فقط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ایراد و خدشه‌ای در عقیده به یکتاپرستی و نبوت وارد نمی‌سازد، بلکه به عکس، این هر دو عقیده را تقویت می‌کند، زیرا رجعت مانند حشر و نشر، دلیل قدرت کامل خداوند بوده و از امور غیرعادی و معجزه‌ای از پیامبر صلی‌الله‌علیه‌وآله و اهل بیت او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اصل معجزه زنده کردن مردگان است؛ چنان که حضرت مسیح علیه‌السلام انجام می‌داد، اما این رساتر، کامل‌تر و اعجازش بیشتر است به دلیل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رجعت در وقتی انجام می‌گیرد که مردگان همه خاک شده‌اند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علامه طباطبایی نیز جایگاه رجعت در نگاه اهل سنّت 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بیان کرده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غیر شیعه، یعنی اهل تسنن اگر چه به ظهور حضرت مهدی اعتراف کردند و آن را به‌طور متواتر از پیامبر اکرم صلی‌الله‌علیه‌وآله نقل کردند، لکن رجعت را انکار کرده و قول به رجعت را از مختصات شیعه برشمرده‌اند و </w:t>
      </w:r>
      <w:bookmarkStart w:id="686" w:name="pg12658_166971"/>
    </w:p>
    <w:p>
      <w:pPr>
        <w:pStyle w:val="BookText"/>
        <w:rPr/>
      </w:pPr>
      <w:bookmarkEnd w:id="686"/>
      <w:r>
        <w:rPr>
          <w:rFonts w:ascii="IRNazanin" w:hAnsi="IRNazanin" w:eastAsia="IRNazanin"/>
          <w:color w:val="111111"/>
          <w:sz w:val="28"/>
          <w:sz w:val="28"/>
          <w:szCs w:val="28"/>
          <w:rtl w:val="true"/>
          <w:lang w:bidi="fa-IR"/>
        </w:rPr>
        <w:t>در این ایام بعضی از آنانکه منتسب به شیعه هستند نیز به آنان ملحق شدند</w:t>
      </w:r>
      <w:r>
        <w:rPr>
          <w:rFonts w:eastAsia="IRNazanin" w:cs="IRNazanin"/>
          <w:color w:val="111111"/>
          <w:sz w:val="28"/>
          <w:szCs w:val="28"/>
          <w:rtl w:val="true"/>
          <w:lang w:bidi="fa-IR"/>
        </w:rPr>
        <w:t>.</w:t>
      </w:r>
      <w:r>
        <w:rPr>
          <w:rStyle w:val="FootnoteAnchor"/>
          <w:rtl w:val="true"/>
        </w:rPr>
        <w:footnoteReference w:id="285"/>
      </w:r>
    </w:p>
    <w:p>
      <w:pPr>
        <w:pStyle w:val="Heading3"/>
        <w:numPr>
          <w:ilvl w:val="2"/>
          <w:numId w:val="1"/>
        </w:numPr>
        <w:rPr/>
      </w:pPr>
      <w:bookmarkStart w:id="687" w:name="__RefHeading___Toc643797_222507752"/>
      <w:bookmarkStart w:id="688" w:name="_Toc271"/>
      <w:bookmarkEnd w:id="687"/>
      <w:r>
        <w:rPr>
          <w:rtl w:val="true"/>
        </w:rPr>
        <w:t>آثار تربیتی اعتقاد به رجعت</w:t>
      </w:r>
      <w:bookmarkEnd w:id="68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انتظار فرج نقش برجسته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سزایی در پویایی و نشاط جامعه ایفا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کند، باور به رجعت و بازگشت به دنیا در عصر ظهور،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نقش مهم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سزایی در نشاط دینی و امید به حضور در حکومت جهانی حضرت مهدی علیه‌السلام ایفا کند، چرا که انسان با دیدن افرادی که همة عمر خود را در انتظار ظهور حضرت مهدی علیه‌السلام سپری کرده‌اند و آنگاه بدون درک ظهور از دنیا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روند، دچار سرخوردگی شده و حتی در جایگاه انتظار نیز دچار ناامیدی خواهد شد و اگر بداند در هنگام ظهور در صورت دارابودن شرایط، امکان بازگشت او به دنیا و حضور در محضر آخرین امام علیه‌السلام را دارد در امیدواری او نقش بسیاری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آن، شخص علاقه‌مند به درک محضر آخرین حجت الهی، نهایت تلاش خود را به کار خواهد بست که به درجات بالای ایمان رسیده تا در زمرة مؤمنان رجعت‌کننده باشد</w:t>
      </w:r>
      <w:r>
        <w:rPr>
          <w:rFonts w:eastAsia="IRNazanin" w:cs="IRNazanin"/>
          <w:color w:val="111111"/>
          <w:sz w:val="28"/>
          <w:szCs w:val="28"/>
          <w:rtl w:val="true"/>
          <w:lang w:bidi="fa-IR"/>
        </w:rPr>
        <w:t>.</w:t>
      </w:r>
    </w:p>
    <w:p>
      <w:pPr>
        <w:pStyle w:val="Heading3"/>
        <w:numPr>
          <w:ilvl w:val="2"/>
          <w:numId w:val="1"/>
        </w:numPr>
        <w:rPr/>
      </w:pPr>
      <w:bookmarkStart w:id="689" w:name="__RefHeading___Toc643799_222507752"/>
      <w:bookmarkStart w:id="690" w:name="_Toc272"/>
      <w:bookmarkEnd w:id="689"/>
      <w:r>
        <w:rPr>
          <w:rtl w:val="true"/>
        </w:rPr>
        <w:t>زمان رجعت</w:t>
      </w:r>
      <w:bookmarkEnd w:id="69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روایات معصومین علیهم‌السلام استفاده می‌شود، رجعت همزمان با ظهور حضرت مهدی علیه‌السلام آغاز می‌شود و در دوران ظهور ادامه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برخی از حوادث دیگر جزو کرامات به شمار می‌آید؛ زنده‌شدن مردگان و بیرون‌آمدن از قبرها در حالی که سر و رویشان را غبار و خاک گرفته و آنان خاک از سر می‌افشانند، حالتی است که مردم آن را ندیده‌اند و در آن روز خواهند دید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حضرت مهدی علیه السلام در نظام آفرینش از چنان ارزشی برخوردار است که افزون بر شادمانی زندگان، خبر ظهور به مردگان نیز داده می‌شود و آنها که صلاحیت بازگشت دارند، مخیّر میان بازگشت و ماندن در قبرها می‌شوند</w:t>
      </w:r>
      <w:r>
        <w:rPr>
          <w:rFonts w:eastAsia="IRNazanin" w:cs="IRNazanin"/>
          <w:color w:val="111111"/>
          <w:sz w:val="28"/>
          <w:szCs w:val="28"/>
          <w:rtl w:val="true"/>
          <w:lang w:bidi="fa-IR"/>
        </w:rPr>
        <w:t xml:space="preserve">. </w:t>
      </w:r>
      <w:bookmarkStart w:id="691" w:name="pg12658_166973"/>
    </w:p>
    <w:p>
      <w:pPr>
        <w:pStyle w:val="Heading3"/>
        <w:numPr>
          <w:ilvl w:val="2"/>
          <w:numId w:val="1"/>
        </w:numPr>
        <w:rPr/>
      </w:pPr>
      <w:bookmarkStart w:id="692" w:name="__RefHeading___Toc643801_222507752"/>
      <w:bookmarkStart w:id="693" w:name="_Toc273"/>
      <w:bookmarkEnd w:id="691"/>
      <w:bookmarkEnd w:id="692"/>
      <w:r>
        <w:rPr>
          <w:rtl w:val="true"/>
        </w:rPr>
        <w:t>امکان رجعت</w:t>
      </w:r>
      <w:bookmarkEnd w:id="69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آنکه وارد بحث شویم؛ بایسته است به بررسی امکان رجعت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به دو قسم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ذاتی و امکان وقوعی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ذاتی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رجعت، به خودی خود، دارای امکان ذاتی است؛ چرا که زنده‌کردن مردگان ـ چه در دنیا و چه در آخرت ـ در توان خداوند است و هیچ خردمندی در آن شک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 فراوانی با ردّ مخالفان، معجزة زنده‌شدن مردگان را به دست پیامبران خود، دلیلی بر معاد، قیامت و زنده‌شدن مردگان،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وقوعی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دلیل بر امکان یک چیز، وقوع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رجعت، با بهره از بیانات نورانی قرآن و شواهد تاریخی، به روشنی تمام اثبات‌شدنی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منکرین رجعت، نه فقط وقوع آن را غیرممکن دانسته‌اند بلکه امکان آن را نیز محال دانسته‌اند و برخی دیگر امکان ذاتی آن را بدون اشکال دانسته‌اند و فقط در بخش امکان وقوعی آن را محال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 سوم‌کسانی هستند که وقوع آن را در گذشته قبول کرده‌اند، ولی باور شیعه را نپذیرفته‌اند و منکر آن در آینده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درباره هماهنگی میان رجعت و معاد جسمانی ذیل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یَنظُرُونَ إِلَّآ أَن یَأْتِیَهُمُ اللَّهُ فِی ظُلَلٍ مِّنَ الْغَمَامِ وَالْمَلائکَةُ وَقُضِی الْأَمْرُ وَ إِلَی اللَّهِ تُرْجَعُ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مگر انتظار آنان غیر از این است که خداوند و فرشتگان در زیر سایبان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ابر سپید به سوی آنان بیایند و کار داوری یکسره شود؟ و کارها به سوی خدا باز گردانده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اشاره به برخی از روایات می‌نویسد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روایات از خاندان پیغمبر صلی‌الله‌علیه‌وآله فراوان است که بسیاری از آیات را گاهی به قیامت و گاهی به رجعت و گاهی به ظهور مهدی آل محمد </w:t>
      </w:r>
      <w:bookmarkStart w:id="694" w:name="pg12658_166975"/>
    </w:p>
    <w:p>
      <w:pPr>
        <w:pStyle w:val="BookText"/>
        <w:rPr/>
      </w:pPr>
      <w:bookmarkEnd w:id="694"/>
      <w:r>
        <w:rPr>
          <w:rFonts w:ascii="IRNazanin" w:hAnsi="IRNazanin" w:eastAsia="IRNazanin"/>
          <w:color w:val="111111"/>
          <w:sz w:val="28"/>
          <w:sz w:val="28"/>
          <w:szCs w:val="28"/>
          <w:rtl w:val="true"/>
          <w:lang w:bidi="fa-IR"/>
        </w:rPr>
        <w:t>علیهم‌السلام تفسیر کرده‌اند و این نیست مگر به واسطة یک نحو سنخیت و مناسبتی که میان این سه روز موجود است</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تعبیر آنگاه که رجعت و معاد از یک سنخ دانسته شد دلائل امکان هر دو یک چیز خواهد شد و شکی نیست که ادله فراوانی بر معاد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در اثبات امکان رجعت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دلیلی که بر صحت معاد به آن استدلال کرده‌اند، حاصلش این که امری است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گوینده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هم خبر داده، پس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امکانش، که روشن است؛ زیرا مکرر اتفاق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مرده‌ای زنده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وقوع دلیل امکان است و اما اخبار گوینده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هم که به تواتر رسیده چنان که بعداً هر دو موضوع خواهد آمد، و بیان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کنم که عده‌ای از پیامبران و اوصیاء علیهم‌السلام و غیر آنها پس از مرگ زنده شدند، و این دلیل، بر اثبات رجعت بهتر است تا برای اثبات معاد ؛چرا که امر معاد بالاتر، و حالاتش عجیب و غریب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نظیرش تاکنون پیدا نشده به خلاف رجعت، و در قرآن و اخبار هم اشاره به این دلیل است و بر منکران زنده شدن مردگان سخت اعتراض شده است</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زنده‌شدن گروهی از مردگان در این دنیا از محالات نیست،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همة انسان‌ها در قیامت ممکن است و شگفتی از چنین امری، همچون شگفتی گروهی از مشرکان دوران جاهلیت از مسئله معاد است و تمسخر در برابر آن چونان تمسخر کفار و مشرکان در بارة معاد است، چرا که عقل چنین چیزی را محال نمی داند و قدرت خدا آن چنان گسترده است که همة این موارد در برابر آن آسان است</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5" w:name="__RefHeading___Toc643803_222507752"/>
      <w:bookmarkStart w:id="696" w:name="_Toc274"/>
      <w:bookmarkEnd w:id="695"/>
      <w:r>
        <w:rPr>
          <w:rtl w:val="true"/>
        </w:rPr>
        <w:t>گزارش رجعت در امت‌های پیشین</w:t>
      </w:r>
      <w:bookmarkEnd w:id="69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آنجایی که قرآن پایه‌ای‌ترین ابزار برای اثبات حقایق دینی است، در مسئله رجعت </w:t>
      </w:r>
    </w:p>
    <w:p>
      <w:pPr>
        <w:pStyle w:val="BookText"/>
        <w:rPr/>
      </w:pPr>
      <w:r>
        <w:rPr>
          <w:rFonts w:ascii="IRNazanin" w:hAnsi="IRNazanin" w:eastAsia="IRNazanin"/>
          <w:color w:val="111111"/>
          <w:sz w:val="28"/>
          <w:sz w:val="28"/>
          <w:szCs w:val="28"/>
          <w:rtl w:val="true"/>
          <w:lang w:bidi="fa-IR"/>
        </w:rPr>
        <w:t>نیز به عنوان نخستین منبع و اصلی‌ترین آنها، بدان 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نگاه گذرا به آیات مربوط به رجعت، پدیدارشدن آن امری مسلم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دسته از آیات، به روشنی وقوع رجعت میان اقوام و ملل گذشته گزارش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زنده‌شدن هفتاد نفر از یاران حضرت موسی علیه‌السلام،</w:t>
      </w:r>
      <w:r>
        <w:rPr>
          <w:rStyle w:val="FootnoteAnchor"/>
          <w:rtl w:val="true"/>
        </w:rPr>
        <w:footnoteReference w:id="290"/>
      </w:r>
      <w:r>
        <w:rPr>
          <w:rFonts w:ascii="IRNazanin" w:hAnsi="IRNazanin" w:eastAsia="IRNazanin"/>
          <w:color w:val="111111"/>
          <w:sz w:val="28"/>
          <w:sz w:val="28"/>
          <w:szCs w:val="28"/>
          <w:rtl w:val="true"/>
          <w:lang w:bidi="fa-IR"/>
        </w:rPr>
        <w:t>زنده‌شدن کشتة بنی‌اسرائیل،</w:t>
      </w:r>
      <w:r>
        <w:rPr>
          <w:rStyle w:val="FootnoteAnchor"/>
          <w:rtl w:val="true"/>
        </w:rPr>
        <w:footnoteReference w:id="291"/>
      </w:r>
      <w:r>
        <w:rPr>
          <w:rFonts w:ascii="IRNazanin" w:hAnsi="IRNazanin" w:eastAsia="IRNazanin"/>
          <w:color w:val="111111"/>
          <w:sz w:val="28"/>
          <w:sz w:val="28"/>
          <w:szCs w:val="28"/>
          <w:rtl w:val="true"/>
          <w:lang w:bidi="fa-IR"/>
        </w:rPr>
        <w:t>زنده‌شدن هزاران نفر،</w:t>
      </w:r>
      <w:r>
        <w:rPr>
          <w:rStyle w:val="FootnoteAnchor"/>
          <w:rtl w:val="true"/>
        </w:rPr>
        <w:footnoteReference w:id="292"/>
      </w:r>
      <w:r>
        <w:rPr>
          <w:rFonts w:ascii="IRNazanin" w:hAnsi="IRNazanin" w:eastAsia="IRNazanin"/>
          <w:color w:val="111111"/>
          <w:sz w:val="28"/>
          <w:sz w:val="28"/>
          <w:szCs w:val="28"/>
          <w:rtl w:val="true"/>
          <w:lang w:bidi="fa-IR"/>
        </w:rPr>
        <w:t>زنده‌شدن عزیر پس از صد سال،</w:t>
      </w:r>
      <w:r>
        <w:rPr>
          <w:rStyle w:val="FootnoteAnchor"/>
          <w:rtl w:val="true"/>
        </w:rPr>
        <w:footnoteReference w:id="293"/>
      </w:r>
      <w:r>
        <w:rPr>
          <w:rFonts w:ascii="IRNazanin" w:hAnsi="IRNazanin" w:eastAsia="IRNazanin"/>
          <w:color w:val="111111"/>
          <w:sz w:val="28"/>
          <w:sz w:val="28"/>
          <w:szCs w:val="28"/>
          <w:rtl w:val="true"/>
          <w:lang w:bidi="fa-IR"/>
        </w:rPr>
        <w:t>زنده‌شدن مردگان به دست حضرت عیسی علیه‌السلام</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در یک جمع‌بندی کوتاه، به نکات ذیل می‌توان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تصریح آیات قرآن، رجعت‌های فراوانی در گذشته پدیدار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دانشمندان شیعه، بیشتر دانشمندان اهل سنّت نیز بر این باورند که در گذشته، رجعت‌هایی صورت گرفته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شکی نخواهد ماند که در گذشته، به خواست پروردگار انسان‌های فراوانی، پس از مردن، دوباره با همان بدنی که از دنیا رفته‌اند زنده شده، به زندگی دنیایی ادامه داده‌اند</w:t>
      </w:r>
      <w:r>
        <w:rPr>
          <w:rFonts w:eastAsia="IRNazanin" w:cs="IRNazanin"/>
          <w:color w:val="111111"/>
          <w:sz w:val="28"/>
          <w:szCs w:val="28"/>
          <w:rtl w:val="true"/>
          <w:lang w:bidi="fa-IR"/>
        </w:rPr>
        <w:t xml:space="preserve">. </w:t>
      </w:r>
      <w:bookmarkStart w:id="697" w:name="pg12658_166979"/>
    </w:p>
    <w:p>
      <w:pPr>
        <w:pStyle w:val="Heading3"/>
        <w:numPr>
          <w:ilvl w:val="2"/>
          <w:numId w:val="1"/>
        </w:numPr>
        <w:rPr/>
      </w:pPr>
      <w:bookmarkStart w:id="698" w:name="__RefHeading___Toc643805_222507752"/>
      <w:bookmarkStart w:id="699" w:name="_Toc275"/>
      <w:bookmarkEnd w:id="697"/>
      <w:bookmarkEnd w:id="698"/>
      <w:r>
        <w:rPr>
          <w:rtl w:val="true"/>
        </w:rPr>
        <w:t>خودآزمایی</w:t>
      </w:r>
      <w:bookmarkEnd w:id="6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را از نگاه لغت و اصطلاح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بارة چیستی و چگونگی رجعت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اهل سنت در بارة رجعت چگونه است و چرا با اعتقاد شیعه مخالفند؟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باور به رجعت می‌تواند در تربیت دینی مؤثر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رجعت در امت‌های گذشته چه نقشی در اثبات این اعتقاد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0" w:name="__RefHeading___Toc643807_222507752"/>
      <w:bookmarkStart w:id="701" w:name="_Toc276"/>
      <w:bookmarkEnd w:id="700"/>
      <w:r>
        <w:rPr>
          <w:rtl w:val="true"/>
        </w:rPr>
        <w:t>منابع برای پژوهش</w:t>
      </w:r>
      <w:bookmarkEnd w:id="7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سعادت پرور، علی، ظهور نور، ترجمه سید محمدجواد وزیری فرد، تهران، شرکت انتشارات احیاء کتاب،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طبسی، محمدرضا، شیعه و رجعت، ترجمه محمد میرشاه ولد، انتشارات دارالنشر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طاهری، حبیب الله، سیمای آفتاب، قم، انتشارات زائر،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رفیعی قزوینی، ابوالحسن، رجعت و معراج، تهران، کتابفروشی اسلام،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طارمی، حسن، رجعت از دیدگاه عقل، قرآن و حدیث، قم، انتشارات اسلامی،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2" w:name="pg12658_166983"/>
      <w:bookmarkStart w:id="703" w:name="pg12658_166983"/>
      <w:bookmarkEnd w:id="703"/>
    </w:p>
    <w:p>
      <w:pPr>
        <w:pStyle w:val="Heading2"/>
        <w:numPr>
          <w:ilvl w:val="1"/>
          <w:numId w:val="1"/>
        </w:numPr>
        <w:rPr/>
      </w:pPr>
      <w:bookmarkStart w:id="704" w:name="pg12658_166983"/>
      <w:bookmarkStart w:id="705" w:name="__RefHeading___Toc643809_222507752"/>
      <w:bookmarkStart w:id="706" w:name="_Toc277"/>
      <w:bookmarkEnd w:id="704"/>
      <w:bookmarkEnd w:id="705"/>
      <w:r>
        <w:rPr>
          <w:rtl w:val="true"/>
        </w:rPr>
        <w:t>درس دوازدهم</w:t>
      </w:r>
      <w:r>
        <w:rPr>
          <w:rtl w:val="true"/>
        </w:rPr>
        <w:t xml:space="preserve">: </w:t>
      </w:r>
      <w:r>
        <w:rPr>
          <w:rtl w:val="true"/>
        </w:rPr>
        <w:t xml:space="preserve">رجعت و رجعت کنندگان </w:t>
      </w:r>
      <w:r>
        <w:rPr>
          <w:rtl w:val="true"/>
        </w:rPr>
        <w:t>(</w:t>
      </w:r>
      <w:r>
        <w:rPr>
          <w:rtl w:val="true"/>
        </w:rPr>
        <w:t>درآخرالزمان</w:t>
      </w:r>
      <w:r>
        <w:rPr>
          <w:rtl w:val="true"/>
        </w:rPr>
        <w:t>)</w:t>
      </w:r>
      <w:bookmarkEnd w:id="706"/>
    </w:p>
    <w:p>
      <w:pPr>
        <w:pStyle w:val="Heading3"/>
        <w:numPr>
          <w:ilvl w:val="2"/>
          <w:numId w:val="1"/>
        </w:numPr>
        <w:rPr/>
      </w:pPr>
      <w:bookmarkStart w:id="707" w:name="__RefHeading___Toc643811_222507752"/>
      <w:bookmarkStart w:id="708" w:name="_Toc278"/>
      <w:bookmarkEnd w:id="707"/>
      <w:r>
        <w:rPr>
          <w:rtl w:val="true"/>
        </w:rPr>
        <w:t>اشاره</w:t>
      </w:r>
      <w:bookmarkEnd w:id="708"/>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در آخرالزمان</w:t>
      </w:r>
    </w:p>
    <w:p>
      <w:pPr>
        <w:pStyle w:val="BookText"/>
        <w:rPr/>
      </w:pPr>
      <w:r>
        <w:rPr>
          <w:rFonts w:ascii="Amiri" w:hAnsi="Amiri" w:eastAsia="Amiri" w:cs="Amiri"/>
          <w:color w:val="111111"/>
          <w:sz w:val="28"/>
          <w:sz w:val="28"/>
          <w:szCs w:val="28"/>
          <w:rtl w:val="true"/>
          <w:lang w:bidi="ar-SA"/>
        </w:rPr>
        <w:t>ـ خروج دابة الارض</w:t>
      </w:r>
    </w:p>
    <w:p>
      <w:pPr>
        <w:pStyle w:val="BookText"/>
        <w:rPr/>
      </w:pPr>
      <w:r>
        <w:rPr>
          <w:rFonts w:ascii="IRNazanin" w:hAnsi="IRNazanin" w:eastAsia="IRNazanin"/>
          <w:color w:val="111111"/>
          <w:sz w:val="28"/>
          <w:sz w:val="28"/>
          <w:szCs w:val="28"/>
          <w:rtl w:val="true"/>
          <w:lang w:bidi="fa-IR"/>
        </w:rPr>
        <w:t>ـ زنده‌شدن برخی مردگان</w:t>
      </w:r>
    </w:p>
    <w:p>
      <w:pPr>
        <w:pStyle w:val="BookText"/>
        <w:rPr/>
      </w:pPr>
      <w:r>
        <w:rPr>
          <w:rFonts w:ascii="IRNazanin" w:hAnsi="IRNazanin" w:eastAsia="IRNazanin"/>
          <w:color w:val="111111"/>
          <w:sz w:val="28"/>
          <w:sz w:val="28"/>
          <w:szCs w:val="28"/>
          <w:rtl w:val="true"/>
          <w:lang w:bidi="fa-IR"/>
        </w:rPr>
        <w:t>ـ پیمان انبیا بر یاری پیامبر صلی الله علیه و آله</w:t>
      </w:r>
    </w:p>
    <w:p>
      <w:pPr>
        <w:pStyle w:val="BookText"/>
        <w:rPr/>
      </w:pPr>
      <w:r>
        <w:rPr>
          <w:rFonts w:ascii="IRNazanin" w:hAnsi="IRNazanin" w:eastAsia="IRNazanin"/>
          <w:color w:val="111111"/>
          <w:sz w:val="28"/>
          <w:sz w:val="28"/>
          <w:szCs w:val="28"/>
          <w:rtl w:val="true"/>
          <w:lang w:bidi="fa-IR"/>
        </w:rPr>
        <w:t>ـ دو بار زنده‌شدن و دو بار مردن</w:t>
      </w:r>
    </w:p>
    <w:p>
      <w:pPr>
        <w:pStyle w:val="BookText"/>
        <w:rPr/>
      </w:pPr>
      <w:r>
        <w:rPr>
          <w:rFonts w:ascii="IRNazanin" w:hAnsi="IRNazanin" w:eastAsia="IRNazanin"/>
          <w:color w:val="111111"/>
          <w:sz w:val="28"/>
          <w:sz w:val="28"/>
          <w:szCs w:val="28"/>
          <w:rtl w:val="true"/>
          <w:lang w:bidi="fa-IR"/>
        </w:rPr>
        <w:t>ـ سوگند دشمنان اهل بیت بر زنده‌نشدن مردگان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رجعت‌کنندگان </w:t>
      </w:r>
      <w:bookmarkStart w:id="709" w:name="pg12658_166985"/>
    </w:p>
    <w:p>
      <w:pPr>
        <w:pStyle w:val="Heading3"/>
        <w:numPr>
          <w:ilvl w:val="2"/>
          <w:numId w:val="1"/>
        </w:numPr>
        <w:rPr/>
      </w:pPr>
      <w:bookmarkStart w:id="710" w:name="__RefHeading___Toc643813_222507752"/>
      <w:bookmarkStart w:id="711" w:name="_Toc279"/>
      <w:bookmarkEnd w:id="709"/>
      <w:bookmarkEnd w:id="710"/>
      <w:r>
        <w:rPr>
          <w:rtl w:val="true"/>
        </w:rPr>
        <w:t>پیش‌درآمد</w:t>
      </w:r>
      <w:bookmarkEnd w:id="711"/>
    </w:p>
    <w:p>
      <w:pPr>
        <w:pStyle w:val="BookText"/>
        <w:rPr/>
      </w:pPr>
      <w:r>
        <w:rPr>
          <w:rFonts w:ascii="IRNazanin" w:hAnsi="IRNazanin" w:eastAsia="IRNazanin"/>
          <w:color w:val="111111"/>
          <w:sz w:val="28"/>
          <w:sz w:val="28"/>
          <w:szCs w:val="28"/>
          <w:rtl w:val="true"/>
          <w:lang w:bidi="fa-IR"/>
        </w:rPr>
        <w:t>پیروان مکتب اهل بیت با استناد به سخنان امامان معصوم علیهم‌السلام بازگشت برخی مردگان را در آخرالزمان و دوران ظهور حضرت مهدی علیه‌السلام امری ناگزیر و مسلم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آیاتی که در درس گذشته بر وقوع رجعت یاد شد که دلیل روشنی بر امکان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دیگری از آیات که در‌بارة رجعت سخن گفته است، آیاتی است که به بیان برخی از روایات، بر رجعت در آخرالزمان و پیش از قیامت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دسته نخست، این گروه از آیات، نیازمند تأویل، یا تفسیر به وسیلة پیشوایان معصوم علیهم‌السلام و بزرگان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تلاش می‌شود تا با بهره‌مندی از آیات قرآن کریم، سخنان معصومان علیهم‌السلام و نیز بیانات بزرگان، این بحث را در حد امکان بررسی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بیشتر مطالب را به منابع مفصل در این باره سفارش می‌کنیم</w:t>
      </w:r>
      <w:r>
        <w:rPr>
          <w:rFonts w:eastAsia="IRNazanin" w:cs="IRNazanin"/>
          <w:color w:val="111111"/>
          <w:sz w:val="28"/>
          <w:szCs w:val="28"/>
          <w:rtl w:val="true"/>
          <w:lang w:bidi="fa-IR"/>
        </w:rPr>
        <w:t>.</w:t>
      </w:r>
    </w:p>
    <w:p>
      <w:pPr>
        <w:pStyle w:val="Heading3"/>
        <w:numPr>
          <w:ilvl w:val="2"/>
          <w:numId w:val="1"/>
        </w:numPr>
        <w:rPr/>
      </w:pPr>
      <w:bookmarkStart w:id="712" w:name="__RefHeading___Toc643815_222507752"/>
      <w:bookmarkStart w:id="713" w:name="_Toc280"/>
      <w:bookmarkEnd w:id="712"/>
      <w:r>
        <w:rPr>
          <w:rtl w:val="true"/>
        </w:rPr>
        <w:t>رجعت در آخر الزمان</w:t>
      </w:r>
      <w:bookmarkEnd w:id="713"/>
    </w:p>
    <w:p>
      <w:pPr>
        <w:pStyle w:val="Heading4"/>
        <w:numPr>
          <w:ilvl w:val="3"/>
          <w:numId w:val="1"/>
        </w:numPr>
        <w:rPr/>
      </w:pPr>
      <w:bookmarkStart w:id="714" w:name="__RefHeading___Toc643817_222507752"/>
      <w:bookmarkStart w:id="715" w:name="_Toc281"/>
      <w:bookmarkEnd w:id="714"/>
      <w:r>
        <w:rPr>
          <w:rtl w:val="true"/>
        </w:rPr>
        <w:t>اشاره</w:t>
      </w:r>
      <w:bookmarkEnd w:id="715"/>
    </w:p>
    <w:p>
      <w:pPr>
        <w:pStyle w:val="BookText"/>
        <w:rPr/>
      </w:pPr>
      <w:r>
        <w:rPr>
          <w:rFonts w:ascii="IRNazanin" w:hAnsi="IRNazanin" w:eastAsia="IRNazanin"/>
          <w:color w:val="111111"/>
          <w:sz w:val="28"/>
          <w:sz w:val="28"/>
          <w:szCs w:val="28"/>
          <w:rtl w:val="true"/>
          <w:lang w:bidi="fa-IR"/>
        </w:rPr>
        <w:t>بر خلاف تصور برخی که رجعت در عصر ظهور و پیش از برپایی قیامت را فقط با بهره از روایات می‌دانند، از شماری از آیات قرآن نیز ـ اگرچه با توضیح روایات ـ می‌توان این پدیدة بزرگ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آیات و مباحث مربوط، بدین قرارند</w:t>
      </w:r>
      <w:r>
        <w:rPr>
          <w:rFonts w:eastAsia="IRNazanin" w:cs="IRNazanin"/>
          <w:color w:val="111111"/>
          <w:sz w:val="28"/>
          <w:szCs w:val="28"/>
          <w:rtl w:val="true"/>
          <w:lang w:bidi="fa-IR"/>
        </w:rPr>
        <w:t>:</w:t>
      </w:r>
    </w:p>
    <w:p>
      <w:pPr>
        <w:pStyle w:val="Heading4"/>
        <w:numPr>
          <w:ilvl w:val="3"/>
          <w:numId w:val="1"/>
        </w:numPr>
        <w:rPr/>
      </w:pPr>
      <w:bookmarkStart w:id="716" w:name="__RefHeading___Toc643819_222507752"/>
      <w:bookmarkStart w:id="717" w:name="_Toc282"/>
      <w:bookmarkEnd w:id="716"/>
      <w:r>
        <w:rPr>
          <w:rtl w:val="true"/>
        </w:rPr>
        <w:t>ـ خروج دابة الارض</w:t>
      </w:r>
      <w:bookmarkEnd w:id="71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آیاتی که با استفاده از روایت اهل بیت علیهم‌السلام مربوط به رجعت دانسته شده </w:t>
      </w:r>
    </w:p>
    <w:p>
      <w:pPr>
        <w:pStyle w:val="BookText"/>
        <w:rPr/>
      </w:pPr>
      <w:r>
        <w:rPr>
          <w:rFonts w:ascii="IRNazanin" w:hAnsi="IRNazanin" w:eastAsia="IRNazanin"/>
          <w:color w:val="111111"/>
          <w:sz w:val="28"/>
          <w:sz w:val="28"/>
          <w:szCs w:val="28"/>
          <w:rtl w:val="true"/>
          <w:lang w:bidi="fa-IR"/>
        </w:rPr>
        <w:t xml:space="preserve">است، آیه‌ای است که از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وَقَعَ الْقَوْلُ عَلَیهِْمْ أَخْرَجْنَا لهَُمْ دَابَّةً مِّنَ الْأَرْضِ تُکلَِّمُهُمْ أَنَّ النَّاسَ کاَنُواْ بَِایَاتِنَا لَا یُوقِنُون؛</w:t>
      </w:r>
      <w:r>
        <w:rPr>
          <w:rStyle w:val="FootnoteAnchor"/>
          <w:rtl w:val="true"/>
        </w:rPr>
        <w:footnoteReference w:id="295"/>
      </w:r>
      <w:r>
        <w:rPr>
          <w:rFonts w:ascii="IRNazanin" w:hAnsi="IRNazanin" w:eastAsia="IRNazanin"/>
          <w:color w:val="111111"/>
          <w:sz w:val="28"/>
          <w:sz w:val="28"/>
          <w:szCs w:val="28"/>
          <w:rtl w:val="true"/>
          <w:lang w:bidi="fa-IR"/>
        </w:rPr>
        <w:t xml:space="preserve">و چون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واجب گردد، جنبنده‌ای را از زمین برای آنان بیرون می‌آوریم که با ایشان سخن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نشانه‌های ما یقین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بحث روایی در ذیل آیه شریف، به نقل از تفسیر قمی از حضرت امام صادق علیه‌السلام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امیرالمؤمنین برخورد و او را در مسجد خوابیده دید؛ بدین حال که مقداری شن جمع کرده و سرش را روی آن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پای خود حرکتش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ای 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هم می‌توانیم رفقای خود را به این نام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جز برای او نیست و او همان دابه‌ای است که خدای تعالی در کتابش دربارة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وَقَعَ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آخرالزمان شود، خدای تعالی تو را در بهترین صورت بیرون می‌آورد؛ در حالی که با تو است وسیلة داغ‌نهادن و دشمنان خود را با آن، نشان می‌کنی</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ـ بر خلاف آنچه بعضی می‌پندارند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جنبندگان غیر انسان اطلاق نمی‌شود؛ بلکه مفهوم گسترده‌ای دارد که انسان‌ها را نیز دربر می‌گیرد؛ چنان‌که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دَآبَّةٍ فِی الْأَرْضِ إِلَّا عَلَی اللَّهِ رِزْقُهَا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جنبنده‌ای در زمین نیست، مگر این‌که روزی او بر عهدة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آمده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یُؤَاخِذُ اللَّهُ النَّاسَ بِظُلْمِهِم مَا تَرَکَ عَلَیْهَا مِن دَآبَّةٍ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خداوند، مردم را به سبب ستم‌هایشان مجازات می‌کرد، جنبنده‌ای را بر زمین باقی نمی‌گذاشت</w:t>
      </w:r>
      <w:r>
        <w:rPr>
          <w:rFonts w:eastAsia="IRNazanin" w:cs="IRNazanin"/>
          <w:color w:val="111111"/>
          <w:sz w:val="28"/>
          <w:szCs w:val="28"/>
          <w:rtl w:val="true"/>
          <w:lang w:bidi="fa-IR"/>
        </w:rPr>
        <w:t xml:space="preserve">. </w:t>
      </w:r>
      <w:bookmarkStart w:id="718" w:name="pg12658_166989"/>
    </w:p>
    <w:p>
      <w:pPr>
        <w:pStyle w:val="BookText"/>
        <w:rPr/>
      </w:pPr>
      <w:bookmarkEnd w:id="718"/>
      <w:r>
        <w:rPr>
          <w:rFonts w:ascii="IRNazanin" w:hAnsi="IRNazanin" w:eastAsia="IRNazanin"/>
          <w:color w:val="111111"/>
          <w:sz w:val="28"/>
          <w:sz w:val="28"/>
          <w:szCs w:val="28"/>
          <w:rtl w:val="true"/>
          <w:lang w:bidi="fa-IR"/>
        </w:rPr>
        <w:t>البته اهل سنّت، دابة الارض را موجودی از جنس غیر انسان با ویژگی‌های شگفت‌آور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 در بیشتر تفاسیر آنها ذیل آیه آن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به پیروی از روایات معصومان علیهم‌السلام دابة الارض را یک انسان فوق‌العاده می‌دانند که یکی از کارهای برجستة او، جداساختن صفوف مسلمانان از منافقان و نشانه گذاری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برخی روایات استفاده می‌شود که عصای موسی و انگشتر سلیمان با او است و می‌دانیم که عصای موسی، ابزار توان و اعجاز، و خاتم سلیمان ابزار حکومت و سلطة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یک انسان توان‌مند و افشاگر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حضرت امیر خود را این‌گونه وصف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لَصَاحِبُ الْکَرَّاتِ وَ دَوْلَةِ الدُّوَلِ وَ إِنِّی لَصَاحِبُ الْعَصَا وَ الْمِیسَمِ وَ الدَّابَّةُ الَّتِی تُکَلِّمُ النَّاسَ؛</w:t>
      </w:r>
      <w:r>
        <w:rPr>
          <w:rStyle w:val="FootnoteAnchor"/>
          <w:rtl w:val="true"/>
        </w:rPr>
        <w:footnoteReference w:id="297"/>
      </w:r>
      <w:r>
        <w:rPr>
          <w:rFonts w:ascii="IRNazanin" w:hAnsi="IRNazanin" w:eastAsia="IRNazanin"/>
          <w:color w:val="111111"/>
          <w:sz w:val="28"/>
          <w:sz w:val="28"/>
          <w:szCs w:val="28"/>
          <w:rtl w:val="true"/>
          <w:lang w:bidi="fa-IR"/>
        </w:rPr>
        <w:t>و همانا من صاحب بازگشت‌ها و دولت دولت‌ها هستم و من صاحب عصا و نشانه‌گذار و جنبنده‌ای هستم که با مردم سخن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این رو، در زیارت امام علی علیه‌السلام به نقل از امام صادق علیه‌السلام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عَمُودَ الدِّینِ وَ وَارِثَ عِلْمِ الْأَوَّلِینَ وَ الْآخِرِینَ وَ صَاحِبَ الْمِیسَم؛</w:t>
      </w:r>
      <w:r>
        <w:rPr>
          <w:rStyle w:val="FootnoteAnchor"/>
          <w:rtl w:val="true"/>
        </w:rPr>
        <w:footnoteReference w:id="298"/>
      </w:r>
      <w:r>
        <w:rPr>
          <w:rFonts w:ascii="IRNazanin" w:hAnsi="IRNazanin" w:eastAsia="IRNazanin"/>
          <w:color w:val="111111"/>
          <w:sz w:val="28"/>
          <w:sz w:val="28"/>
          <w:szCs w:val="28"/>
          <w:rtl w:val="true"/>
          <w:lang w:bidi="fa-IR"/>
        </w:rPr>
        <w:t>درود بر تو ای ستون دین و وارث دانش اولین و آخرین و صاحب نشانه‌گذار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آنچه نقل شد، به راحتی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دابةالارض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برجسته‌ای است که برای انجام کاری بس مهمّ پیش از قیامت به زمین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این‌که در روایات شیعه و سنّی وارد شده است که مؤمن و کافر را نشانه‌گذاری می‌کند و صفوفشان را مشخص می‌سازد، با انسان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سخن‌گفتن با مردم که در متن آیه قرآن به عنوان توصیف او آمده نیز مناسب همین معنا است</w:t>
      </w:r>
      <w:r>
        <w:rPr>
          <w:rFonts w:eastAsia="IRNazanin" w:cs="IRNazanin"/>
          <w:color w:val="111111"/>
          <w:sz w:val="28"/>
          <w:szCs w:val="28"/>
          <w:rtl w:val="true"/>
          <w:lang w:bidi="fa-IR"/>
        </w:rPr>
        <w:t>.</w:t>
      </w:r>
    </w:p>
    <w:p>
      <w:pPr>
        <w:pStyle w:val="Heading4"/>
        <w:numPr>
          <w:ilvl w:val="3"/>
          <w:numId w:val="1"/>
        </w:numPr>
        <w:rPr/>
      </w:pPr>
      <w:bookmarkStart w:id="719" w:name="__RefHeading___Toc643821_222507752"/>
      <w:bookmarkStart w:id="720" w:name="_Toc283"/>
      <w:bookmarkEnd w:id="719"/>
      <w:r>
        <w:rPr>
          <w:rtl w:val="true"/>
        </w:rPr>
        <w:t>ـ زنده‌شدن برخی مردگان</w:t>
      </w:r>
      <w:bookmarkEnd w:id="72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آیاتی که به واسطة آن بر حتمی‌بودن رجعت در آخرالزمان، استدلال شده است، چنین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وَیَوْمَ نَحْشُرُ مِن کُلِّ أُمَّةٍ فَوْجًا مَمَّن یُکَذِّبُ بَِآیَتِنَا فَهُمْ یُوزَعُونَ؛</w:t>
      </w:r>
      <w:r>
        <w:rPr>
          <w:rStyle w:val="FootnoteAnchor"/>
          <w:rtl w:val="true"/>
        </w:rPr>
        <w:footnoteReference w:id="299"/>
      </w:r>
      <w:r>
        <w:rPr>
          <w:rFonts w:ascii="IRNazanin" w:hAnsi="IRNazanin" w:eastAsia="IRNazanin"/>
          <w:color w:val="111111"/>
          <w:sz w:val="28"/>
          <w:sz w:val="28"/>
          <w:szCs w:val="28"/>
          <w:rtl w:val="true"/>
          <w:lang w:bidi="fa-IR"/>
        </w:rPr>
        <w:t>و آن روز که از هر امتی، گروهی از کسانی را که آیات ما را تکذیب کرده‌اند، محشور می‌کنیم؛ پس آنان نگاه داشته می‌شوند، تا همه به هم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به وسیلة این آیه، بر رجعت در آخرالزمان، استدلال کرده‌اند، می‌توان شیخ مفید</w:t>
      </w:r>
      <w:r>
        <w:rPr>
          <w:rStyle w:val="FootnoteAnchor"/>
          <w:rtl w:val="true"/>
        </w:rPr>
        <w:footnoteReference w:id="300"/>
      </w:r>
      <w:r>
        <w:rPr>
          <w:rFonts w:ascii="IRNazanin" w:hAnsi="IRNazanin" w:eastAsia="IRNazanin"/>
          <w:color w:val="111111"/>
          <w:sz w:val="28"/>
          <w:sz w:val="28"/>
          <w:szCs w:val="28"/>
          <w:rtl w:val="true"/>
          <w:lang w:bidi="fa-IR"/>
        </w:rPr>
        <w:t>و نیز شیخ طوسی</w:t>
      </w:r>
      <w:r>
        <w:rPr>
          <w:rStyle w:val="FootnoteAnchor"/>
          <w:rtl w:val="true"/>
        </w:rPr>
        <w:footnoteReference w:id="301"/>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تفسیر مجمع البیان ذیل این آیة شریف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که به رجعت عقیده دارند، با این آیه، بر درستی اعتقاد خود استدلال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موجب تبعیض است و دلالت دارد بر این‌که در روز مورد نظر، برخی از اقوام برانگیخته شده و برخی دیگر برانگیخته نمی‌شوند و این، صفت روز رستاخیر نیست؛ چرا که خداوند سبحان، درباره آن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 می‌انگیزیم و هیچ یک از آنان را فروگذار نمی‌کنیم</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علامه طباطبایی نیز ذیل آیة شریف، پس از بیان برخی سخنان و ردّ آن‌ها، استدلال بالا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بیان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غیر از قیامت است، می‌نویسد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و دو آیه بعدش، پس از داستان بیرون‌شدن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واقع شده‌اند که خود، یکی از علایمی است که پیش از قیامت واقع می‌شود؛ قیامتی که در چند آیه بعد، درباره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نُفِخَ فِی الصُّورِ و تا چند آیه بعد اوصاف وقایع آن روز را بیان می‌کند و معنا ندارد پیش از آغاز بیان اصل قیامت و وقایع آن، یکی از وقایع آن را زودتر ذکر کند؛ چون ترتیب وقوعی اقتضا می کند اگر حشر یک فوج از هر امتی هم جزو وقایع قیامت باشد، آن را پس از مسأله نفخ صور ذکر فرماید؛ ولی این گونه ذکر نکرد، بلکه پیش از نفخ صور، مسأله حشر فوج از هر امتی را آورده است؛ </w:t>
      </w:r>
      <w:bookmarkStart w:id="721" w:name="pg12658_166993"/>
    </w:p>
    <w:p>
      <w:pPr>
        <w:pStyle w:val="BookText"/>
        <w:rPr/>
      </w:pPr>
      <w:bookmarkEnd w:id="721"/>
      <w:r>
        <w:rPr>
          <w:rFonts w:ascii="IRNazanin" w:hAnsi="IRNazanin" w:eastAsia="IRNazanin"/>
          <w:color w:val="111111"/>
          <w:sz w:val="28"/>
          <w:sz w:val="28"/>
          <w:szCs w:val="28"/>
          <w:rtl w:val="true"/>
          <w:lang w:bidi="fa-IR"/>
        </w:rPr>
        <w:t>پس معلوم می شود این حشر جزو وقایع قیامت نیست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در تفسیر قمی نیز همین مضمون را ذیل آیة شریف، به استناد فرمایشی از امام صادق علیه‌السلام نقل کرده است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دربارة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نَحْشُرُ مِن کُلِّ أُمَّةٍ 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گویند؟ 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دربارة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طور که آنان می گویند، نیست؛ بلکه درباره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خدای تعالی، در قیامت از هر امت فوجی را محشور می کند و بقیه آن امت‌ها را رها می کند؟ با این‌که 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وَحَشَرْنَهُمْ فَلَمْ نُغَادِرْ مِنْهُمْ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محشور کردیم و احدی را از قلم نینداختیم</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کوتاه سخن این‌که برانگیخته شدن آیة مذکور در یکی از این سه زمان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قیامت، پس از قیامت یا در هنگام قیامت و صورت چهارمی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باطل است؛ چرا که حشر در قیامت، فراگیر است؛ نه این‌که از هر امتی، تعدادی محشور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دوم نیز باطل است؛ چرا که پس از قیامت، مجرمان به جهنم و نیکان به بهشت خواهند رفت و با این بیان، فقط احتمال نخست، باقی خواهد ماند، که قول شیعه امامیه است</w:t>
      </w:r>
      <w:r>
        <w:rPr>
          <w:rFonts w:eastAsia="IRNazanin" w:cs="IRNazanin"/>
          <w:color w:val="111111"/>
          <w:sz w:val="28"/>
          <w:szCs w:val="28"/>
          <w:rtl w:val="true"/>
          <w:lang w:bidi="fa-IR"/>
        </w:rPr>
        <w:t>.</w:t>
      </w:r>
    </w:p>
    <w:p>
      <w:pPr>
        <w:pStyle w:val="Heading4"/>
        <w:numPr>
          <w:ilvl w:val="3"/>
          <w:numId w:val="1"/>
        </w:numPr>
        <w:rPr/>
      </w:pPr>
      <w:bookmarkStart w:id="722" w:name="__RefHeading___Toc643823_222507752"/>
      <w:bookmarkStart w:id="723" w:name="_Toc284"/>
      <w:bookmarkEnd w:id="722"/>
      <w:r>
        <w:rPr>
          <w:rtl w:val="true"/>
        </w:rPr>
        <w:t>ـ پیمان انبیا بر یاری پیامبر صلی الله علیه و آله</w:t>
      </w:r>
      <w:bookmarkEnd w:id="72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آیاتی که شیعه بر رجعت در آخر الزمان ارائه کرده است، این آیه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مِیثَقَ النَبِیِّینَ لَمَآ ءَاتَیْتُکُم مِّن کِتَبٍ وَحِکْمَةٍ ثُمَّ جَآءَکُمْ رَسُولٌ مُّصَدِّقٌ لِّمَا مَعَکُمْ لَتُؤْمِنُنَّ بِهِ وَلَتَنصُرُنَّهُ و قَالَ ءَأَقْرَرْتُمْ وَأَخَذْتُمْ عَلَی ذَلِکُمْ إِصْرِی قَالُواْ أَقْرَرْنَا قَالَ فَاشْهَدُواْ وَأَنَا مَعَکُم مِّنَ الشَّهِدِینَ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از پیامبران پیمان گرفت که هر گاه به شما کتاب و حکمتی دادم، سپس شما را فرستاده‌ای آمد که آنچه را با شما است </w:t>
      </w:r>
      <w:bookmarkStart w:id="724" w:name="pg12658_166995"/>
    </w:p>
    <w:p>
      <w:pPr>
        <w:pStyle w:val="BookText"/>
        <w:rPr/>
      </w:pPr>
      <w:bookmarkEnd w:id="724"/>
      <w:r>
        <w:rPr>
          <w:rFonts w:ascii="IRNazanin" w:hAnsi="IRNazanin" w:eastAsia="IRNazanin"/>
          <w:color w:val="111111"/>
          <w:sz w:val="28"/>
          <w:sz w:val="28"/>
          <w:szCs w:val="28"/>
          <w:rtl w:val="true"/>
          <w:lang w:bidi="fa-IR"/>
        </w:rPr>
        <w:t>تصدیق کرد، البته به او ایمان بیاورید و حتماً یاری‌اش کنید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اقرار کردید و در این‌باره پیمانم را 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اقرار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 باشید و من با شما از گواهانم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مکتب اهل بیت علیهم‌السلام با بهره‌مندی از راهنمایی‌های ایشان، بر این باورند که به روشنی از این آیه استفاده می‌شود یاری و ایمانی که از پیامبران بر آن پیمان گرفته شده است، پس از آمدن رسول اکرم صلی الله علیه و آله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مؤکد بوده، بر انجام کار در زمان آینده دلالت دارند؛ یعنی زمانی که پیامبر اکرم صلی الله علیه و آله و پیامبران گذشته همگی زنده شوند و پیامبران پیشین، بر پایة پیمان الهی خود، نبی اکرم صلی الله علیه و آله را یاری دهند</w:t>
      </w:r>
      <w:r>
        <w:rPr>
          <w:rFonts w:eastAsia="IRNazanin" w:cs="IRNazanin"/>
          <w:color w:val="111111"/>
          <w:sz w:val="28"/>
          <w:szCs w:val="28"/>
          <w:rtl w:val="true"/>
          <w:lang w:bidi="fa-IR"/>
        </w:rPr>
        <w:t>.</w:t>
      </w:r>
    </w:p>
    <w:p>
      <w:pPr>
        <w:pStyle w:val="Heading4"/>
        <w:numPr>
          <w:ilvl w:val="3"/>
          <w:numId w:val="1"/>
        </w:numPr>
        <w:rPr/>
      </w:pPr>
      <w:bookmarkStart w:id="725" w:name="__RefHeading___Toc643825_222507752"/>
      <w:bookmarkStart w:id="726" w:name="_Toc285"/>
      <w:bookmarkEnd w:id="725"/>
      <w:r>
        <w:rPr>
          <w:rtl w:val="true"/>
        </w:rPr>
        <w:t>ـ دو بار زنده‌شدن و دو بار مردن</w:t>
      </w:r>
      <w:bookmarkEnd w:id="726"/>
    </w:p>
    <w:p>
      <w:pPr>
        <w:pStyle w:val="BookText"/>
        <w:rPr/>
      </w:pPr>
      <w:r>
        <w:rPr>
          <w:rFonts w:ascii="IRNazanin" w:hAnsi="IRNazanin" w:eastAsia="IRNazanin"/>
          <w:color w:val="111111"/>
          <w:sz w:val="28"/>
          <w:sz w:val="28"/>
          <w:szCs w:val="28"/>
          <w:rtl w:val="true"/>
          <w:lang w:bidi="fa-IR"/>
        </w:rPr>
        <w:t>خداوند، آن گاه که سخنان برخی مردگان را نقل می‌کند، از زبان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رَبَّنَآ أَمَتَّنَا اثْنَتَیْنِ وَ أَحْیَیْتَنَا اثْنَتَیْنِ فَاعْتَرَفْنَا بِذُنُوبِنَا فَهَلْ إِلَی خُرُوجٍ مِّن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ما را میراندی و دوبار ما را زنده کردی و به گناهانمان اعتراف کردیم؛ پس آیا راهی برای بیرون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تفسیر قمی در ذیل این آیه شریف، از امام صادق علیه‌السلام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فی الرجعة؛</w:t>
      </w:r>
      <w:r>
        <w:rPr>
          <w:rStyle w:val="FootnoteAnchor"/>
          <w:rtl w:val="true"/>
        </w:rPr>
        <w:footnoteReference w:id="307"/>
      </w:r>
      <w:r>
        <w:rPr>
          <w:rFonts w:ascii="IRNazanin" w:hAnsi="IRNazanin" w:eastAsia="IRNazanin"/>
          <w:color w:val="111111"/>
          <w:sz w:val="28"/>
          <w:sz w:val="28"/>
          <w:szCs w:val="28"/>
          <w:rtl w:val="true"/>
          <w:lang w:bidi="fa-IR"/>
        </w:rPr>
        <w:t>این، در رجعت است</w:t>
      </w:r>
      <w:r>
        <w:rPr>
          <w:rFonts w:eastAsia="IRNazanin" w:cs="IRNazanin"/>
          <w:color w:val="111111"/>
          <w:sz w:val="28"/>
          <w:szCs w:val="28"/>
          <w:rtl w:val="true"/>
          <w:lang w:bidi="fa-IR"/>
        </w:rPr>
        <w:t>».</w:t>
      </w:r>
    </w:p>
    <w:p>
      <w:pPr>
        <w:pStyle w:val="Heading4"/>
        <w:numPr>
          <w:ilvl w:val="3"/>
          <w:numId w:val="1"/>
        </w:numPr>
        <w:rPr/>
      </w:pPr>
      <w:bookmarkStart w:id="727" w:name="__RefHeading___Toc643827_222507752"/>
      <w:bookmarkStart w:id="728" w:name="_Toc286"/>
      <w:bookmarkEnd w:id="727"/>
      <w:r>
        <w:rPr>
          <w:rtl w:val="true"/>
        </w:rPr>
        <w:t>ـ سوگند دشمنان اهل بیت بر زنده‌نشدن مردگان</w:t>
      </w:r>
      <w:bookmarkEnd w:id="728"/>
    </w:p>
    <w:p>
      <w:pPr>
        <w:pStyle w:val="BookText"/>
        <w:rPr/>
      </w:pPr>
      <w:r>
        <w:rPr>
          <w:rFonts w:ascii="IRNazanin" w:hAnsi="IRNazanin" w:eastAsia="IRNazanin"/>
          <w:color w:val="111111"/>
          <w:sz w:val="28"/>
          <w:sz w:val="28"/>
          <w:szCs w:val="28"/>
          <w:rtl w:val="true"/>
          <w:lang w:bidi="fa-IR"/>
        </w:rPr>
        <w:t>از دیگر آیه‌هایی که در بیان معصومان علیهم‌السلام به رجعت تأویل شده، این آیه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أَقْسَمُواْ بِاللَّهِ جَهْدَ أَیْمَنِهِمْ لَایَبْعَثُ اللَّهُ مَن یَمُوتُ بَلَی وَعْدًا عَلَیْهِ حَقًّا وَ لَکِنَّ أَکْثَرَ النَّاسِ لَایَعْلَمُونَ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سخت‌ترین سوگندهایشان به خدا سوگند یاد کردند که خدا کسی را که می‌میرد بر نخواهد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بر او حق است؛ ولی بیشتر مردم نمی‌دانند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کلینی در کتاب کافی با ذکر سند از ابو بصیر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صادق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با مبالغه و پافشاری به خداوند سوگند یاد کنند که خداوند هرگز کسی که بمیرد را زنده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البته وعدة الهی حق است؛ لکن بیشتر مردم نمی‌دانند منظور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 چنین می‌پندارند و برای رسول اکرم صلی الله علیه و آله سوگند می‌خورند که خداوند هرگز مردگان را زنده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کسی که چنین سخنی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بپرس آیا مشرکان به الله قسم می‌خورند، یا به لات و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برایم معنای آیه را بیان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به پا خیزد، خداوند گروهی از شیعیان ما را برای یاری او برانگیزد و زنده کند که گیره‌های شمشیرهایشان بر روی شانه‌هایشان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قومی از شیعیان ما که نمرده باشند برسد، به یکدیگر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و فلان از قبرهایشان برانگیخته شدند و آن‌ها با قائم علیه‌السلام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گوش گروهی از دشمنان ما برسد؛ آن‌ها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دروغگو هستید؟ این دولت و حکومت شما است و شما دروغ می گویید؟ نه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شما می گویید زنده نشده و زنده نخواهند شد، تا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گفتار آن‌ها را حکایت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با مبالغه و پافشاری به خداوند سوگند یاد کنند که خداوند هرگز کسی که بمیرد را زنده نخواهد کرد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دیدیم شیعه با بهره از هر دو دسته آیات، با بیان پیشوایان معصوم علیهم‌السلام، حتمی‌بودن رجعت را در دوران حضرت مهدی علیه‌السلام اثبات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دسته دوم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محل بحث بیشتر است، استفاده از دستة نخست آیات، برای اثبات رجعت در آخرالزمان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آیات یادشده، شیعه بر این باور است که ذکر نمونه‌هایی از رجعت در </w:t>
      </w:r>
      <w:bookmarkStart w:id="729" w:name="pg12658_166999"/>
    </w:p>
    <w:p>
      <w:pPr>
        <w:pStyle w:val="BookText"/>
        <w:rPr/>
      </w:pPr>
      <w:bookmarkEnd w:id="729"/>
      <w:r>
        <w:rPr>
          <w:rFonts w:ascii="IRNazanin" w:hAnsi="IRNazanin" w:eastAsia="IRNazanin"/>
          <w:color w:val="111111"/>
          <w:sz w:val="28"/>
          <w:sz w:val="28"/>
          <w:szCs w:val="28"/>
          <w:rtl w:val="true"/>
          <w:lang w:bidi="fa-IR"/>
        </w:rPr>
        <w:t>گذشته، می‌تواند خود دلیلی بر وقوع آن در آینده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در روایتی ارزشمند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نفسی بیده لترکبنّ سنن من کان قبلکم حذو النعل بالنعل و القذة بالقذة حتی لا تخطئون طریقهم و لایخطئون سنن بنی‌اسرائیل؛</w:t>
      </w:r>
      <w:r>
        <w:rPr>
          <w:rStyle w:val="FootnoteAnchor"/>
          <w:rtl w:val="true"/>
        </w:rPr>
        <w:footnoteReference w:id="310"/>
      </w:r>
      <w:r>
        <w:rPr>
          <w:rFonts w:ascii="IRNazanin" w:hAnsi="IRNazanin" w:eastAsia="IRNazanin"/>
          <w:color w:val="111111"/>
          <w:sz w:val="28"/>
          <w:sz w:val="28"/>
          <w:szCs w:val="28"/>
          <w:rtl w:val="true"/>
          <w:lang w:bidi="fa-IR"/>
        </w:rPr>
        <w:t>به آن کسی که جانم به دست او است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مسلمانان با هر سنّتی که در امت‌های گذشته جریان داشته است، رو به رو خواهید شد و آنچه در آن امت‌ها جریان یافته است، مو به مو در این امت جریان خواهد یافت؛ به طوری که نه شما از آن سنّت‌ها منحرف می‌شوید و نه آن سنّت‌ها که در بنی‌اسرائیل بود شما را نادیده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اهل سنّت، اتفاق نظر دارند که در امت‌های گذشته رجعت‌هایی صورت گرفته است و نیز اتفاق نظر دارند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در امت‌های گذشته رخ داده است، در امت من نیز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رجعت، یکی از مهم‌ترین حوادث امت‌های پیش است و نیز شکی نیست که تا امروز، چنین رویدادی در امت اسلامی رخ نداده است؛ بنابراین در آینده چنین خواهد شد</w:t>
      </w:r>
      <w:r>
        <w:rPr>
          <w:rFonts w:eastAsia="IRNazanin" w:cs="IRNazanin"/>
          <w:color w:val="111111"/>
          <w:sz w:val="28"/>
          <w:szCs w:val="28"/>
          <w:rtl w:val="true"/>
          <w:lang w:bidi="fa-IR"/>
        </w:rPr>
        <w:t>.</w:t>
      </w:r>
    </w:p>
    <w:p>
      <w:pPr>
        <w:pStyle w:val="Heading3"/>
        <w:numPr>
          <w:ilvl w:val="2"/>
          <w:numId w:val="1"/>
        </w:numPr>
        <w:rPr/>
      </w:pPr>
      <w:bookmarkStart w:id="730" w:name="__RefHeading___Toc643829_222507752"/>
      <w:bookmarkStart w:id="731" w:name="_Toc287"/>
      <w:bookmarkEnd w:id="730"/>
      <w:r>
        <w:rPr>
          <w:rtl w:val="true"/>
        </w:rPr>
        <w:t>رجعت‌کنندگان</w:t>
      </w:r>
      <w:bookmarkEnd w:id="731"/>
    </w:p>
    <w:p>
      <w:pPr>
        <w:pStyle w:val="Heading4"/>
        <w:numPr>
          <w:ilvl w:val="3"/>
          <w:numId w:val="1"/>
        </w:numPr>
        <w:rPr/>
      </w:pPr>
      <w:bookmarkStart w:id="732" w:name="__RefHeading___Toc643831_222507752"/>
      <w:bookmarkStart w:id="733" w:name="_Toc288"/>
      <w:bookmarkEnd w:id="732"/>
      <w:r>
        <w:rPr>
          <w:rtl w:val="true"/>
        </w:rPr>
        <w:t>اشاره</w:t>
      </w:r>
      <w:bookmarkEnd w:id="73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روایاتی که به صورت کلی رجعت‌کنندگان را مؤمنان خالص و کافران خالص ذکر کرده است مانند روایتی که از امام صادق علیه‌السلام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الرجعه لیست بعامة و هی خاصة لا یرجع الّا من محض الایمان محضاً او محض الشرک محضاً؛</w:t>
      </w:r>
      <w:r>
        <w:rPr>
          <w:rStyle w:val="FootnoteAnchor"/>
          <w:rtl w:val="true"/>
        </w:rPr>
        <w:footnoteReference w:id="311"/>
      </w:r>
      <w:r>
        <w:rPr>
          <w:rFonts w:ascii="IRNazanin" w:hAnsi="IRNazanin" w:eastAsia="IRNazanin"/>
          <w:color w:val="111111"/>
          <w:sz w:val="28"/>
          <w:sz w:val="28"/>
          <w:szCs w:val="28"/>
          <w:rtl w:val="true"/>
          <w:lang w:bidi="fa-IR"/>
        </w:rPr>
        <w:t>رجعت همگانی نیست و فقط مؤمنان خالص و محض و نیز مشرکان محض به دنیا بر می‌گردند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روایات نیز به افراد و گروه‌هایی به‌طور ویژه اشاره کرده است</w:t>
      </w:r>
      <w:r>
        <w:rPr>
          <w:rFonts w:eastAsia="IRNazanin" w:cs="IRNazanin"/>
          <w:color w:val="111111"/>
          <w:sz w:val="28"/>
          <w:szCs w:val="28"/>
          <w:rtl w:val="true"/>
          <w:lang w:bidi="fa-IR"/>
        </w:rPr>
        <w:t xml:space="preserve">: </w:t>
      </w:r>
      <w:bookmarkStart w:id="734" w:name="pg12658_167001"/>
    </w:p>
    <w:p>
      <w:pPr>
        <w:pStyle w:val="Heading4"/>
        <w:numPr>
          <w:ilvl w:val="3"/>
          <w:numId w:val="1"/>
        </w:numPr>
        <w:rPr/>
      </w:pPr>
      <w:bookmarkStart w:id="735" w:name="__RefHeading___Toc643833_222507752"/>
      <w:bookmarkStart w:id="736" w:name="_Toc289"/>
      <w:bookmarkEnd w:id="734"/>
      <w:bookmarkEnd w:id="735"/>
      <w:r>
        <w:rPr/>
        <w:t>1</w:t>
      </w:r>
      <w:r>
        <w:rPr>
          <w:rtl w:val="true"/>
        </w:rPr>
        <w:t xml:space="preserve">. </w:t>
      </w:r>
      <w:r>
        <w:rPr>
          <w:rtl w:val="true"/>
        </w:rPr>
        <w:t>رجعت پیامبر اکرم صلی الله علیه وآله</w:t>
      </w:r>
      <w:bookmarkEnd w:id="736"/>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ابوخالد کابلی از امام سجّاد علیه‌السلام نقل کرده که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فَرَضَ عَلَیْکَ الْقُرْءَانَ لَرَآدُّکَ إِلَی مَعَادٍ</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 الیکم نبیکم‌صلی الله علیه وآله…؛</w:t>
      </w:r>
      <w:r>
        <w:rPr>
          <w:rStyle w:val="FootnoteAnchor"/>
          <w:rtl w:val="true"/>
        </w:rPr>
        <w:footnoteReference w:id="313"/>
      </w:r>
      <w:r>
        <w:rPr>
          <w:rFonts w:ascii="IRNazanin" w:hAnsi="IRNazanin" w:eastAsia="IRNazanin"/>
          <w:color w:val="111111"/>
          <w:sz w:val="28"/>
          <w:sz w:val="28"/>
          <w:szCs w:val="28"/>
          <w:rtl w:val="true"/>
          <w:lang w:bidi="fa-IR"/>
        </w:rPr>
        <w:t>پیامبرتان به سوی شما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بکیر بن اعین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لی من لاشک فیه ـ یعنی ابا جعفر علیه‌السلام ـ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عَلیاً سَیَرْجِعْان؛</w:t>
      </w:r>
      <w:r>
        <w:rPr>
          <w:rStyle w:val="FootnoteAnchor"/>
          <w:rtl w:val="true"/>
        </w:rPr>
        <w:footnoteReference w:id="314"/>
      </w:r>
      <w:r>
        <w:rPr>
          <w:rFonts w:ascii="IRNazanin" w:hAnsi="IRNazanin" w:eastAsia="IRNazanin"/>
          <w:color w:val="111111"/>
          <w:sz w:val="28"/>
          <w:sz w:val="28"/>
          <w:szCs w:val="28"/>
          <w:rtl w:val="true"/>
          <w:lang w:bidi="fa-IR"/>
        </w:rPr>
        <w:t>کسی که هیچ تردید در او ندارم؛ یعنی امام باقر علیه‌السلام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علی رجعت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مرحوم علامه طباطبایی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مِنَ‌الْمُنظَرِینَ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الْوَقْتِ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از تفسیر قمی نقل کرده است که امام صادق علیه‌السلام درباره آیه مذکور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الوقت المعلوم یوم یذبحه رسول‌اللَّه‌صلی الله علیه وآله علی الصخرة التی فی بیت المقدس؛</w:t>
      </w:r>
      <w:r>
        <w:rPr>
          <w:rStyle w:val="FootnoteAnchor"/>
          <w:rtl w:val="true"/>
        </w:rPr>
        <w:footnoteReference w:id="316"/>
      </w:r>
      <w:r>
        <w:rPr>
          <w:rFonts w:ascii="IRNazanin" w:hAnsi="IRNazanin" w:eastAsia="IRNazanin"/>
          <w:color w:val="111111"/>
          <w:sz w:val="28"/>
          <w:sz w:val="28"/>
          <w:szCs w:val="28"/>
          <w:rtl w:val="true"/>
          <w:lang w:bidi="fa-IR"/>
        </w:rPr>
        <w:t xml:space="preserve">روز وقت معلوم روزی است که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صخره‌ای در بیت مقدس می‌کشد</w:t>
      </w:r>
      <w:r>
        <w:rPr>
          <w:rFonts w:eastAsia="IRNazanin" w:cs="IRNazanin"/>
          <w:color w:val="111111"/>
          <w:sz w:val="28"/>
          <w:szCs w:val="28"/>
          <w:rtl w:val="true"/>
          <w:lang w:bidi="fa-IR"/>
        </w:rPr>
        <w:t>.»</w:t>
      </w:r>
    </w:p>
    <w:p>
      <w:pPr>
        <w:pStyle w:val="Heading4"/>
        <w:numPr>
          <w:ilvl w:val="3"/>
          <w:numId w:val="1"/>
        </w:numPr>
        <w:rPr/>
      </w:pPr>
      <w:bookmarkStart w:id="737" w:name="__RefHeading___Toc643835_222507752"/>
      <w:bookmarkStart w:id="738" w:name="_Toc290"/>
      <w:bookmarkEnd w:id="737"/>
      <w:r>
        <w:rPr/>
        <w:t>2</w:t>
      </w:r>
      <w:r>
        <w:rPr>
          <w:rtl w:val="true"/>
        </w:rPr>
        <w:t xml:space="preserve">. </w:t>
      </w:r>
      <w:r>
        <w:rPr>
          <w:rtl w:val="true"/>
        </w:rPr>
        <w:t>رجعت علی‌علیه‌السلام</w:t>
      </w:r>
      <w:bookmarkEnd w:id="73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فراوانی وارد شده است که حضرت علی علیه‌السلام، چندین بار رجعت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ابوبصیر نقل می‌کند که حضرت صادق علیه‌السلام ضمن حدیثی چنین فرمود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به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اِذا کانَ فِی آخِرالزّمان اَخرَجَکَ اللَّه فِی اَحسَنِ صُورَة وَ وَ مَعَکَ مَیْسَمٌ تَسمُ به اَعدائکَ؛</w:t>
      </w:r>
      <w:r>
        <w:rPr>
          <w:rStyle w:val="FootnoteAnchor"/>
          <w:rtl w:val="true"/>
        </w:rPr>
        <w:footnoteReference w:id="317"/>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در آخرالزمان به بهترین صورتی زنده </w:t>
      </w:r>
      <w:bookmarkStart w:id="739" w:name="pg12658_167003"/>
    </w:p>
    <w:p>
      <w:pPr>
        <w:pStyle w:val="BookText"/>
        <w:rPr/>
      </w:pPr>
      <w:bookmarkEnd w:id="739"/>
      <w:r>
        <w:rPr>
          <w:rFonts w:ascii="IRNazanin" w:hAnsi="IRNazanin" w:eastAsia="IRNazanin"/>
          <w:color w:val="111111"/>
          <w:sz w:val="28"/>
          <w:sz w:val="28"/>
          <w:szCs w:val="28"/>
          <w:rtl w:val="true"/>
          <w:lang w:bidi="fa-IR"/>
        </w:rPr>
        <w:t>می‌کند، در حالی که ابزاری در دست داری که دشمنانت را با آن نشان می‌گذاری</w:t>
      </w:r>
      <w:r>
        <w:rPr>
          <w:rFonts w:eastAsia="IRNazanin" w:cs="IRNazanin"/>
          <w:color w:val="111111"/>
          <w:sz w:val="28"/>
          <w:szCs w:val="28"/>
          <w:rtl w:val="true"/>
          <w:lang w:bidi="fa-IR"/>
        </w:rPr>
        <w:t>.</w:t>
      </w:r>
    </w:p>
    <w:p>
      <w:pPr>
        <w:pStyle w:val="Heading4"/>
        <w:numPr>
          <w:ilvl w:val="3"/>
          <w:numId w:val="1"/>
        </w:numPr>
        <w:rPr/>
      </w:pPr>
      <w:bookmarkStart w:id="740" w:name="__RefHeading___Toc643837_222507752"/>
      <w:bookmarkStart w:id="741" w:name="_Toc291"/>
      <w:bookmarkEnd w:id="740"/>
      <w:r>
        <w:rPr/>
        <w:t>3</w:t>
      </w:r>
      <w:r>
        <w:rPr>
          <w:rtl w:val="true"/>
        </w:rPr>
        <w:t xml:space="preserve">. </w:t>
      </w:r>
      <w:r>
        <w:rPr>
          <w:rtl w:val="true"/>
        </w:rPr>
        <w:t>امام حسین علیه‌السلام، اولین رجعت‌کننده</w:t>
      </w:r>
      <w:bookmarkEnd w:id="74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امام حسین‌بن علی‌بن ابی‌طالب علیه‌السلام به عنوان نخستین رجعت‌کننده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اول من یکر الی الدنیا، الحسین‌بن علی و اصحابه، و یزیدبن معاویه و اصحابه، فیقتلهم حذو القذة بالقذة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ابوعبداللَّه‌علیه‌السلام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لَکُمُ الْکَرَّةَ عَلَیْهِمْ وَ أَمْدَدْنَکُم بِأَمْوَ لٍ وَ بَنِینَ وَ جَعَلْنَکُمْ أَکْثَرَ نَفِیرًا</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همانا نخستین کسی که به دنیا بر می‌گردد حسین‌بن علی علیه‌السلام و یاران آن حضرت هستند و نیز یزیدبن معاویه و اصحاب او که حضرت آنها را یک به یک به هلاکت خواهد رساند و سپس امام صادق علیه‌السلام این آیه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شما را به سوی آنها برگردانیم و بر آنها غلبه دهیم و به مال و فرزندان نیرومند مدد بخشیم و عده شما را بسیار گردانیم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از امام کاظم علیه‌السلام روایت شده که امام حسین علیه‌السلام پیش از شهادت خود با یاران خود سخن گفتند و از جمله فرمودند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 صلی الله علیه وآله زنده بودند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تو به زودی به سمت عراق خواهی رفت؛ سرزمینی که انبیاء و اوصیاء در آنها با هم برخورد کردند؛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در آن محل تو و یارانت به شهادت خواهید رسید و اصحاب تو کسانی هستند که درد آهن را نخواهند چشید و آنگاه این آیه را تلاوت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قُلْنَا یَانَارُ کُونِی بَرْدًا وَسَلَمًا عَلَی إِبْرَ 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 شما سرد و سلامت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حسین پس از نقل این روایت از 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فابشروا، فواللَّه لئن قتلونا فانا نرد علی نبینا، ثم امکث ماشاءاللَّه فاکون اول من ینشق الارض </w:t>
      </w:r>
      <w:bookmarkStart w:id="742" w:name="pg12658_167006"/>
    </w:p>
    <w:p>
      <w:pPr>
        <w:pStyle w:val="BookText"/>
        <w:rPr/>
      </w:pPr>
      <w:bookmarkEnd w:id="742"/>
      <w:r>
        <w:rPr>
          <w:rFonts w:ascii="IRNazanin" w:hAnsi="IRNazanin" w:eastAsia="IRNazanin"/>
          <w:color w:val="111111"/>
          <w:sz w:val="28"/>
          <w:sz w:val="28"/>
          <w:szCs w:val="28"/>
          <w:rtl w:val="true"/>
          <w:lang w:bidi="fa-IR"/>
        </w:rPr>
        <w:t>عنه… و لینزلن محمد و علی و انا و اخی و جمیع من منّ‌اللَّه علیه فی حمولات من حمولات الرب خیل بلق من نور لم یرکبها مخلوق ثم لیهزن محمد لواءه و لیدفعنه الی قائمنا مع سیفه… ثم انّ امیرالمؤمنین علیه‌السلام یدفع الی سیف رسول اللَّه صلی الله علیه وآله و یبعثنی الی المشرق و المغرب فلا آتی علی عدو اللَّه الّا اهرقت دمه و لا ادع صنماً الّا احرقته حتی ادفع الی الهند فافتحها…؛</w:t>
      </w:r>
      <w:r>
        <w:rPr>
          <w:rStyle w:val="FootnoteAnchor"/>
          <w:rtl w:val="true"/>
        </w:rPr>
        <w:footnoteReference w:id="321"/>
      </w:r>
      <w:r>
        <w:rPr>
          <w:rFonts w:ascii="IRNazanin" w:hAnsi="IRNazanin" w:eastAsia="IRNazanin"/>
          <w:color w:val="111111"/>
          <w:sz w:val="28"/>
          <w:sz w:val="28"/>
          <w:szCs w:val="28"/>
          <w:rtl w:val="true"/>
          <w:lang w:bidi="fa-IR"/>
        </w:rPr>
        <w:t>بشارت باد بر شما، اگر ما کشته شویم همانا به سوی پیامبر خود باز می‌گردیم و مدتی که خدا بخواهد در آنجا می‌مانیم و پس از آن من اولین نفری هستم که زمین بر او باز می‌شود و پیامبر اکرم صلی الله علیه وآله و علی علیه‌السلام و من و برادرم حسن‌علیه‌السلام و جمیع آنان که خداوند بر آنها منّت گذارده، بر مرکب‌هایی از نور که خداوند برایمان فرستاده و پیش از ما مخلوقی بر آنها سوار نشده نازل می‌شویم و سپس نبی اکرم‌صلی الله علیه وآله پرچم خود را به حرکت در آورده و آن را به همراه شمشیرش به قائم آل‌محمد می‌دهد… سپس حضرت علی علیه‌السلام شمشیر نبی اکرم صلی الله علیه وآله را به من می‌دهد و مرا به سمت مشرق و مغرب رهسپار می‌کند و من با دشمنی از دشمنان خدا بر خورد نمی‌کنم مگر آنکه او را به هلاکت برسانم و با بتی برخورد نمی‌کنم مگر اینکه آنرا آتش می‌زنم و سپس به هند می‌روم و آنجا را نیز فتح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این روایات و روایت نخست چنین استفاده می‌شود که امام حسین علیه‌السلام مدتی با حضرت مهدی علیه‌السلام زندگی می‌کند و این‌گونه نیست که در آخرین لحظات زندگی امام مهدی علیه‌السلام رجعت نماید</w:t>
      </w:r>
      <w:r>
        <w:rPr>
          <w:rFonts w:eastAsia="IRNazanin" w:cs="IRNazanin"/>
          <w:color w:val="111111"/>
          <w:sz w:val="28"/>
          <w:szCs w:val="28"/>
          <w:rtl w:val="true"/>
          <w:lang w:bidi="fa-IR"/>
        </w:rPr>
        <w:t>.</w:t>
      </w:r>
    </w:p>
    <w:p>
      <w:pPr>
        <w:pStyle w:val="Heading4"/>
        <w:numPr>
          <w:ilvl w:val="3"/>
          <w:numId w:val="1"/>
        </w:numPr>
        <w:rPr/>
      </w:pPr>
      <w:bookmarkStart w:id="743" w:name="__RefHeading___Toc643839_222507752"/>
      <w:bookmarkStart w:id="744" w:name="_Toc292"/>
      <w:bookmarkEnd w:id="743"/>
      <w:r>
        <w:rPr/>
        <w:t>4</w:t>
      </w:r>
      <w:r>
        <w:rPr>
          <w:rtl w:val="true"/>
        </w:rPr>
        <w:t xml:space="preserve">. </w:t>
      </w:r>
      <w:r>
        <w:rPr>
          <w:rtl w:val="true"/>
        </w:rPr>
        <w:t>رجعت معصومین‌علیهم‌السلام</w:t>
      </w:r>
      <w:bookmarkEnd w:id="74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شماری از روایات به رجعت معصومین علیهم‌السلام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رجعت معصومین را در کلامی کوتاه این‌گونه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لم یؤمن بکرتنا…؛</w:t>
      </w:r>
      <w:r>
        <w:rPr>
          <w:rStyle w:val="FootnoteAnchor"/>
          <w:rtl w:val="true"/>
        </w:rPr>
        <w:footnoteReference w:id="322"/>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نیست کسی که ایمان به بازگشت ما نداشته باشد…</w:t>
      </w:r>
      <w:r>
        <w:rPr>
          <w:rFonts w:eastAsia="IRNazanin" w:cs="IRNazanin"/>
          <w:color w:val="111111"/>
          <w:sz w:val="28"/>
          <w:szCs w:val="28"/>
          <w:rtl w:val="true"/>
          <w:lang w:bidi="fa-IR"/>
        </w:rPr>
        <w:t xml:space="preserve">.» </w:t>
      </w:r>
      <w:bookmarkStart w:id="745" w:name="pg12658_167008"/>
    </w:p>
    <w:p>
      <w:pPr>
        <w:pStyle w:val="Heading4"/>
        <w:numPr>
          <w:ilvl w:val="3"/>
          <w:numId w:val="1"/>
        </w:numPr>
        <w:rPr/>
      </w:pPr>
      <w:bookmarkStart w:id="746" w:name="__RefHeading___Toc643841_222507752"/>
      <w:bookmarkStart w:id="747" w:name="_Toc293"/>
      <w:bookmarkEnd w:id="745"/>
      <w:bookmarkEnd w:id="746"/>
      <w:r>
        <w:rPr/>
        <w:t>5</w:t>
      </w:r>
      <w:r>
        <w:rPr>
          <w:rtl w:val="true"/>
        </w:rPr>
        <w:t xml:space="preserve">. </w:t>
      </w:r>
      <w:r>
        <w:rPr>
          <w:rtl w:val="true"/>
        </w:rPr>
        <w:t>رجعت پیامبران پیشین</w:t>
      </w:r>
      <w:bookmarkEnd w:id="74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روایاتی که بازگشت پیامبران گذشته را نوید داده‌اند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مسکان از امام صادق علیه‌السلام نقل می‌کند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بعث‌اللّه نبیّاً من لدن آدم فهلم جراً الّا و یرجع الی الدنیا و ینصر امیرالمؤمنین؛</w:t>
      </w:r>
      <w:r>
        <w:rPr>
          <w:rStyle w:val="FootnoteAnchor"/>
          <w:rtl w:val="true"/>
        </w:rPr>
        <w:footnoteReference w:id="323"/>
      </w:r>
      <w:r>
        <w:rPr>
          <w:rFonts w:ascii="IRNazanin" w:hAnsi="IRNazanin" w:eastAsia="IRNazanin"/>
          <w:color w:val="111111"/>
          <w:sz w:val="28"/>
          <w:sz w:val="28"/>
          <w:szCs w:val="28"/>
          <w:rtl w:val="true"/>
          <w:lang w:bidi="fa-IR"/>
        </w:rPr>
        <w:t>خداوند هیچ پیامبری را ـ از حضرت آدم تا آخر ـ بر نیانگیخت مگر اینکه به دنیا بر می‌گردند و حضرت علی علیه‌السلام را یاری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رجعت کننده</w:t>
      </w:r>
    </w:p>
    <w:p>
      <w:pPr>
        <w:pStyle w:val="BookText"/>
        <w:rPr/>
      </w:pPr>
      <w:r>
        <w:rPr>
          <w:rFonts w:ascii="IRNazanin" w:hAnsi="IRNazanin" w:eastAsia="IRNazanin"/>
          <w:color w:val="111111"/>
          <w:sz w:val="28"/>
          <w:sz w:val="28"/>
          <w:szCs w:val="28"/>
          <w:rtl w:val="true"/>
          <w:lang w:bidi="fa-IR"/>
        </w:rPr>
        <w:t>اگر چه روایات رجعت به‌طور عمده اختصاصی به زن یا مرد ندارد و زیر عنوان مؤمن محض و کافر محض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روایاتی اشاره به رجعت بانوان کرده است از جمله روایت مفضل‌بن عمر از امام صادق علیه‌السلام است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یکن مع القائم ثلاثة عشر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یصنع بهن؟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یداوین الجرحی و یقمن علی المرضی کما کان مع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فسمهن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القنوا بنت رشید و ام ایمن و حبابة الوالبیة، و سمیه، و ام عماربن یاسر و زبیده و ام خالد الاحمسیه و ام سعید الحنفیه و صبانه الماشطه و ام خالد الجهینه؛</w:t>
      </w:r>
      <w:r>
        <w:rPr>
          <w:rStyle w:val="FootnoteAnchor"/>
          <w:rtl w:val="true"/>
        </w:rPr>
        <w:footnoteReference w:id="324"/>
      </w:r>
      <w:r>
        <w:rPr>
          <w:rFonts w:ascii="IRNazanin" w:hAnsi="IRNazanin" w:eastAsia="IRNazanin"/>
          <w:color w:val="111111"/>
          <w:sz w:val="28"/>
          <w:sz w:val="28"/>
          <w:szCs w:val="28"/>
          <w:rtl w:val="true"/>
          <w:lang w:bidi="fa-IR"/>
        </w:rPr>
        <w:t>همراه قائم سیزده زن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منظور؟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مجروحین را مداوا می‌کنند و به مریض‌ها رسیدگی می‌کنند همانگونه که همراه پیامبر که بودند چنین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اگر ممکن است آنها را نام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قنوا دختر رشید و ام ایمن و حبابه والبیه و سمیه مادر عماربن یاسر و زبیده و ام خالد احمسیه و ام سعید حنفیه و صبانه ماشطه و ام خالد جهنیه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روایات به برخی افراد و گروه‌های دیگر نیز اشاره شده که در کتاب‌های مفصل آمده است</w:t>
      </w:r>
      <w:r>
        <w:rPr>
          <w:rFonts w:eastAsia="IRNazanin" w:cs="IRNazanin"/>
          <w:color w:val="111111"/>
          <w:sz w:val="28"/>
          <w:szCs w:val="28"/>
          <w:rtl w:val="true"/>
          <w:lang w:bidi="fa-IR"/>
        </w:rPr>
        <w:t xml:space="preserve">. </w:t>
      </w:r>
      <w:bookmarkStart w:id="748" w:name="pg12658_167009"/>
    </w:p>
    <w:p>
      <w:pPr>
        <w:pStyle w:val="Heading3"/>
        <w:numPr>
          <w:ilvl w:val="2"/>
          <w:numId w:val="1"/>
        </w:numPr>
        <w:rPr/>
      </w:pPr>
      <w:bookmarkStart w:id="749" w:name="__RefHeading___Toc643843_222507752"/>
      <w:bookmarkStart w:id="750" w:name="_Toc294"/>
      <w:bookmarkEnd w:id="748"/>
      <w:bookmarkEnd w:id="749"/>
      <w:r>
        <w:rPr>
          <w:rtl w:val="true"/>
        </w:rPr>
        <w:t>خودآزمایی</w:t>
      </w:r>
      <w:bookmarkEnd w:id="7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بارة دابه الارض توضیح دهید چگونه بر رجعت در آخرالزمان دلالت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مهم‌ترین آیات مربوط به رجعت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است آن را به تفصیل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چگونه بر رجعت در آخرالزمان دلالت می‌کند؟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استناد روایات پیامبر مبنی بر وقوع هر آنچه در امت‌های پیشین رخ داده چگونه می‌توان رجعت در آینده را اثبات کرد؟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 و افرادی که به طور خاص به رجعت آنها نوید داده شده است چه کسانی هستند؟ دو مورد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1" w:name="__RefHeading___Toc643845_222507752"/>
      <w:bookmarkStart w:id="752" w:name="_Toc295"/>
      <w:bookmarkEnd w:id="751"/>
      <w:r>
        <w:rPr>
          <w:rtl w:val="true"/>
        </w:rPr>
        <w:t>منابع برای پژوهش</w:t>
      </w:r>
      <w:bookmarkEnd w:id="7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سعادت پرور، علی، ظهور نور، ترجمه سید محمد جواد وزیری فرد، تهران، شرکت انتشارات احیاء کتاب،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طبسی، محمدرضا، شیعه و رجعت، ترجمه محمد میرشاه ولد، انتشارات دارالنشر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 محمّد، تاریخ پس از ظهور، ترجمه حسن سجادی‌پور، تهران، موعود عصر،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رفیعی قزوینی، ابوالحسن، رجعت و معراج، تهران،کتابفروشی اسلام،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سلیمیان، خدامراد، بازگشت به دنیا در پایان تاریخ، قم، بوستان کتاب، چ چهارم،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753" w:name="pg12658_167011"/>
    </w:p>
    <w:p>
      <w:pPr>
        <w:pStyle w:val="Heading2"/>
        <w:numPr>
          <w:ilvl w:val="1"/>
          <w:numId w:val="1"/>
        </w:numPr>
        <w:rPr/>
      </w:pPr>
      <w:bookmarkStart w:id="754" w:name="__RefHeading___Toc643847_222507752"/>
      <w:bookmarkStart w:id="755" w:name="_Toc296"/>
      <w:bookmarkEnd w:id="753"/>
      <w:bookmarkEnd w:id="754"/>
      <w:r>
        <w:rPr>
          <w:rtl w:val="true"/>
        </w:rPr>
        <w:t>درس سیزدهم</w:t>
      </w:r>
      <w:r>
        <w:rPr>
          <w:rtl w:val="true"/>
        </w:rPr>
        <w:t xml:space="preserve">: </w:t>
      </w:r>
      <w:r>
        <w:rPr>
          <w:rtl w:val="true"/>
        </w:rPr>
        <w:t>رجعت، پرسش</w:t>
      </w:r>
      <w:r>
        <w:rPr>
          <w:rtl w:val="true"/>
        </w:rPr>
        <w:softHyphen/>
      </w:r>
      <w:r>
        <w:rPr>
          <w:rtl w:val="true"/>
        </w:rPr>
        <w:t>ها و پاسخ</w:t>
      </w:r>
      <w:r>
        <w:rPr>
          <w:rtl w:val="true"/>
        </w:rPr>
        <w:softHyphen/>
      </w:r>
      <w:r>
        <w:rPr>
          <w:rtl w:val="true"/>
        </w:rPr>
        <w:t>ها</w:t>
      </w:r>
      <w:bookmarkEnd w:id="755"/>
    </w:p>
    <w:p>
      <w:pPr>
        <w:pStyle w:val="Heading3"/>
        <w:numPr>
          <w:ilvl w:val="2"/>
          <w:numId w:val="1"/>
        </w:numPr>
        <w:rPr/>
      </w:pPr>
      <w:bookmarkStart w:id="756" w:name="__RefHeading___Toc643849_222507752"/>
      <w:bookmarkStart w:id="757" w:name="_Toc297"/>
      <w:bookmarkEnd w:id="756"/>
      <w:r>
        <w:rPr>
          <w:rtl w:val="true"/>
        </w:rPr>
        <w:t>اشاره</w:t>
      </w:r>
      <w:bookmarkEnd w:id="757"/>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برخی پرسش‌ها و شبهه‌های بحث رجعت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رجعت سبب بازگشت از فعلیت</w:t>
      </w:r>
    </w:p>
    <w:p>
      <w:pPr>
        <w:pStyle w:val="BookText"/>
        <w:rPr/>
      </w:pPr>
      <w:r>
        <w:rPr>
          <w:rFonts w:ascii="IRNazanin" w:hAnsi="IRNazanin" w:eastAsia="IRNazanin"/>
          <w:color w:val="111111"/>
          <w:sz w:val="28"/>
          <w:sz w:val="28"/>
          <w:szCs w:val="28"/>
          <w:rtl w:val="true"/>
          <w:lang w:bidi="fa-IR"/>
        </w:rPr>
        <w:t>ـ رجعت همان تناسخ</w:t>
      </w:r>
    </w:p>
    <w:p>
      <w:pPr>
        <w:pStyle w:val="BookText"/>
        <w:rPr/>
      </w:pPr>
      <w:r>
        <w:rPr>
          <w:rFonts w:ascii="IRNazanin" w:hAnsi="IRNazanin" w:eastAsia="IRNazanin"/>
          <w:color w:val="111111"/>
          <w:sz w:val="28"/>
          <w:sz w:val="28"/>
          <w:szCs w:val="28"/>
          <w:rtl w:val="true"/>
          <w:lang w:bidi="fa-IR"/>
        </w:rPr>
        <w:t>ـ بازگشت کفار و مجرمین از اعمال بدشان</w:t>
      </w:r>
    </w:p>
    <w:p>
      <w:pPr>
        <w:pStyle w:val="BookText"/>
        <w:rPr/>
      </w:pPr>
      <w:r>
        <w:rPr>
          <w:rFonts w:ascii="IRNazanin" w:hAnsi="IRNazanin" w:eastAsia="IRNazanin"/>
          <w:color w:val="111111"/>
          <w:sz w:val="28"/>
          <w:sz w:val="28"/>
          <w:szCs w:val="28"/>
          <w:rtl w:val="true"/>
          <w:lang w:bidi="fa-IR"/>
        </w:rPr>
        <w:t>ـ مجازات در رجعت و ناسازگاری با دنیا</w:t>
      </w:r>
    </w:p>
    <w:p>
      <w:pPr>
        <w:pStyle w:val="BookText"/>
        <w:rPr/>
      </w:pPr>
      <w:r>
        <w:rPr>
          <w:rFonts w:ascii="IRNazanin" w:hAnsi="IRNazanin" w:eastAsia="IRNazanin"/>
          <w:color w:val="111111"/>
          <w:sz w:val="28"/>
          <w:sz w:val="28"/>
          <w:szCs w:val="28"/>
          <w:rtl w:val="true"/>
          <w:lang w:bidi="fa-IR"/>
        </w:rPr>
        <w:t>ـ تعارض رجعت با فلسفه معاد</w:t>
      </w:r>
    </w:p>
    <w:p>
      <w:pPr>
        <w:pStyle w:val="BookText"/>
        <w:rPr/>
      </w:pPr>
      <w:r>
        <w:rPr>
          <w:rFonts w:ascii="IRNazanin" w:hAnsi="IRNazanin" w:eastAsia="IRNazanin"/>
          <w:color w:val="111111"/>
          <w:sz w:val="28"/>
          <w:sz w:val="28"/>
          <w:szCs w:val="28"/>
          <w:rtl w:val="true"/>
          <w:lang w:bidi="fa-IR"/>
        </w:rPr>
        <w:t>ـ رجعت از عقاید یهودی</w:t>
      </w:r>
    </w:p>
    <w:p>
      <w:pPr>
        <w:pStyle w:val="BookText"/>
        <w:rPr/>
      </w:pPr>
      <w:r>
        <w:rPr>
          <w:rFonts w:ascii="IRNazanin" w:hAnsi="IRNazanin" w:eastAsia="IRNazanin"/>
          <w:color w:val="111111"/>
          <w:sz w:val="28"/>
          <w:sz w:val="28"/>
          <w:szCs w:val="28"/>
          <w:rtl w:val="true"/>
          <w:lang w:bidi="fa-IR"/>
        </w:rPr>
        <w:t>ـ منافات رجعت با تلقین میت</w:t>
      </w:r>
    </w:p>
    <w:p>
      <w:pPr>
        <w:pStyle w:val="BookText"/>
        <w:rPr/>
      </w:pPr>
      <w:r>
        <w:rPr>
          <w:rFonts w:ascii="IRNazanin" w:hAnsi="IRNazanin" w:eastAsia="IRNazanin"/>
          <w:color w:val="111111"/>
          <w:sz w:val="28"/>
          <w:sz w:val="28"/>
          <w:szCs w:val="28"/>
          <w:rtl w:val="true"/>
          <w:lang w:bidi="fa-IR"/>
        </w:rPr>
        <w:t>ـ رجعت و امامت فاضل بر افضل</w:t>
      </w:r>
    </w:p>
    <w:p>
      <w:pPr>
        <w:pStyle w:val="BookText"/>
        <w:rPr/>
      </w:pPr>
      <w:r>
        <w:rPr>
          <w:rFonts w:ascii="IRNazanin" w:hAnsi="IRNazanin" w:eastAsia="IRNazanin"/>
          <w:color w:val="111111"/>
          <w:sz w:val="28"/>
          <w:sz w:val="28"/>
          <w:szCs w:val="28"/>
          <w:rtl w:val="true"/>
          <w:lang w:bidi="fa-IR"/>
        </w:rPr>
        <w:t>ـ رجعت در تعارض با برخی آیات قرآن</w:t>
      </w:r>
    </w:p>
    <w:p>
      <w:pPr>
        <w:pStyle w:val="BookText"/>
        <w:rPr/>
      </w:pPr>
      <w:r>
        <w:rPr>
          <w:rFonts w:ascii="IRNazanin" w:hAnsi="IRNazanin" w:eastAsia="IRNazanin"/>
          <w:color w:val="111111"/>
          <w:sz w:val="28"/>
          <w:sz w:val="28"/>
          <w:szCs w:val="28"/>
          <w:rtl w:val="true"/>
          <w:lang w:bidi="fa-IR"/>
        </w:rPr>
        <w:t>ـ تکلیف در زمان رجعت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رجعت و کیفر و پاداش </w:t>
      </w:r>
      <w:bookmarkStart w:id="758" w:name="pg12658_167013"/>
    </w:p>
    <w:p>
      <w:pPr>
        <w:pStyle w:val="BookText"/>
        <w:rPr/>
      </w:pPr>
      <w:bookmarkEnd w:id="758"/>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59" w:name="__RefHeading___Toc643851_222507752"/>
      <w:bookmarkStart w:id="760" w:name="_Toc298"/>
      <w:bookmarkEnd w:id="759"/>
      <w:r>
        <w:rPr>
          <w:rtl w:val="true"/>
        </w:rPr>
        <w:t>پیش‌درآمد</w:t>
      </w:r>
      <w:bookmarkEnd w:id="760"/>
    </w:p>
    <w:p>
      <w:pPr>
        <w:pStyle w:val="BookText"/>
        <w:rPr/>
      </w:pPr>
      <w:r>
        <w:rPr>
          <w:rFonts w:ascii="IRNazanin" w:hAnsi="IRNazanin" w:eastAsia="IRNazanin"/>
          <w:color w:val="111111"/>
          <w:sz w:val="28"/>
          <w:sz w:val="28"/>
          <w:szCs w:val="28"/>
          <w:rtl w:val="true"/>
          <w:lang w:bidi="fa-IR"/>
        </w:rPr>
        <w:t>بی‌گمان هیچ حقی نمی‌توان یافت که پیرامون آن شبهه‌هایی وجود نداشته باشد؛ چرا که در جهان هستی، نسبت دانش به نادانی بسیار ناچیز است و در این میان افراد مغرضی نیز از این نادانی بهره برده تا حقیقت را هر چه بیشتر در ابهام فرو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همانند بسیاری از حقایق به وسیلة افرادی مورد تردید قرار گرفته است که روشن شدن آن، مطالعه و پاسخ دقیق به شبهات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به برخی از شبهات مطرح در بحث رجعت به گونه‌ای کوتاه پاسخ داده شود</w:t>
      </w:r>
      <w:r>
        <w:rPr>
          <w:rFonts w:eastAsia="IRNazanin" w:cs="IRNazanin"/>
          <w:color w:val="111111"/>
          <w:sz w:val="28"/>
          <w:szCs w:val="28"/>
          <w:rtl w:val="true"/>
          <w:lang w:bidi="fa-IR"/>
        </w:rPr>
        <w:t>.</w:t>
      </w:r>
    </w:p>
    <w:p>
      <w:pPr>
        <w:pStyle w:val="Heading3"/>
        <w:numPr>
          <w:ilvl w:val="2"/>
          <w:numId w:val="1"/>
        </w:numPr>
        <w:rPr/>
      </w:pPr>
      <w:bookmarkStart w:id="761" w:name="__RefHeading___Toc643853_222507752"/>
      <w:bookmarkStart w:id="762" w:name="_Toc299"/>
      <w:bookmarkEnd w:id="761"/>
      <w:r>
        <w:rPr/>
        <w:t>1</w:t>
      </w:r>
      <w:r>
        <w:rPr>
          <w:rtl w:val="true"/>
        </w:rPr>
        <w:t xml:space="preserve">. </w:t>
      </w:r>
      <w:r>
        <w:rPr>
          <w:rtl w:val="true"/>
        </w:rPr>
        <w:t>رجعت، سبب بازگشت از فعلیت</w:t>
      </w:r>
      <w:bookmarkEnd w:id="76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شبهه‌هایی که درباره رجعت مطرح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از زندگی دنیایی جدا شد و وارد جهان برزخ شد، در حقیقت از جهان طبیعت به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این خود، در او کمال پدید می‌آورد؛ یعنی همة آنچه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حال اگر از جهان غیب به جهان ماده برگردد ـ چنانچه در رجعت چنین است ـ بایسته است آنچه که برای او به فعلیت رسیده، دوباره بالقوه شود و این از نظر عقل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علامه طباطبایی همین شبهه را به صورت علمی‌تر مطرح کرده می‌نویسد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محل خودش 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موجود که دارای قوه و استعداد و کمال و فعلیت است، بعد از آنکه از مرحله استعداد به فعلیت رسید، دیگر محال است به حالت استعداد برگردد، و همچنین هر موجودی که از نظر وجود، دارای کمال بیشتری است، محال است برگردد، و به موجودی ناقص‌تر از خود مبدل شود، و </w:t>
      </w:r>
    </w:p>
    <w:p>
      <w:pPr>
        <w:pStyle w:val="BookText"/>
        <w:rPr/>
      </w:pPr>
      <w:r>
        <w:rPr>
          <w:rFonts w:ascii="IRNazanin" w:hAnsi="IRNazanin" w:eastAsia="IRNazanin"/>
          <w:color w:val="111111"/>
          <w:sz w:val="28"/>
          <w:sz w:val="28"/>
          <w:szCs w:val="28"/>
          <w:rtl w:val="true"/>
          <w:lang w:bidi="fa-IR"/>
        </w:rPr>
        <w:t>در عین حال همان موجود اول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 بعد از مردنش تجرد پیدا می‌کند، یعنی نفسش از ماده مجرد می‌شود، و موجودی مجرد مثالی یا عقلی می‌گردد، و مرتبه مثالیت و عقلیت فوق مرتبه مادیت است، چون وجود، در آن دو قوی‌تر از وجود مادی است، با این حال دیگر محال است چنین انسانی، یا بگو چنین نفس تکامل یافته‌ای، دوباره اسیر ماده شود، و به اصطلاح زنده گردد، و گر نه لازم می‌آید که چیزی بعد از فعلیت به قوه و استعداد برگردد، و این محال است، و نیز وجود انسان، وجودی قوی‌تر از وجود سایر انواع حیوانات است، و محال است انسان برگردد، و به وسیله مسخ، حیوانی دیگر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برگشت چیزی که از قوه به فعلیت رسیده، دوباره قوه شدن آن محال است، ولی زنده شدن مردگان، و همچنین مسخ، از مصادیق این امر محال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المیزان آنگاه در توضیح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حس و برهان به دست آمده، این است که جوهر نباتی مادی وقتی در صراط استکمال حیوانی قرار می‌گیرد، در این صراط به سوی حیوانشدن حرکت می‌کند، و به صورت حیوانیت که صورتی است مجرد به تجرد برزخی در می‌آید، و حقیقت این صورت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خودش را درک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ادراک جزئی خیالی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درک خویشتن حیوان، وجود کامل جوهر نباتی است، و فعلیت یافتن آن قوه و استعدادی است که داشت، که با حرکت جوهری به آن کمال رسید، و بعد از آنکه گیاه بود حیوان شد، و دیگر محال است دوباره جوهری مادی شود، و به صورت نبات در آید، مگر آنکه از ماده حیوانی خود جدا گشته، ماده با صورت مادیش بماند، مثل اینکه حیوانی بمیرد، و جسدی بی حرکت شود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مرحوم علامه در جایی دیگر این شبهه را اینگونه تبیین کرده می‌نویسد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دیگر در مقام ابطال رجعت از راه دلیل عقلی وارد شده و به طور خلاصه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مرگ امری است که با در نظر گرفتن عنایت پروردگار هرگز بر هیچ زنده‌ای عارض نمی‌شود مگر بعد از آنکه آن موجود زنده به حد کمال رسیده باشد، و زندگیش </w:t>
      </w:r>
    </w:p>
    <w:p>
      <w:pPr>
        <w:pStyle w:val="BookText"/>
        <w:rPr/>
      </w:pPr>
      <w:r>
        <w:rPr>
          <w:rFonts w:ascii="IRNazanin" w:hAnsi="IRNazanin" w:eastAsia="IRNazanin"/>
          <w:color w:val="111111"/>
          <w:sz w:val="28"/>
          <w:sz w:val="28"/>
          <w:szCs w:val="28"/>
          <w:rtl w:val="true"/>
          <w:lang w:bidi="fa-IR"/>
        </w:rPr>
        <w:t>کامل شده، آنچه در قوه داشته به فعلیت رسیده باشد، و چنین موجودی که تمامی کمالات بالقوه‌اش فعلیت یافته، اگر بعد از مردن به دنیا برگردد، در حقیقت دوباره به حالت قوه و استعداد برگشته است، و اینکه چیزی که فعلیت یافته برگردد و بالقوه شود امری است محال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پاسخ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قوه به فعلیت در آمده، دیگر محال است بالقوه شود، مطلبی است صحیح، و لیکن قبول نداریم که مساله مورد بحث ما از این باب باشد، برای اینکه مورد فرض او با مورد فرض ما مختلف است، مورد فرض او کسی است که عمر طبیعی خود را کرده، و به مرگ طبیعی از دنیا رفته باشد، که برگشتن او به دنیا مستلزم آن امر محال است، و اما مرگ اخترامی که عاملی غیر طبیعی از قبیل قتل و یا مرض باعث آن شود برگشتن انسان بعد از چنین مرگی به دنیا مستلزم هیچ محذور و اشکالی نیست، چون ممکن است انسان بعد از آنکه به مرگ غیر طبیعی از دنیا رفته در زمانی دیگر مستعد کمالی شود، که در زمانی غیر از زمان زندگیش موجود و فراهم باشد، و بعد از مردن دوباره زنده شود تا آن کمال را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ممکن است اصل استعدادش مشروط باشد به اینکه مقداری در برزخ زندگی کرده باشد، چنین کسی بعد از مردن و دیدن برزخ دارای آن استعداد می‌شود، و دوباره به دنیا بر می‌گردد، که آن کمال را به دست آورد، که در هر یک از این دو فرض مساله رجعت و برگشتن به دنیا جایز است، و مستلزم محذور محال نیست</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آنچه یاد شد آنچه در نظام آفرینش در نمونه‌های فراوان رخ داده، زنده‌شدن برخی از مردگان و ادامة زندگی آنها است که در قرآن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کسانی که این شبهه را مطرح می‌کنند آن را به عنوان یک واقعیت قرآنی پذیرفته‌اند حال چگونه اتفاق آن در آخرالزمان چنین دشواری را دارد در حالی که رجعت در امت‌های گذشته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w:t>
      </w:r>
      <w:r>
        <w:rPr>
          <w:rFonts w:eastAsia="IRNazanin" w:cs="IRNazanin"/>
          <w:color w:val="111111"/>
          <w:sz w:val="28"/>
          <w:szCs w:val="28"/>
          <w:rtl w:val="true"/>
          <w:lang w:bidi="fa-IR"/>
        </w:rPr>
        <w:t xml:space="preserve">! </w:t>
      </w:r>
      <w:bookmarkStart w:id="763" w:name="pg12658_167020"/>
    </w:p>
    <w:p>
      <w:pPr>
        <w:pStyle w:val="Heading3"/>
        <w:numPr>
          <w:ilvl w:val="2"/>
          <w:numId w:val="1"/>
        </w:numPr>
        <w:rPr/>
      </w:pPr>
      <w:bookmarkStart w:id="764" w:name="__RefHeading___Toc643855_222507752"/>
      <w:bookmarkStart w:id="765" w:name="_Toc300"/>
      <w:bookmarkEnd w:id="763"/>
      <w:bookmarkEnd w:id="764"/>
      <w:r>
        <w:rPr/>
        <w:t>2</w:t>
      </w:r>
      <w:r>
        <w:rPr>
          <w:rtl w:val="true"/>
        </w:rPr>
        <w:t xml:space="preserve">. </w:t>
      </w:r>
      <w:r>
        <w:rPr>
          <w:rtl w:val="true"/>
        </w:rPr>
        <w:t>رجعت، همان تناسخ</w:t>
      </w:r>
      <w:bookmarkEnd w:id="76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شبهاتی که در بحث رجعت بر اثر نفهمی باورهای شیعه همواره از طرف مخالفان به آن دامن زده شده این است که قول به رجعت، مستلزم قول به تناسخ است و چون تناسخ باطل است قول به رجعت نیز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هر گونه توضیحی در این زمینه مناسب است نخست معنای تناسخ روشن شود تا تفاوت رجعت و تناسخ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در مفردات نسخ را این‌گونه تعریف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 هو ازالة شی‌ء بشی‌ء یتعقبه کنسخ الشمس الظل، و الظل الشمس و الشیب الشباب؛</w:t>
      </w:r>
      <w:r>
        <w:rPr>
          <w:rStyle w:val="FootnoteAnchor"/>
          <w:rtl w:val="true"/>
        </w:rPr>
        <w:footnoteReference w:id="327"/>
      </w:r>
      <w:r>
        <w:rPr>
          <w:rFonts w:ascii="IRNazanin" w:hAnsi="IRNazanin" w:eastAsia="IRNazanin"/>
          <w:color w:val="111111"/>
          <w:sz w:val="28"/>
          <w:sz w:val="28"/>
          <w:szCs w:val="28"/>
          <w:rtl w:val="true"/>
          <w:lang w:bidi="fa-IR"/>
        </w:rPr>
        <w:t>نسخ یعنی از میان‌بردن چیزی به وسیلة چیزی که در پی آن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که خورشید سایه را، سایه نور خورشید را و پیری جوانی را از میان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معنای اصطلاحی تناسخ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که هنگام ارتباط به بدن کمالاتی را کسب کرده، بعد از جداشدن از آن، به بدن دیگر بپیوندد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مفید دربارة معنای تناسخ می‌گوید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التناسخ هو ان تتکرر الادوار الی مالانهایه و ان الثواب و العقاب فی هذه الدار لافی‌دار اخری لاعمل فیها و ان اعمالنا التی نحن فیها انما هی اجزیة علی اعمال سلف فی الادوار الماضیة، فاراحة و السرور و الفرح هی مرتبة علی اعمال البر التی سلف منا فی الادوار الماضیة، و الغم و الحزن مرتبة علی اعمال الفجور التی سلفت و قد ابطل هولاء جمیع الشرایع و السنن؛</w:t>
      </w:r>
      <w:r>
        <w:rPr>
          <w:rStyle w:val="FootnoteAnchor"/>
          <w:rtl w:val="true"/>
        </w:rPr>
        <w:footnoteReference w:id="328"/>
      </w:r>
      <w:r>
        <w:rPr>
          <w:rFonts w:ascii="IRNazanin" w:hAnsi="IRNazanin" w:eastAsia="IRNazanin"/>
          <w:color w:val="111111"/>
          <w:sz w:val="28"/>
          <w:sz w:val="28"/>
          <w:szCs w:val="28"/>
          <w:rtl w:val="true"/>
          <w:lang w:bidi="fa-IR"/>
        </w:rPr>
        <w:t>معنای تناسخ یعنی تکرار دوره‌های زندگی تا بی‌نهایت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پاداش و کیفر در این دنیا باشد نه در جهانی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کارهایی که اکنون می‌کنیم نتیجة کارهای گذشته در دوره‌های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آسایش، شادی و شادمانی آن مترتب بر کارهای خیر در دوره‌های گذشته است و </w:t>
      </w:r>
    </w:p>
    <w:p>
      <w:pPr>
        <w:pStyle w:val="BookText"/>
        <w:rPr/>
      </w:pPr>
      <w:r>
        <w:rPr>
          <w:rFonts w:ascii="IRNazanin" w:hAnsi="IRNazanin" w:eastAsia="IRNazanin"/>
          <w:color w:val="111111"/>
          <w:sz w:val="28"/>
          <w:sz w:val="28"/>
          <w:szCs w:val="28"/>
          <w:rtl w:val="true"/>
          <w:lang w:bidi="fa-IR"/>
        </w:rPr>
        <w:t>غم و غصه مترتب بر کارهای زشت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همة شریعت‌ها و سنت‌ها آن را باطل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سید مرتضی با صراحت تمام کسانی که معتقد به تناسخ هستند را کافر دانسته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اهل التناسخ لایعدون من المسلمین… لکفرهم و ضلالتهم؛</w:t>
      </w:r>
      <w:r>
        <w:rPr>
          <w:rStyle w:val="FootnoteAnchor"/>
          <w:rtl w:val="true"/>
        </w:rPr>
        <w:footnoteReference w:id="329"/>
      </w:r>
      <w:r>
        <w:rPr>
          <w:rFonts w:ascii="IRNazanin" w:hAnsi="IRNazanin" w:eastAsia="IRNazanin"/>
          <w:color w:val="111111"/>
          <w:sz w:val="28"/>
          <w:sz w:val="28"/>
          <w:szCs w:val="28"/>
          <w:rtl w:val="true"/>
          <w:lang w:bidi="fa-IR"/>
        </w:rPr>
        <w:t>برای اینکه پیروان تناسخ از مسلمانان شمرده نمی‌شوند… به خاطر کفر و گمراهی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مرحوم علامه طباطبایی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آدمی بعد از آن که به نوعی کمال، استکمال کرد، و از بدن جدا شد، به بدن دیگری منتقل شود، یا خودش نفس دارد، یا ندارد، اگر نفس مورد گفتگو می‌خواهد به آن منتقل شود،و این فرضیه‌ای محال است، چون بدنی که نفس مورد گفتگو می‌خواهد به آن منتقل شود، یا خودش نفس دارد یا ندارد، اگر نفس داشته باشد مستلزم آن است که یک بدن دارای دو نفس بشود، و این همان وحدت کثیر و کثرت واحد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محال بودنش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واگر نفس ندارد، مستلزم آن است که چیزی که به فعلیت رسیده، دوباره برگردد بالقوه شود، مثلا پیر مرد برگردد کودک شود که محال‌بودن این نیز روشن است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برخی از مفسرین معاصر نیز درباره رجعت چنین نوشته‌اند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عقیده‌مندان به تناسخ چنین می‌پندارند که انسان بعد از مرگ، بار دیگر به همین زندگی باز می‌گردد؛ منتها روح او در جسم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نطفه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حلول کرده و زندگی مجددی را در همین دنیا آغاز می‌کند و این مسئله ممکن است بارها تکرار شود، این زندگی تکراری در این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Style w:val="FootnoteAnchor"/>
          <w:rtl w:val="true"/>
        </w:rPr>
        <w:footnoteReference w:id="331"/>
      </w:r>
      <w:bookmarkStart w:id="766" w:name="pg12658_167024"/>
    </w:p>
    <w:p>
      <w:pPr>
        <w:pStyle w:val="Heading3"/>
        <w:numPr>
          <w:ilvl w:val="2"/>
          <w:numId w:val="1"/>
        </w:numPr>
        <w:rPr/>
      </w:pPr>
      <w:bookmarkStart w:id="767" w:name="__RefHeading___Toc643857_222507752"/>
      <w:bookmarkStart w:id="768" w:name="_Toc301"/>
      <w:bookmarkEnd w:id="766"/>
      <w:bookmarkEnd w:id="767"/>
      <w:r>
        <w:rPr>
          <w:rtl w:val="true"/>
        </w:rPr>
        <w:t>تفاوت رجعت با تناسخ</w:t>
      </w:r>
      <w:bookmarkEnd w:id="76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مظفر در پاسخ کسانی که رجعت را نوعی تناسخ می‌دانند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رجعت را به عنوان تناسخ، باطل می‌داند، فرق میان تناسخ و معاد جسمانی را در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از اقسام معاد جسمانی است و تناسخ، انتقال روح از جسمی به جسم دیگر و جداشدن از جسم اول است و این، معاد جسمانی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 جسمانی، یعنی بازگشت روح با همان مشخصات به بدن اول و معنای رجعت نیز همین است و اگر رجعت همان تناسخ باشد، زنده‌شدن مردگان به دست حضرت عیسی نیز تناسخ است یا حشر و نشر در قیامت و معاد جسمانی نیز باید تناسخ باشد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از آنچه گفته شد روشن می‌شود که تناسخ مردود، و به‌طور کامل با رجعت تفاوت می‌کند و ایراد شبهاتی از این دست، دلیلی غیر از تعصب و جهالت نداشته است</w:t>
      </w:r>
      <w:r>
        <w:rPr>
          <w:rFonts w:eastAsia="IRNazanin" w:cs="IRNazanin"/>
          <w:color w:val="111111"/>
          <w:sz w:val="28"/>
          <w:szCs w:val="28"/>
          <w:rtl w:val="true"/>
          <w:lang w:bidi="fa-IR"/>
        </w:rPr>
        <w:t>.</w:t>
      </w:r>
    </w:p>
    <w:p>
      <w:pPr>
        <w:pStyle w:val="Heading3"/>
        <w:numPr>
          <w:ilvl w:val="2"/>
          <w:numId w:val="1"/>
        </w:numPr>
        <w:rPr/>
      </w:pPr>
      <w:bookmarkStart w:id="769" w:name="__RefHeading___Toc643859_222507752"/>
      <w:bookmarkStart w:id="770" w:name="_Toc302"/>
      <w:bookmarkEnd w:id="769"/>
      <w:r>
        <w:rPr/>
        <w:t>3</w:t>
      </w:r>
      <w:r>
        <w:rPr>
          <w:rtl w:val="true"/>
        </w:rPr>
        <w:t xml:space="preserve">. </w:t>
      </w:r>
      <w:r>
        <w:rPr>
          <w:rtl w:val="true"/>
        </w:rPr>
        <w:t>بازگشت کفار و مجرمین از اعمال بدشان</w:t>
      </w:r>
      <w:bookmarkEnd w:id="770"/>
    </w:p>
    <w:p>
      <w:pPr>
        <w:pStyle w:val="BookText"/>
        <w:rPr/>
      </w:pPr>
      <w:r>
        <w:rPr>
          <w:rFonts w:ascii="IRNazanin" w:hAnsi="IRNazanin" w:eastAsia="IRNazanin"/>
          <w:color w:val="111111"/>
          <w:sz w:val="28"/>
          <w:sz w:val="28"/>
          <w:szCs w:val="28"/>
          <w:rtl w:val="true"/>
          <w:lang w:bidi="fa-IR"/>
        </w:rPr>
        <w:t>و قد قال قوم من المخالفین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یعود کفار الملة بعد الموت الی طغیانهم و قد عاینوا عذاب‌اللَّه تعالی فی البرزخ، و تیقنوا لذلک انهم 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عذاب کفار و اشرار از همان ابتدای لحظات مرگ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ممکن است آنها در عالم برزخ انواع و اقسام عذاب‌ها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رجعت، دوباره همان روش بد خود را ادامه دهند؟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شیخ مفید با طرح این شبهه در ادامه این‌گونه پاسخ داده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عجیب‌تر نیست از کفار آنچنانی که در برزخ انواع عذاب‌ها را می‌بینند و می‌دانند که هیچ‌گونه جدایی از عذاب برای آنها نیست و بر آنها به خاطر گمراهی‌اشان در دنیا احتجاج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هنگام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برگردانده می‌شدیم و هرگز آیات پروردگارمان را تکذیب نمی‌کردیم و از جمله مؤمنین می‌بودیم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پاسخ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آشکار شده برای آنها آنچه را پنهان می‌کردند در گذشته و اگر چنانچه باز گردند همچنان به کارهای قبلی خود ادامه می‌دهند به درستی که آنها دروغگویانند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مخالف پس از این دلیل جای هیچ گونه شبهه‌ای باقی </w:t>
      </w:r>
      <w:bookmarkStart w:id="771" w:name="pg12658_167025"/>
    </w:p>
    <w:p>
      <w:pPr>
        <w:pStyle w:val="BookText"/>
        <w:rPr/>
      </w:pPr>
      <w:bookmarkEnd w:id="771"/>
      <w:r>
        <w:rPr>
          <w:rFonts w:ascii="IRNazanin" w:hAnsi="IRNazanin" w:eastAsia="IRNazanin"/>
          <w:color w:val="111111"/>
          <w:sz w:val="28"/>
          <w:sz w:val="28"/>
          <w:szCs w:val="28"/>
          <w:rtl w:val="true"/>
          <w:lang w:bidi="fa-IR"/>
        </w:rPr>
        <w:t>نخواهد ماند تا بر بحث وارد نمایند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پرسش اینگونه می‌توان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نیست که دیدن حقایق همواره آثار حتمی داشته باشد و کسی که حقیقت را دید، دست از باطل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تاریخ کم نبوده‌اند کسانی که معجزات و کراماتی را از انبیاء و اولیاء دیدند، ولی همچنان بر باطل خود پافشاری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مطلب این است آنچه که باعث دشمنی می‌شود فقط نادانی به حقیقت نیست، بلکه عوامل پرشماری دست به یکدیگر داده و شخص را از پذیرش حق دور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هواهای نفسانی و وسوسه‌های شیطانی از جمله مهمترین این عوامل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 حقیقت را در ضمن دو آیه شریف قرآن چنین بیان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تَرَی إِذْ وُقِفُواْ عَلَی النَّارِ فَقَالُواْ یَلَیْتَنَا نُرَدُّ وَلَا نُکَذِّبَ بَِایَتِ رَبِّنَا وَنَکُونَ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بَدَا لَهُم مَّا کَانُواْ یُخْفُونَ مِن قَبْلُ وَلَوْ رُدُّواْ لَعَادُواْ لِمَا نُهُواْ عَنْهُ وَإِنَّهُمْ لَکَذِبُونَ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 xml:space="preserve">و ای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آتش عرضه می‌شوند، می‌دیدی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بازگردانده می‌شدیم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پروردگارمان را تکذیب نمی‌کردیم و از مؤمنان می‌شدیم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آیه بعد خداوند حقیقت این آرزوی دورغین را اینگونه افشا می‌کند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را پیش از این نهان می‌داشتند، برای آنان آشکار شده است و اگر هم باز گردانده شوند قطعاً به آنچه از آن منع شده بودند بر می‌گردند و آنان دروغگویند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بیان این آیات از قرآن دیگر هیچ گونه جای سخن برای مخالفین در این باره، باقی نخواهد ماند</w:t>
      </w:r>
      <w:r>
        <w:rPr>
          <w:rFonts w:eastAsia="IRNazanin" w:cs="IRNazanin"/>
          <w:color w:val="111111"/>
          <w:sz w:val="28"/>
          <w:szCs w:val="28"/>
          <w:rtl w:val="true"/>
          <w:lang w:bidi="fa-IR"/>
        </w:rPr>
        <w:t>.</w:t>
      </w:r>
    </w:p>
    <w:p>
      <w:pPr>
        <w:pStyle w:val="Heading3"/>
        <w:numPr>
          <w:ilvl w:val="2"/>
          <w:numId w:val="1"/>
        </w:numPr>
        <w:rPr/>
      </w:pPr>
      <w:bookmarkStart w:id="772" w:name="__RefHeading___Toc643861_222507752"/>
      <w:bookmarkStart w:id="773" w:name="_Toc303"/>
      <w:bookmarkEnd w:id="772"/>
      <w:r>
        <w:rPr/>
        <w:t>4</w:t>
      </w:r>
      <w:r>
        <w:rPr>
          <w:rtl w:val="true"/>
        </w:rPr>
        <w:t xml:space="preserve">. </w:t>
      </w:r>
      <w:r>
        <w:rPr>
          <w:rtl w:val="true"/>
        </w:rPr>
        <w:t>کیفر در رجعت و ناسازگاری با دنیا</w:t>
      </w:r>
      <w:bookmarkEnd w:id="77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با بیان این شبهه که پذیرفتن رجعت به دنیا برای کیفر و پاداش، با طبیعت این دنیا که سرای عمل است نه حساب، سازگاری ندارد؛ و قرآن نیز به آن اشاره کرده است</w:t>
      </w:r>
      <w:r>
        <w:rPr>
          <w:rFonts w:eastAsia="IRNazanin" w:cs="IRNazanin"/>
          <w:color w:val="111111"/>
          <w:sz w:val="28"/>
          <w:szCs w:val="28"/>
          <w:rtl w:val="true"/>
          <w:lang w:bidi="fa-IR"/>
        </w:rPr>
        <w:t xml:space="preserve">. </w:t>
      </w:r>
      <w:bookmarkStart w:id="774" w:name="pg12658_167028"/>
    </w:p>
    <w:p>
      <w:pPr>
        <w:pStyle w:val="BookText"/>
        <w:rPr/>
      </w:pPr>
      <w:bookmarkEnd w:id="77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والقول بالرجعة بعد الموت الی الدنیا لمجازاة المسیئین و اثابة المحسنین ینافی طبیعة هذا الدنیا و انها لیست دار جزاء وَإِنَّمَا تُوَفَّوْنَ أُجُورَکُمْ یَوْمَ الْقِیَمَةِ فَمَن زُحْزِحَ عَنِ النَّارِ وَأُدْخِلَ الْجَنَّةَ فَقَدْ فَازَ وَمَا الْحَیَوةُ الدُّنْیَآ إِلَّا مَتَعُ الْغُرُورِ؛ و همانا روز رستاخیز پاداش‌هایتان به طور کامل به شما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را از آتش به دور دارند و در بهشت در آورند قطعاً کامیاب شده است؛ و زندگی دنیا جز مایه فریب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برخی پاداش‌ها و مجازات‌ها، دنیوی است و فرقی میان همین دنیا و زندگی معمولی و رجعت نیست و آیات قرآن نیز منافاتی با آن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 رجعت فقط برای پاداش و مجازات نیست، بلکه حکمت‌های فراوان دیگر نیز دارد که بسیاری از آنها بر ما پوشیده است</w:t>
      </w:r>
      <w:r>
        <w:rPr>
          <w:rFonts w:eastAsia="IRNazanin" w:cs="IRNazanin"/>
          <w:color w:val="111111"/>
          <w:sz w:val="28"/>
          <w:szCs w:val="28"/>
          <w:rtl w:val="true"/>
          <w:lang w:bidi="fa-IR"/>
        </w:rPr>
        <w:t>.</w:t>
      </w:r>
    </w:p>
    <w:p>
      <w:pPr>
        <w:pStyle w:val="Heading3"/>
        <w:numPr>
          <w:ilvl w:val="2"/>
          <w:numId w:val="1"/>
        </w:numPr>
        <w:rPr/>
      </w:pPr>
      <w:bookmarkStart w:id="775" w:name="__RefHeading___Toc643863_222507752"/>
      <w:bookmarkStart w:id="776" w:name="_Toc304"/>
      <w:bookmarkEnd w:id="775"/>
      <w:r>
        <w:rPr/>
        <w:t>5</w:t>
      </w:r>
      <w:r>
        <w:rPr>
          <w:rtl w:val="true"/>
        </w:rPr>
        <w:t xml:space="preserve">. </w:t>
      </w:r>
      <w:r>
        <w:rPr>
          <w:rtl w:val="true"/>
        </w:rPr>
        <w:t>تعارض رجعت با فلسفه معاد</w:t>
      </w:r>
      <w:bookmarkEnd w:id="77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معتقدین به این تعارض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اینکه اعتقاد به رجعت مایه تضعیف اعتقاد به روز قیامت می‌شود و روشن می‌شود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تضعیف اعتقاد به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اهداف کسانی است که این اعتقاد را فراهم آوردند و آنها دوازده امامی‌ها بودند که آیات معاد را تأویل به رجعت کردند و از جمله تأثیرات این اعتقاد این بود که برخی از فرقه‌های منسوب به شیعه معاد را انکار کردند و به تناسخ اعتقاد پیدا کردند…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ذکر تفاوت‌هایی که میان رجعت و معاد وجود دارد به راحتی پاسخ این اشکال داده خواهد شد و این تفاوت‌ها عبارتنداز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مربوط به همه مردگان نیست، بلکه مخصوص یک گروه ویژه است، در حالی که معاد عبارت از زنده‌شدن جمیع مردگان در روز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پیش از قیامت و در همین دنیا صورت می‌پذیرد، در حالی که قیامت و معاد در زمانی معین در جهانی دیگر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رجعت‌کنندگان محدود بوده و دوام ندارد، اما زندگی بعد از قیامت هم </w:t>
      </w:r>
      <w:bookmarkStart w:id="777" w:name="pg12658_167029"/>
    </w:p>
    <w:p>
      <w:pPr>
        <w:pStyle w:val="BookText"/>
        <w:rPr/>
      </w:pPr>
      <w:bookmarkEnd w:id="777"/>
      <w:r>
        <w:rPr>
          <w:rFonts w:ascii="IRNazanin" w:hAnsi="IRNazanin" w:eastAsia="IRNazanin"/>
          <w:color w:val="111111"/>
          <w:sz w:val="28"/>
          <w:sz w:val="28"/>
          <w:szCs w:val="28"/>
          <w:rtl w:val="true"/>
          <w:lang w:bidi="fa-IR"/>
        </w:rPr>
        <w:t>برای اهل بهشت و هم برای دوزخیان جاودانه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رجعت و مشاهده با لعیان آن، رقیقه‌ای از حقیقت قیامت است و ایمان به قیامت را استوارتر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می‌توان گفت رجعت به نوعی در راستای تکامل مؤمنان محض و تحمیل کیفرهای دنیوی برای کافران محض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گروهی از مؤمنان خالص که زمینة رسیدن به کمالات والا را داشته‌اند، اما به سبب موانعی از رسیدن به آن دور مانده‌اند، در زمان رجعت این حرکت را کامل می‌کنند و افزون بر شاهدبودن برپایی حکومت حق خود نیز در آن نقش خواهند داشت و در برابر گروهی که در کفر محض غوطه‌ور شده‌اند در همین دنیا به کیفرهای دنیوی خود 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در برخی روایات هدف از رجعت نیکان را انتقام از دشمنان و تشفی قلب ذکر کرده‌اند، ولی به نظر می‌رسد افزون بر آن، امر مهمتری نیز مدنظر بوده که مورد اشاره قرار گرفت</w:t>
      </w:r>
      <w:r>
        <w:rPr>
          <w:rFonts w:eastAsia="IRNazanin" w:cs="IRNazanin"/>
          <w:color w:val="111111"/>
          <w:sz w:val="28"/>
          <w:szCs w:val="28"/>
          <w:rtl w:val="true"/>
          <w:lang w:bidi="fa-IR"/>
        </w:rPr>
        <w:t>.</w:t>
      </w:r>
    </w:p>
    <w:p>
      <w:pPr>
        <w:pStyle w:val="Heading3"/>
        <w:numPr>
          <w:ilvl w:val="2"/>
          <w:numId w:val="1"/>
        </w:numPr>
        <w:rPr/>
      </w:pPr>
      <w:bookmarkStart w:id="778" w:name="__RefHeading___Toc643865_222507752"/>
      <w:bookmarkStart w:id="779" w:name="_Toc305"/>
      <w:bookmarkEnd w:id="778"/>
      <w:r>
        <w:rPr/>
        <w:t>6</w:t>
      </w:r>
      <w:r>
        <w:rPr>
          <w:rtl w:val="true"/>
        </w:rPr>
        <w:t xml:space="preserve">. </w:t>
      </w:r>
      <w:r>
        <w:rPr>
          <w:rtl w:val="true"/>
        </w:rPr>
        <w:t>رجعت از عقاید یهودی</w:t>
      </w:r>
      <w:bookmarkEnd w:id="77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می‌پندارند شیعه باور به رجعت را از اعتقادات یهودیان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از عقاید دیرینه یهود است، منشا این عقیده در آنان حدیث معروف عزیر و به‌ویژه داستان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هارون در بیابان وفات کرد، یهود هم‌صدا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روی حسد او را کشته است و چون نسبت به هارون بیش از موسی علیه‌السلام متمایل و علاقه‌مند بود در نتیجه همین علاقه‌مندی قائل به رجعت وی شده، همواره منتظرش بودند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شبهه از دو جهت قابل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یهودی‌ها قائل به رجعت افرادی در گذشته هستند که نه فقط آنها بلکه آیاتی از قرآن مجید نیر به آن تصریح نموده است، که در بخش آیات مربوط به وقوع رجعت در گذشته برخی از آنها مطرح 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چنانچه اشکال‌کننده مقصودش این است که شیعه اعتقاد به رجعت را از این </w:t>
      </w:r>
      <w:bookmarkStart w:id="780" w:name="pg12658_167031"/>
    </w:p>
    <w:p>
      <w:pPr>
        <w:pStyle w:val="BookText"/>
        <w:rPr/>
      </w:pPr>
      <w:bookmarkEnd w:id="780"/>
      <w:r>
        <w:rPr>
          <w:rFonts w:ascii="IRNazanin" w:hAnsi="IRNazanin" w:eastAsia="IRNazanin"/>
          <w:color w:val="111111"/>
          <w:sz w:val="28"/>
          <w:sz w:val="28"/>
          <w:szCs w:val="28"/>
          <w:rtl w:val="true"/>
          <w:lang w:bidi="fa-IR"/>
        </w:rPr>
        <w:t>اعتقاد یهودی‌ها گرفته است به طور کامل در اشتباهند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فقط برای بیان امکان رجعت به وقوع آن در امت‌های گذشته ـ آن هم از آیات قرآن ـ استشهاد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ضمیمه به انبوهی از روایات که عموم اهل سنت بدان‌ها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بیش از آنچه بدان معتقد است ـ معتقدند هر آنچه در امت‌های پیش رخ داده طبق فرمایش پیامبر صلی‌الله‌علیه‌وآله می‌بایست در امت اسلام رخ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یهودی‌ها قائل به رجعت افرادی در آخرالزمان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قول دوم به اعتقاد شیعه درباره رجعت نزدیک است، ولی شباهت و نزدیکی دو اعتقاد نسبت به هم نه دلیل بر گرفتن آن اعتقاد از دیگری می‌شود و نه دلیل بر بطلان آن، و اگر چنین باشد در میان اهل سنت موارد فراوانی از این دست یافت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در دین یهود به زمان داوری بر زمین،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مردگان تو مجددا زنده خواهند شد، و اموات ما برخواهند خاست؛ ای شما که در خاک خفته‌اید بیدار شده و شادی نمایید، زیرا شبنم تو مثل شبنم گیاه‌ها است و زمین مردگان را باز پس خواهد داد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 چون یهود اعتقادی به آخرت ندارد بعضی معتقدند که مراد زنده شدن مردگان در همین جهان است برای بار دوم و در این روز قضاوت و داوری صورت گرفته و خوبان بدور از ظلم ستمگران و بدان به زندگی موعود و مطلوب خود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شباهت هیچ دلیلی بر اخذ آن از اعتقاد پیش و یا بطلان آن نخواهد بود</w:t>
      </w:r>
      <w:r>
        <w:rPr>
          <w:rFonts w:eastAsia="IRNazanin" w:cs="IRNazanin"/>
          <w:color w:val="111111"/>
          <w:sz w:val="28"/>
          <w:szCs w:val="28"/>
          <w:rtl w:val="true"/>
          <w:lang w:bidi="fa-IR"/>
        </w:rPr>
        <w:t>.</w:t>
      </w:r>
    </w:p>
    <w:p>
      <w:pPr>
        <w:pStyle w:val="Heading3"/>
        <w:numPr>
          <w:ilvl w:val="2"/>
          <w:numId w:val="1"/>
        </w:numPr>
        <w:rPr/>
      </w:pPr>
      <w:bookmarkStart w:id="781" w:name="__RefHeading___Toc643867_222507752"/>
      <w:bookmarkStart w:id="782" w:name="_Toc306"/>
      <w:bookmarkEnd w:id="781"/>
      <w:r>
        <w:rPr/>
        <w:t>7</w:t>
      </w:r>
      <w:r>
        <w:rPr>
          <w:rtl w:val="true"/>
        </w:rPr>
        <w:t xml:space="preserve">. </w:t>
      </w:r>
      <w:r>
        <w:rPr>
          <w:rtl w:val="true"/>
        </w:rPr>
        <w:t>منافات رجعت با تلقین میت</w:t>
      </w:r>
      <w:bookmarkEnd w:id="782"/>
    </w:p>
    <w:p>
      <w:pPr>
        <w:pStyle w:val="BookText"/>
        <w:rPr/>
      </w:pPr>
      <w:r>
        <w:rPr>
          <w:rFonts w:ascii="IRNazanin" w:hAnsi="IRNazanin" w:eastAsia="IRNazanin"/>
          <w:color w:val="111111"/>
          <w:sz w:val="28"/>
          <w:sz w:val="28"/>
          <w:szCs w:val="28"/>
          <w:rtl w:val="true"/>
          <w:lang w:bidi="fa-IR"/>
        </w:rPr>
        <w:t>در برخی روایات تلقین میت آمده است که چون میت را در قبر گذارند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روز از روزهای آخرت و آخرین روز از روزهای دنیاست، از اینجا معلوم می‌شود که این مرده دیگر به دنیا باز نمی‌گردد و عمر دنیاییش تمام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اینکه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رجعت عمومی نیست و مادامی که نمی‌دانیم کسی از اهل رجعت است یا نه، مستحب است این دعا در تلقینش خوانده شود</w:t>
      </w:r>
      <w:r>
        <w:rPr>
          <w:rFonts w:eastAsia="IRNazanin" w:cs="IRNazanin"/>
          <w:color w:val="111111"/>
          <w:sz w:val="28"/>
          <w:szCs w:val="28"/>
          <w:rtl w:val="true"/>
          <w:lang w:bidi="fa-IR"/>
        </w:rPr>
        <w:t xml:space="preserve">. </w:t>
      </w:r>
      <w:bookmarkStart w:id="783" w:name="pg12658_167033"/>
    </w:p>
    <w:p>
      <w:pPr>
        <w:pStyle w:val="BookText"/>
        <w:rPr/>
      </w:pPr>
      <w:bookmarkEnd w:id="783"/>
      <w:r>
        <w:rPr>
          <w:rFonts w:ascii="IRNazanin" w:hAnsi="IRNazanin" w:eastAsia="IRNazanin"/>
          <w:color w:val="111111"/>
          <w:sz w:val="28"/>
          <w:sz w:val="28"/>
          <w:szCs w:val="28"/>
          <w:rtl w:val="true"/>
          <w:lang w:bidi="fa-IR"/>
        </w:rPr>
        <w:t xml:space="preserve">دوم، زندگی پیش از مرگ نسبت به زندگی بعد از آن به حسب وضع لغوی دنیاست، چون دنیا یا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دنائت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اطلاق آن بر زندگی دوم، نیاز به قرینه است، زیرا اگرچه در برابر رستاخیز بزرگ می‌توان رجعت را دنیا گفت، امّا به طور اطلاق نمی‌توان نام دنیا بر آن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 حدیث مورد نظر روایت واحدی است و اگر صریح در معارضه و مخالفت هم بود با ادله رجعت تاب مقاومت نداشت، تا چه رسد که صریح هم نباشد</w:t>
      </w:r>
      <w:r>
        <w:rPr>
          <w:rFonts w:eastAsia="IRNazanin" w:cs="IRNazanin"/>
          <w:color w:val="111111"/>
          <w:sz w:val="28"/>
          <w:szCs w:val="28"/>
          <w:rtl w:val="true"/>
          <w:lang w:bidi="fa-IR"/>
        </w:rPr>
        <w:t>.</w:t>
      </w:r>
      <w:r>
        <w:rPr>
          <w:rStyle w:val="FootnoteAnchor"/>
          <w:rtl w:val="true"/>
        </w:rPr>
        <w:footnoteReference w:id="338"/>
      </w:r>
    </w:p>
    <w:p>
      <w:pPr>
        <w:pStyle w:val="Heading3"/>
        <w:numPr>
          <w:ilvl w:val="2"/>
          <w:numId w:val="1"/>
        </w:numPr>
        <w:rPr/>
      </w:pPr>
      <w:bookmarkStart w:id="784" w:name="__RefHeading___Toc643869_222507752"/>
      <w:bookmarkStart w:id="785" w:name="_Toc307"/>
      <w:bookmarkEnd w:id="784"/>
      <w:r>
        <w:rPr/>
        <w:t>8</w:t>
      </w:r>
      <w:r>
        <w:rPr>
          <w:rtl w:val="true"/>
        </w:rPr>
        <w:t xml:space="preserve">. </w:t>
      </w:r>
      <w:r>
        <w:rPr>
          <w:rtl w:val="true"/>
        </w:rPr>
        <w:t>تکلیف در زمان رجعت</w:t>
      </w:r>
      <w:bookmarkEnd w:id="785"/>
    </w:p>
    <w:p>
      <w:pPr>
        <w:pStyle w:val="BookText"/>
        <w:rPr/>
      </w:pPr>
      <w:r>
        <w:rPr>
          <w:rFonts w:ascii="IRNazanin" w:hAnsi="IRNazanin" w:eastAsia="IRNazanin"/>
          <w:color w:val="111111"/>
          <w:sz w:val="28"/>
          <w:sz w:val="28"/>
          <w:szCs w:val="28"/>
          <w:rtl w:val="true"/>
          <w:lang w:bidi="fa-IR"/>
        </w:rPr>
        <w:t>یکی از  پرسش‌هایی که مطرح است اینکه آیا انسانها همانند حیات پیشین خود دارای تکلیف خواهند بود یا خیر؟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بررسی اجمالی در این باره به سه قول بر می‌خوریم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عتقادند که زمان رجعت، همچون قیامت زمان پاداش و مجازات است و تکلیف در آن راهی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استدلال این گروه این است کفاری که رجعت می‌کنند با توجه به شهود برزخی حقایق در عالم بزرخ، توبه خواهند کرد و بنابراین نقض غرض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پاسخی که داده شده اینکه همیشه اینطور نیست که کسانی که حقیقت را دیدند راه توبه و هدایت در پیش گیرند و در میان امت‌های گذشته بسیاری بوده‌اند که با دیدن معجزات انبیا، حتی عذاب‌های الهی، همچنان راه دشمنی در پیش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اعتقاد دارند در رجعت تکلیف وجود دارد، چرا که رجعت در دنیا تحقق می‌یابد نه در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قائل به تفصیل شده‌اند که اگر چه دار تکلیف نیست، ولی انجام کارهای خوب ثواب و کارهای بد جزا به دنبال خواهد داشت و یا اینکه خوبان و مؤمنان تکلیف داشته به یاری معصومین‌علیهم‌السلام همت می‌گمارند و فقط برای کفار و دشمنان دار مجازات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علامه مجلسی در این باره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زمان الرجعة لیس زمان التکلیف فقط بل هو واسطة بین الدنیا و الآخره، فالنسبة الی جماعة دار تکلیف و بالنسبة الی جماعة دار جزاء؛</w:t>
      </w:r>
      <w:r>
        <w:rPr>
          <w:rStyle w:val="FootnoteAnchor"/>
          <w:rtl w:val="true"/>
        </w:rPr>
        <w:footnoteReference w:id="339"/>
      </w:r>
      <w:r>
        <w:rPr>
          <w:rFonts w:ascii="IRNazanin" w:hAnsi="IRNazanin" w:eastAsia="IRNazanin"/>
          <w:color w:val="111111"/>
          <w:sz w:val="28"/>
          <w:sz w:val="28"/>
          <w:szCs w:val="28"/>
          <w:rtl w:val="true"/>
          <w:lang w:bidi="fa-IR"/>
        </w:rPr>
        <w:t>همانا زمان رجعت فقط زمان تکلیف نیست، بلکه واسطة میان دنیا و آخرت است، پس به نسبت گروهی دار تکلیف و نسبت به گروهی دار مجازات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 گفتة علامه این است که مشخص نشده برای چه کسانی دار تکلیف و برای چه کسانی دار جزاء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مرتضی در رسائل شریف خود به این نکته اشاره کرده که رجعت هیچ‌گونه منافاتی با تکلیف ندارد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ایشان در محلی دیگر بر ادعای خود این‌گونه دلیل می‌آورد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شک بر کسانی که رجعت می‌کنند یاری‌کردن امام واجب است، چه اینکه دفاع از آن حضرت و یاری‌کردن او در برابر دشمنان تکلیف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نمی‌توان گفت تکلیف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ایشان در ادامه تکلیف‌داشتن کفاری که رجعت می‌کنند را نپذیرفته؛ رجعت آنها را صرفاً جهت چشیدن عذاب و ذلت ذکر کرده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در دوران رجعت نیز همچنان تکلیف ادامه خواهد داشت، به لحاظ اینکه آیات و روایات فراوانی دنیا را دار تکلیف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میان مؤمنان با یاری معصومین علیهم السلام بر پاداش خود خواهند افزود، و چون رجعت کفار فقط برای کیفر دنیایی خواهد بود، از این رو تکلیف برای آنها موضوعیّت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آن، اگر گفته شود هیچ گونه تکلیفی وجود نخواهد داشت؛ اوّلاً روایاتی که بخشی از فلسفه رجعت را یاری حضرت مهدی و معصومین دانسته مشکل پیدا خواهد کرد و دیگر اینکه رجعت بیهوده خواهد بود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گفتنی است که اگر چه در روایات اشاره چندانی به فلسفة رجعت نشده، </w:t>
      </w:r>
    </w:p>
    <w:p>
      <w:pPr>
        <w:pStyle w:val="BookText"/>
        <w:rPr/>
      </w:pPr>
      <w:r>
        <w:rPr>
          <w:rFonts w:ascii="IRNazanin" w:hAnsi="IRNazanin" w:eastAsia="IRNazanin"/>
          <w:color w:val="111111"/>
          <w:sz w:val="28"/>
          <w:sz w:val="28"/>
          <w:szCs w:val="28"/>
          <w:rtl w:val="true"/>
          <w:lang w:bidi="fa-IR"/>
        </w:rPr>
        <w:t>ولی از مجموع احادیث و سخنان بزرگان از علمای شیعه می‌توان موارد ذیل را به عنوان فلسفه و اهداف برپایی رجعت بر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بیشتر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روایات یکی از حکمت‌های رجعت را رسیدن به کمال برای مؤمنان ذکر کرده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کیفرهای دنیایی و عذاب کفار به هنگام دیدن دولت حق در همین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فلسفه‌های رجعت رسیدن عذاب‌های دنیوی بر کفار شمرده شده است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لذّت‌بردن مؤمنان از دیدن برپایی حکومت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روایات نیز حکایت از لذت‌بردن مؤمنان از اقامه حکومت جهانی عدل است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انتقام‌جویی 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پاره‌ای از روایات نیز سخن از انتقام گرفتن از دشمنان اهل بیت علیهم‌السلام و کفار به میان آورده است</w:t>
      </w:r>
      <w:r>
        <w:rPr>
          <w:rFonts w:eastAsia="IRNazanin" w:cs="IRNazanin"/>
          <w:color w:val="111111"/>
          <w:sz w:val="28"/>
          <w:szCs w:val="28"/>
          <w:rtl w:val="true"/>
          <w:lang w:bidi="fa-IR"/>
        </w:rPr>
        <w:t>.</w:t>
      </w:r>
      <w:r>
        <w:rPr>
          <w:rStyle w:val="FootnoteAnchor"/>
          <w:rtl w:val="true"/>
        </w:rPr>
        <w:footnoteReference w:id="34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درباره مجازات و پاداش می‌توان گفت فقط مجازات کافران در رجعت، دیدن حکومت عدل جهانی است که از این طریق عذاب خواهند شد، اگر چه روایات فراوانی نیز گرفتن انتقام از دشمنان اهل‌بیت علیهم‌السلام را در رجعت بیان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مجازات و پاداش موکول به قیامت خواهد شد</w:t>
      </w:r>
      <w:r>
        <w:rPr>
          <w:rFonts w:eastAsia="IRNazanin" w:cs="IRNazanin"/>
          <w:color w:val="111111"/>
          <w:sz w:val="28"/>
          <w:szCs w:val="28"/>
          <w:rtl w:val="true"/>
          <w:lang w:bidi="fa-IR"/>
        </w:rPr>
        <w:t xml:space="preserve">. </w:t>
      </w:r>
      <w:bookmarkStart w:id="786" w:name="pg12658_167039"/>
    </w:p>
    <w:p>
      <w:pPr>
        <w:pStyle w:val="Heading3"/>
        <w:numPr>
          <w:ilvl w:val="2"/>
          <w:numId w:val="1"/>
        </w:numPr>
        <w:rPr/>
      </w:pPr>
      <w:bookmarkStart w:id="787" w:name="__RefHeading___Toc643871_222507752"/>
      <w:bookmarkStart w:id="788" w:name="_Toc308"/>
      <w:bookmarkEnd w:id="786"/>
      <w:bookmarkEnd w:id="787"/>
      <w:r>
        <w:rPr>
          <w:rtl w:val="true"/>
        </w:rPr>
        <w:t>خودآزمایی</w:t>
      </w:r>
      <w:bookmarkEnd w:id="7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از فعلیت به قوه را توضیح داده، بیان کنید چگونه در رجعت چنین چیزی تحقق نمی‌یابد؟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تناسخ در لغت و اصطلاح به چه معناست؟ تفاوت‌های آن را با رجعت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کفار و مجرمانی که در برزخ عذاب شده‌اند در رجعت از کارهای بد پشیمان می‌شوند؟ چرا؟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تفاوت‌های اساسی رجعت با معاد کدامند؟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بارة تکلیف رجعت‌کنندگان چه دیدگاه‌هایی مطرح شده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9" w:name="__RefHeading___Toc643873_222507752"/>
      <w:bookmarkStart w:id="790" w:name="_Toc309"/>
      <w:bookmarkEnd w:id="789"/>
      <w:r>
        <w:rPr>
          <w:rtl w:val="true"/>
        </w:rPr>
        <w:t>منابع برای پژوهش</w:t>
      </w:r>
      <w:bookmarkEnd w:id="7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طبسی، محمدرضا، شیعه و رجعت، ترجمه محمد میرشاه ولد، قم، انتشارات دارالنشر اسلام،</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 محمّد، تاریخ پس از ظهور، ترجمه حسن سجادی‌پور، تهران، موعود عصر،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رفیعی قزوینی، ابوالحسن، رجعت و معراج، تهران،کتابفروشی اسلام،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سلیمیان، خدامراد، بازگشت به دنیا در پایان تاریخ، قم، بوستان کتاب، چ چهارم،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بهمنی، اصغر، رجعت از دیدگاه متکلمان برجستة شیعی و رابطة آن با تناسخ، قم،  زائر،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1" w:name="pg12658_167043"/>
      <w:bookmarkStart w:id="792" w:name="pg12658_167043"/>
      <w:bookmarkEnd w:id="792"/>
    </w:p>
    <w:p>
      <w:pPr>
        <w:pStyle w:val="Heading2"/>
        <w:numPr>
          <w:ilvl w:val="1"/>
          <w:numId w:val="1"/>
        </w:numPr>
        <w:rPr/>
      </w:pPr>
      <w:bookmarkStart w:id="793" w:name="pg12658_167043"/>
      <w:bookmarkStart w:id="794" w:name="__RefHeading___Toc643875_222507752"/>
      <w:bookmarkStart w:id="795" w:name="_Toc310"/>
      <w:bookmarkEnd w:id="793"/>
      <w:bookmarkEnd w:id="794"/>
      <w:r>
        <w:rPr>
          <w:rtl w:val="true"/>
        </w:rPr>
        <w:t>درس چهاردهم</w:t>
      </w:r>
      <w:r>
        <w:rPr>
          <w:rtl w:val="true"/>
        </w:rPr>
        <w:t>:  </w:t>
      </w:r>
      <w:r>
        <w:rPr>
          <w:rtl w:val="true"/>
        </w:rPr>
        <w:t>فرجام حضرت مهدی علیه‌السلام و زندگی در دنیا</w:t>
      </w:r>
      <w:bookmarkEnd w:id="795"/>
    </w:p>
    <w:p>
      <w:pPr>
        <w:pStyle w:val="Heading3"/>
        <w:numPr>
          <w:ilvl w:val="2"/>
          <w:numId w:val="1"/>
        </w:numPr>
        <w:rPr/>
      </w:pPr>
      <w:bookmarkStart w:id="796" w:name="__RefHeading___Toc643877_222507752"/>
      <w:bookmarkStart w:id="797" w:name="_Toc311"/>
      <w:bookmarkEnd w:id="796"/>
      <w:r>
        <w:rPr>
          <w:rtl w:val="true"/>
        </w:rPr>
        <w:t>اشاره</w:t>
      </w:r>
      <w:bookmarkEnd w:id="797"/>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طول عمر حضرت مهدی علیه‌السلام</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کریم</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روایات</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عقل</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فرجام حضرت مهدی علیه‌السلام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جهان پس از حضرت مهدی علیه‌السلام </w:t>
      </w:r>
      <w:bookmarkStart w:id="798" w:name="pg12658_167045"/>
    </w:p>
    <w:p>
      <w:pPr>
        <w:pStyle w:val="Heading3"/>
        <w:numPr>
          <w:ilvl w:val="2"/>
          <w:numId w:val="1"/>
        </w:numPr>
        <w:rPr/>
      </w:pPr>
      <w:bookmarkStart w:id="799" w:name="__RefHeading___Toc643879_222507752"/>
      <w:bookmarkStart w:id="800" w:name="_Toc312"/>
      <w:bookmarkEnd w:id="798"/>
      <w:bookmarkEnd w:id="799"/>
      <w:r>
        <w:rPr>
          <w:rtl w:val="true"/>
        </w:rPr>
        <w:t>پیش‌درآمد</w:t>
      </w:r>
      <w:bookmarkEnd w:id="800"/>
    </w:p>
    <w:p>
      <w:pPr>
        <w:pStyle w:val="BookText"/>
        <w:rPr/>
      </w:pPr>
      <w:r>
        <w:rPr>
          <w:rFonts w:ascii="IRNazanin" w:hAnsi="IRNazanin" w:eastAsia="IRNazanin"/>
          <w:color w:val="111111"/>
          <w:sz w:val="28"/>
          <w:sz w:val="28"/>
          <w:szCs w:val="28"/>
          <w:rtl w:val="true"/>
          <w:lang w:bidi="fa-IR"/>
        </w:rPr>
        <w:t>یکی از مباحث برجسته‌ای که در مجموعه معارف مهدوی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اینکه سرانجام حکومت جهانی حضرت به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 پایان عمر آن حضرت چگونه خواهد بود؟ و دیگر اینکه پس از آن دوران نورانی تا برپایی رستاخیز بزرگ، چگونه سپری خواهد شد؟ بررسی و پاسخ به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یادشده و مانند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چرخة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در بارة آن حضرت تکمیل کرده، تابلویی فراگیر و درست از مهدویت در نگاه 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تلاش می‌شود با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از روایات و دیدگاه دانشمندان اسلامی در حد ممکن به این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پاسخ داده شود</w:t>
      </w:r>
      <w:r>
        <w:rPr>
          <w:rFonts w:eastAsia="IRNazanin" w:cs="IRNazanin"/>
          <w:color w:val="111111"/>
          <w:sz w:val="28"/>
          <w:szCs w:val="28"/>
          <w:rtl w:val="true"/>
          <w:lang w:bidi="fa-IR"/>
        </w:rPr>
        <w:t>.</w:t>
      </w:r>
    </w:p>
    <w:p>
      <w:pPr>
        <w:pStyle w:val="Heading3"/>
        <w:numPr>
          <w:ilvl w:val="2"/>
          <w:numId w:val="1"/>
        </w:numPr>
        <w:rPr/>
      </w:pPr>
      <w:bookmarkStart w:id="801" w:name="__RefHeading___Toc643881_222507752"/>
      <w:bookmarkStart w:id="802" w:name="_Toc313"/>
      <w:bookmarkEnd w:id="801"/>
      <w:r>
        <w:rPr>
          <w:rtl w:val="true"/>
        </w:rPr>
        <w:t>طول عمر حضرت مهدی علیه‌السلام</w:t>
      </w:r>
      <w:bookmarkEnd w:id="802"/>
    </w:p>
    <w:p>
      <w:pPr>
        <w:pStyle w:val="Heading4"/>
        <w:numPr>
          <w:ilvl w:val="3"/>
          <w:numId w:val="1"/>
        </w:numPr>
        <w:rPr/>
      </w:pPr>
      <w:bookmarkStart w:id="803" w:name="__RefHeading___Toc643883_222507752"/>
      <w:bookmarkStart w:id="804" w:name="_Toc314"/>
      <w:bookmarkEnd w:id="803"/>
      <w:r>
        <w:rPr>
          <w:rtl w:val="true"/>
        </w:rPr>
        <w:t>اشاره</w:t>
      </w:r>
      <w:bookmarkEnd w:id="804"/>
    </w:p>
    <w:p>
      <w:pPr>
        <w:pStyle w:val="BookText"/>
        <w:rPr/>
      </w:pPr>
      <w:r>
        <w:rPr>
          <w:rFonts w:ascii="IRNazanin" w:hAnsi="IRNazanin" w:eastAsia="IRNazanin"/>
          <w:color w:val="111111"/>
          <w:sz w:val="28"/>
          <w:sz w:val="28"/>
          <w:szCs w:val="28"/>
          <w:rtl w:val="true"/>
          <w:lang w:bidi="fa-IR"/>
        </w:rPr>
        <w:t xml:space="preserve">بی‌گمان حضرت مهدی علیه‌السلام که در آخِرالزمان ظهور خواهد کرد و زمین را پر از عدل و قسط خواهد کرد، فرزند امام عسکری علیه‌السلام است که بر پایة روایات معتبر 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روشن این سخن، آن است که آن ذخیرة الهی، دارای عمری بس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افزون بر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پر برکت آن حضرت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زندگی دراز، البته، پیش از به دنیاآمدن آن حضرت در سخن برخی پیشوایان معصوم علیهم‌السلام یاد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علیه‌السلام در بخشی از یک سخن طولانی فرمود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مِنْ وُلْدِ أَخِی الْحُسَیْنِ ابْنِ سَیِّدَةِ الْإِمَاءِ یُطِیلُ اللَّهُ عُمُرَهُ فِی غَیْبَتِهِ ثُمَّ یُظْهِرُهُ بِقُدْرَتِهِ فِی صُورَةِ شَابٍّ ابْنِ دُونِ أَرْبَعِینَ سَنَةً ذَلِکَ لِیُعْلَمَ أَنَّ اللَّهَ عَلی </w:t>
      </w:r>
      <w:bookmarkStart w:id="805" w:name="pg12658_167048"/>
    </w:p>
    <w:p>
      <w:pPr>
        <w:pStyle w:val="BookText"/>
        <w:rPr/>
      </w:pPr>
      <w:bookmarkEnd w:id="805"/>
      <w:r>
        <w:rPr>
          <w:rFonts w:ascii="Amiri" w:hAnsi="Amiri" w:eastAsia="Amiri" w:cs="Amiri"/>
          <w:color w:val="111111"/>
          <w:sz w:val="28"/>
          <w:sz w:val="28"/>
          <w:szCs w:val="28"/>
          <w:rtl w:val="true"/>
          <w:lang w:bidi="ar-SA"/>
        </w:rPr>
        <w:t>کُلِّ شَیْ‌ءٍ قَدِیرٌ؛</w:t>
      </w:r>
      <w:r>
        <w:rPr>
          <w:rStyle w:val="FootnoteAnchor"/>
          <w:rtl w:val="true"/>
        </w:rPr>
        <w:footnoteReference w:id="346"/>
      </w:r>
      <w:r>
        <w:rPr>
          <w:rFonts w:ascii="IRNazanin" w:hAnsi="IRNazanin" w:eastAsia="IRNazanin"/>
          <w:color w:val="111111"/>
          <w:sz w:val="28"/>
          <w:sz w:val="28"/>
          <w:szCs w:val="28"/>
          <w:rtl w:val="true"/>
          <w:lang w:bidi="fa-IR"/>
        </w:rPr>
        <w:t>نهمین از فرزندان برادرم، فرزند بانوی کنیزان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دوران غیبت، عمر او را دراز خواهد کرد؛ آن گاه به توان خویش وی را در سیمای جوانی کمتر از چهل سال برخواهد انگیخت، تا دانسته شود خداوند بر هر چیز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ابوجعفر محمد بن علی بن بابویه قمی،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کمال‌الدین و تمام النعمه به گونه‌ای گسترده دربارة طول عمر بحث کرده و به پرسش‌های مخالفان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فصلی از کتاب یادشده را ویژة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صاحبان عمر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است و ده‌ها نفر از کسانی که عمری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داشته‌اند، را نام می‌برد و شرح حال و زندگی هر یک از آنان را به صورت کوتاه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طول عمر حضرت مهدی علیه‌السلام را فقط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تجربة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دارای عمر طولانی، بررسی کرده و به دیگر ادله،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از سوی دانشمندانی همچون شیخ مفید، شیخ طوسی، سید مرتضی، شیخ طبرسی، خواجه نصرالدین طوسی، علامه حلی، فیض کاشانی، علامه مجلسی و دیگر بزرگان شیعه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بزرگان در بررسی علمی طول عمر آن حضرت، به آن پرداخته‌اند، به طور عمده حول محورهای ذیل است</w:t>
      </w:r>
      <w:r>
        <w:rPr>
          <w:rFonts w:eastAsia="IRNazanin" w:cs="IRNazanin"/>
          <w:color w:val="111111"/>
          <w:sz w:val="28"/>
          <w:szCs w:val="28"/>
          <w:rtl w:val="true"/>
          <w:lang w:bidi="fa-IR"/>
        </w:rPr>
        <w:t>:</w:t>
      </w:r>
    </w:p>
    <w:p>
      <w:pPr>
        <w:pStyle w:val="Heading4"/>
        <w:numPr>
          <w:ilvl w:val="3"/>
          <w:numId w:val="1"/>
        </w:numPr>
        <w:rPr/>
      </w:pPr>
      <w:bookmarkStart w:id="806" w:name="__RefHeading___Toc643885_222507752"/>
      <w:bookmarkStart w:id="807" w:name="_Toc315"/>
      <w:bookmarkEnd w:id="806"/>
      <w:r>
        <w:rPr>
          <w:rtl w:val="true"/>
        </w:rPr>
        <w:t>یک</w:t>
      </w:r>
      <w:r>
        <w:rPr>
          <w:rtl w:val="true"/>
        </w:rPr>
        <w:t xml:space="preserve">. </w:t>
      </w:r>
      <w:r>
        <w:rPr>
          <w:rtl w:val="true"/>
        </w:rPr>
        <w:t>طول عمر از نگاه قرآن کریم</w:t>
      </w:r>
      <w:bookmarkEnd w:id="807"/>
    </w:p>
    <w:p>
      <w:pPr>
        <w:pStyle w:val="Heading5"/>
        <w:numPr>
          <w:ilvl w:val="4"/>
          <w:numId w:val="1"/>
        </w:numPr>
        <w:rPr/>
      </w:pPr>
      <w:bookmarkStart w:id="808" w:name="__RefHeading___Toc643887_222507752"/>
      <w:bookmarkStart w:id="809" w:name="_Toc316"/>
      <w:bookmarkEnd w:id="808"/>
      <w:r>
        <w:rPr>
          <w:rtl w:val="true"/>
        </w:rPr>
        <w:t>اشاره</w:t>
      </w:r>
      <w:bookmarkEnd w:id="809"/>
    </w:p>
    <w:p>
      <w:pPr>
        <w:pStyle w:val="BookText"/>
        <w:rPr/>
      </w:pPr>
      <w:r>
        <w:rPr>
          <w:rFonts w:ascii="IRNazanin" w:hAnsi="IRNazanin" w:eastAsia="IRNazanin"/>
          <w:color w:val="111111"/>
          <w:sz w:val="28"/>
          <w:sz w:val="28"/>
          <w:szCs w:val="28"/>
          <w:rtl w:val="true"/>
          <w:lang w:bidi="fa-IR"/>
        </w:rPr>
        <w:t>شماری از افرادی که در قرآن، دارای عمری طولانی و غیرطبیعی شمرده شده‌اند، عبارتند از</w:t>
      </w:r>
      <w:r>
        <w:rPr>
          <w:rFonts w:eastAsia="IRNazanin" w:cs="IRNazanin"/>
          <w:color w:val="111111"/>
          <w:sz w:val="28"/>
          <w:szCs w:val="28"/>
          <w:rtl w:val="true"/>
          <w:lang w:bidi="fa-IR"/>
        </w:rPr>
        <w:t>:</w:t>
      </w:r>
    </w:p>
    <w:p>
      <w:pPr>
        <w:pStyle w:val="Heading5"/>
        <w:numPr>
          <w:ilvl w:val="4"/>
          <w:numId w:val="1"/>
        </w:numPr>
        <w:rPr/>
      </w:pPr>
      <w:bookmarkStart w:id="810" w:name="__RefHeading___Toc643889_222507752"/>
      <w:bookmarkStart w:id="811" w:name="_Toc317"/>
      <w:bookmarkEnd w:id="810"/>
      <w:r>
        <w:rPr/>
        <w:t>1</w:t>
      </w:r>
      <w:r>
        <w:rPr>
          <w:rtl w:val="true"/>
        </w:rPr>
        <w:t xml:space="preserve">. </w:t>
      </w:r>
      <w:r>
        <w:rPr>
          <w:rtl w:val="true"/>
        </w:rPr>
        <w:t>حضرت نوح علیه‌السلام</w:t>
      </w:r>
      <w:bookmarkEnd w:id="81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دربارة نوح 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اَرْسَلْنا نُوحاً اِلی قَوْمِهِ فَلَبِثَ فِیهِمْ اَلْفَ سَنَةٍ اِلاَّ خَمْسِینَ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و به راستی، نوح را به سوی قومش فرستادیم، پس میان آنان نهصد و پنجاه سال درنگ کرد</w:t>
      </w:r>
      <w:r>
        <w:rPr>
          <w:rFonts w:eastAsia="IRNazanin" w:cs="IRNazanin"/>
          <w:color w:val="111111"/>
          <w:sz w:val="28"/>
          <w:szCs w:val="28"/>
          <w:rtl w:val="true"/>
          <w:lang w:bidi="fa-IR"/>
        </w:rPr>
        <w:t xml:space="preserve">. </w:t>
      </w:r>
      <w:bookmarkStart w:id="812" w:name="pg12658_167049"/>
    </w:p>
    <w:p>
      <w:pPr>
        <w:pStyle w:val="BookText"/>
        <w:rPr/>
      </w:pPr>
      <w:bookmarkEnd w:id="812"/>
      <w:r>
        <w:rPr>
          <w:rFonts w:ascii="IRNazanin" w:hAnsi="IRNazanin" w:eastAsia="IRNazanin"/>
          <w:color w:val="111111"/>
          <w:sz w:val="28"/>
          <w:sz w:val="28"/>
          <w:szCs w:val="28"/>
          <w:rtl w:val="true"/>
          <w:lang w:bidi="fa-IR"/>
        </w:rPr>
        <w:t xml:space="preserve">این بیان خداوند، روشن نکرده است که این مدت، بر دورة عمر پیامبری نوح علیه‌السلام دلالت دارد یا عمر آن حضرت؛ از این رو در پاره‌ای روایات اسلامی آمده است که مراد از عمر در اینجا، دورة پیامبری نوح علیه‌السلام است؛ اما مدت زندگی او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سجاد علیه‌السلام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 سنّتی از نوح است و آن طول عمر است</w:t>
      </w:r>
      <w:r>
        <w:rPr>
          <w:rFonts w:eastAsia="IRNazanin" w:cs="IRNazanin"/>
          <w:color w:val="111111"/>
          <w:sz w:val="28"/>
          <w:szCs w:val="28"/>
          <w:rtl w:val="true"/>
          <w:lang w:bidi="fa-IR"/>
        </w:rPr>
        <w:t>.</w:t>
      </w:r>
      <w:r>
        <w:rPr>
          <w:rStyle w:val="FootnoteAnchor"/>
          <w:rtl w:val="true"/>
        </w:rPr>
        <w:footnoteReference w:id="348"/>
      </w:r>
    </w:p>
    <w:p>
      <w:pPr>
        <w:pStyle w:val="Heading5"/>
        <w:numPr>
          <w:ilvl w:val="4"/>
          <w:numId w:val="1"/>
        </w:numPr>
        <w:rPr/>
      </w:pPr>
      <w:bookmarkStart w:id="813" w:name="__RefHeading___Toc643891_222507752"/>
      <w:bookmarkStart w:id="814" w:name="_Toc318"/>
      <w:bookmarkEnd w:id="813"/>
      <w:r>
        <w:rPr/>
        <w:t>2</w:t>
      </w:r>
      <w:r>
        <w:rPr>
          <w:rtl w:val="true"/>
        </w:rPr>
        <w:t xml:space="preserve">. </w:t>
      </w:r>
      <w:r>
        <w:rPr>
          <w:rtl w:val="true"/>
        </w:rPr>
        <w:t>عیسی بن مریم علیهما السلام</w:t>
      </w:r>
      <w:bookmarkEnd w:id="814"/>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در بارة حضرت عیسی 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إِلَیْهِ وَ کانَ اللَّهُ عَزیزًا حَکیمًا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الْکِتابِ إِلاَّ لَیُؤْمِنَنَّ بِهِ قَبْلَ مَوْتِهِ وَ یَوْمَ الْقِیامَةِ یَکُونُ عَلَیْهِمْ شَهیدًا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و گفتة ایشان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مسیح عیسی بن مریم، پیامبر خدا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آنان او را نکشتند و مصلوبش نکردند؛ لکن امر، بر آنان مشتبه شد و کسانی که دربارة او اختلاف کردند، به‌طور قطع در بارة آن، دچار شک شده‌اند و هیچ آگاهی بدان ندارند، جز آن‌که از گمان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به‌طور یقین او را نکشتند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خدا او را به سوی خود بالا برد و خدا توانا و حکیم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اهل کتاب، کسی نیست، مگر آن‌که پیش از مرگ خود، حتماً به او ایمان می‌آورد، و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شاهد خواهد بود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مفسران مسلمان، در تبیین آیة یادشده بر این باورند که حضرت عیسی علیه‌السلام زنده است و در آخرالزمان نازل شده، در نماز به امام مهدی علیه‌السلام اقتدا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تاریخ میلادی، از درستی و دقت کافی برخوردار باشد، عمر عیسی علیه‌السلام، اکنون افزون بر دو هزار سال است و بر این پایه، عمر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برای حضرت مهدی علیه‌السلام امر بعیدی نخواهد بود</w:t>
      </w:r>
      <w:r>
        <w:rPr>
          <w:rFonts w:eastAsia="IRNazanin" w:cs="IRNazanin"/>
          <w:color w:val="111111"/>
          <w:sz w:val="28"/>
          <w:szCs w:val="28"/>
          <w:rtl w:val="true"/>
          <w:lang w:bidi="fa-IR"/>
        </w:rPr>
        <w:t xml:space="preserve">. </w:t>
      </w:r>
      <w:bookmarkStart w:id="815" w:name="pg12658_167051"/>
    </w:p>
    <w:p>
      <w:pPr>
        <w:pStyle w:val="Heading5"/>
        <w:numPr>
          <w:ilvl w:val="4"/>
          <w:numId w:val="1"/>
        </w:numPr>
        <w:rPr/>
      </w:pPr>
      <w:bookmarkStart w:id="816" w:name="__RefHeading___Toc643893_222507752"/>
      <w:bookmarkStart w:id="817" w:name="_Toc319"/>
      <w:bookmarkEnd w:id="815"/>
      <w:bookmarkEnd w:id="816"/>
      <w:r>
        <w:rPr/>
        <w:t>3</w:t>
      </w:r>
      <w:r>
        <w:rPr>
          <w:rtl w:val="true"/>
        </w:rPr>
        <w:t xml:space="preserve">. </w:t>
      </w:r>
      <w:r>
        <w:rPr>
          <w:rtl w:val="true"/>
        </w:rPr>
        <w:t>حضرت خضر علیه‌السلام</w:t>
      </w:r>
      <w:bookmarkEnd w:id="81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کسانی که عمر طولانی دارد، حضرت خضر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وی به روشنی یاد نشده است؛ اما داستان دیدار و همراهی حضرت موسای کلیم علیه‌السلام با او، در سوره کهف آمده است</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باور به زنده‌بودن خضر علیه‌السلام، ویژة شیعه نیست، بلکه میان اهل سنّت نیز باوری پذیرفته‌شده است</w:t>
      </w:r>
      <w:r>
        <w:rPr>
          <w:rFonts w:eastAsia="IRNazanin" w:cs="IRNazanin"/>
          <w:color w:val="111111"/>
          <w:sz w:val="28"/>
          <w:szCs w:val="28"/>
          <w:rtl w:val="true"/>
          <w:lang w:bidi="fa-IR"/>
        </w:rPr>
        <w:t>.</w:t>
      </w:r>
    </w:p>
    <w:p>
      <w:pPr>
        <w:pStyle w:val="Heading5"/>
        <w:numPr>
          <w:ilvl w:val="4"/>
          <w:numId w:val="1"/>
        </w:numPr>
        <w:rPr/>
      </w:pPr>
      <w:bookmarkStart w:id="818" w:name="__RefHeading___Toc643895_222507752"/>
      <w:bookmarkStart w:id="819" w:name="_Toc320"/>
      <w:bookmarkEnd w:id="818"/>
      <w:r>
        <w:rPr/>
        <w:t>4</w:t>
      </w:r>
      <w:r>
        <w:rPr>
          <w:rtl w:val="true"/>
        </w:rPr>
        <w:t xml:space="preserve">. </w:t>
      </w:r>
      <w:r>
        <w:rPr>
          <w:rtl w:val="true"/>
        </w:rPr>
        <w:t>اصحاب کهف</w:t>
      </w:r>
      <w:bookmarkEnd w:id="819"/>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در باره آنان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وَلَبِثُوا فِی کَهْفِهِمْ ثَلاثَ مِائَةٍ سِنینَ وَازْدادُوا تِسْعاً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1"/>
      </w:r>
      <w:r>
        <w:rPr>
          <w:rFonts w:ascii="IRNazanin" w:hAnsi="IRNazanin" w:eastAsia="IRNazanin"/>
          <w:color w:val="111111"/>
          <w:sz w:val="28"/>
          <w:sz w:val="28"/>
          <w:szCs w:val="28"/>
          <w:rtl w:val="true"/>
          <w:lang w:bidi="fa-IR"/>
        </w:rPr>
        <w:t>و سیصد سال، در غارشان درنگ کرده و نه سال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آیه، به زنده‌بودن اصحاب کهف به مدّت بیش از سه سده ـ آن هم در خواب و بدون آب و غذا ـ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کدام یک شگفت‌انگیزتر است؛ اینکه کسانی سیصد سال بدون آب و غذا زنده بمانند یا اینکه کسی صدها سال باقی مانده است؛ اما غذا می‌خورد، آب می‌آشامد، راه می‌رود، می‌خوابد و بیدار می‌شود؟</w:t>
      </w:r>
    </w:p>
    <w:p>
      <w:pPr>
        <w:pStyle w:val="Heading4"/>
        <w:numPr>
          <w:ilvl w:val="3"/>
          <w:numId w:val="1"/>
        </w:numPr>
        <w:rPr/>
      </w:pPr>
      <w:bookmarkStart w:id="820" w:name="__RefHeading___Toc643897_222507752"/>
      <w:bookmarkStart w:id="821" w:name="_Toc321"/>
      <w:bookmarkEnd w:id="820"/>
      <w:r>
        <w:rPr>
          <w:rtl w:val="true"/>
        </w:rPr>
        <w:t>دو</w:t>
      </w:r>
      <w:r>
        <w:rPr>
          <w:rtl w:val="true"/>
        </w:rPr>
        <w:t xml:space="preserve">. </w:t>
      </w:r>
      <w:r>
        <w:rPr>
          <w:rtl w:val="true"/>
        </w:rPr>
        <w:t>طول عمر از نگاه روایات</w:t>
      </w:r>
      <w:bookmarkEnd w:id="82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رسول خدا صلی‌الله‌علیه‌وآله نیز بر طول عمر انسان، سخنانی در دست است که آن را امری ممکن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در فرمایشات پیامبر صلی‌الله‌علیه‌وآله ـ به ویژه در منابع اهل سنّت ـ به طول عمر او اشاره شده، دجّال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بر پایة همین روایات، بر این باورند دجّال در دوران پیامبر صلی‌الله‌علیه‌وآله زاده شده و به زندگی خود ادامه می‌دهد، تا در آخِرالزمان خروج کند</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حال اگر این احادیث درست باشد ـ چنان که اهل سنّت بر این باورند ـ در این صورت، شایسته نیست که آنان در حیات و عمر طولانی امام مهدی علیه‌السلام تردید کنند</w:t>
      </w:r>
      <w:r>
        <w:rPr>
          <w:rFonts w:eastAsia="IRNazanin" w:cs="IRNazanin"/>
          <w:color w:val="111111"/>
          <w:sz w:val="28"/>
          <w:szCs w:val="28"/>
          <w:rtl w:val="true"/>
          <w:lang w:bidi="fa-IR"/>
        </w:rPr>
        <w:t>.</w:t>
      </w:r>
    </w:p>
    <w:p>
      <w:pPr>
        <w:pStyle w:val="Heading4"/>
        <w:numPr>
          <w:ilvl w:val="3"/>
          <w:numId w:val="1"/>
        </w:numPr>
        <w:rPr/>
      </w:pPr>
      <w:bookmarkStart w:id="822" w:name="__RefHeading___Toc643899_222507752"/>
      <w:bookmarkStart w:id="823" w:name="_Toc322"/>
      <w:bookmarkEnd w:id="822"/>
      <w:r>
        <w:rPr>
          <w:rtl w:val="true"/>
        </w:rPr>
        <w:t>سه</w:t>
      </w:r>
      <w:r>
        <w:rPr>
          <w:rtl w:val="true"/>
        </w:rPr>
        <w:t xml:space="preserve">. </w:t>
      </w:r>
      <w:r>
        <w:rPr>
          <w:rtl w:val="true"/>
        </w:rPr>
        <w:t>از نگاه عقل</w:t>
      </w:r>
      <w:bookmarkEnd w:id="82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افزون برکتاب و سنّت، خِرَد سالم نیز طول عمر را برای انسان، ناممکن نمی‌داند؛ </w:t>
      </w:r>
    </w:p>
    <w:p>
      <w:pPr>
        <w:pStyle w:val="BookText"/>
        <w:rPr/>
      </w:pPr>
      <w:r>
        <w:rPr>
          <w:rFonts w:ascii="IRNazanin" w:hAnsi="IRNazanin" w:eastAsia="IRNazanin"/>
          <w:color w:val="111111"/>
          <w:sz w:val="28"/>
          <w:sz w:val="28"/>
          <w:szCs w:val="28"/>
          <w:rtl w:val="true"/>
          <w:lang w:bidi="fa-IR"/>
        </w:rPr>
        <w:t>بلکه آن را امری به‌طور کامل ممکن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حکیمان و فیلسوفان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 امکان هر چیزی، واقع‌شدن آن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طول عمر در میان پیشینیان روی داده و تاریخ، افراد فراوانی را به ما نشان می‌دهد که عمری دراز داشته‌اند، خود گواه روشنی است بر این‌که طول عمر از دیدگاه عقل امری ممکن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علمی و بحث طول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به نوع تفسیر فیزیولوژی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 و فرسودگی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و فرسودگی زاییدة یک قانون طبیعی حاکم بر بافت‌های پیکرة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ضروری است که بدن پس از رسیدن به آخرین مرحلة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فرسوده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کارآیی کمتری داشته باشد، تا آن‌گاه که در لحظه‌ای معیّن از کار بیفتد، آیا حتی در بارة بدنی هم که از هرگونه تأثیر بیرونی در امان مانده صادق است یا این که فرسودگی و کاهشی که در کارآیی بافت و نسوج مجموعة بدن به چشم می‌خورد، نتیجة نبرد با عوامل بیرونی ـ مانند میکرب‌ها و سموم ـ است که به بدن انسان راه می‌یابد؟</w:t>
      </w:r>
      <w:r>
        <w:rPr>
          <w:rStyle w:val="FootnoteAnchor"/>
          <w:rtl w:val="true"/>
        </w:rPr>
        <w:footnoteReference w:id="3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دلیل‌های یاد شده، برای طول عمر انسان، راه دیگری نیز وجود دارد که همان راه اراده و قدرت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حضرت مهدی علیه‌السلام با قدرت بی‌پایان خداوند زنده است و میان مردم، به زندگی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آتش را برای ابراهیم سرد و سلامت قرار داد و گِل را برای عیسی علیه‌السلام به پرنده تبدیل کرد، و عیسی و خضر را پس از قرن‌ها زنده نگه می‌دارد، می‌تواند مهدی علیه‌السلام را نیز با قدرت الهی خود زنده نگه دارد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معتبر تاریخی، افراد فراوانی معرفی شده‌اند که از عمر بسیار طولانی برخوردار بوده و روزگاران درازی زیسته‌اند</w:t>
      </w:r>
      <w:r>
        <w:rPr>
          <w:rFonts w:eastAsia="IRNazanin" w:cs="IRNazanin"/>
          <w:color w:val="111111"/>
          <w:sz w:val="28"/>
          <w:szCs w:val="28"/>
          <w:rtl w:val="true"/>
          <w:lang w:bidi="fa-IR"/>
        </w:rPr>
        <w:t>.</w:t>
      </w:r>
      <w:r>
        <w:rPr>
          <w:rStyle w:val="FootnoteAnchor"/>
          <w:rtl w:val="true"/>
        </w:rPr>
        <w:footnoteReference w:id="355"/>
      </w:r>
      <w:bookmarkStart w:id="824" w:name="pg12658_167056"/>
    </w:p>
    <w:p>
      <w:pPr>
        <w:pStyle w:val="Heading3"/>
        <w:numPr>
          <w:ilvl w:val="2"/>
          <w:numId w:val="1"/>
        </w:numPr>
        <w:rPr/>
      </w:pPr>
      <w:bookmarkStart w:id="825" w:name="__RefHeading___Toc643901_222507752"/>
      <w:bookmarkStart w:id="826" w:name="_Toc323"/>
      <w:bookmarkEnd w:id="824"/>
      <w:bookmarkEnd w:id="825"/>
      <w:r>
        <w:rPr>
          <w:rtl w:val="true"/>
        </w:rPr>
        <w:t>فرجام زندگی حضرت مهدی علیه‌السلام</w:t>
      </w:r>
      <w:bookmarkEnd w:id="826"/>
    </w:p>
    <w:p>
      <w:pPr>
        <w:pStyle w:val="Heading4"/>
        <w:numPr>
          <w:ilvl w:val="3"/>
          <w:numId w:val="1"/>
        </w:numPr>
        <w:rPr/>
      </w:pPr>
      <w:bookmarkStart w:id="827" w:name="__RefHeading___Toc643903_222507752"/>
      <w:bookmarkStart w:id="828" w:name="_Toc324"/>
      <w:bookmarkEnd w:id="827"/>
      <w:r>
        <w:rPr>
          <w:rtl w:val="true"/>
        </w:rPr>
        <w:t>اشاره</w:t>
      </w:r>
      <w:bookmarkEnd w:id="828"/>
    </w:p>
    <w:p>
      <w:pPr>
        <w:pStyle w:val="BookText"/>
        <w:rPr/>
      </w:pPr>
      <w:r>
        <w:rPr>
          <w:rFonts w:ascii="IRNazanin" w:hAnsi="IRNazanin" w:eastAsia="IRNazanin"/>
          <w:color w:val="111111"/>
          <w:sz w:val="28"/>
          <w:sz w:val="28"/>
          <w:szCs w:val="28"/>
          <w:rtl w:val="true"/>
          <w:lang w:bidi="fa-IR"/>
        </w:rPr>
        <w:t>دربارة فرجام زندگی آخرین حجت الهی، دیدگاه‌های گوناگونی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پایان عمر آن حضرت را با کشته‌شدن و شهادت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رحلت آن بزرگوار را به مرگ طبیعی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دیدگاه‌های بالا دلایلی بر ادعای خویش آورده‌اند</w:t>
      </w:r>
      <w:r>
        <w:rPr>
          <w:rFonts w:eastAsia="IRNazanin" w:cs="IRNazanin"/>
          <w:color w:val="111111"/>
          <w:sz w:val="28"/>
          <w:szCs w:val="28"/>
          <w:rtl w:val="true"/>
          <w:lang w:bidi="fa-IR"/>
        </w:rPr>
        <w:t>.</w:t>
      </w:r>
    </w:p>
    <w:p>
      <w:pPr>
        <w:pStyle w:val="Heading4"/>
        <w:numPr>
          <w:ilvl w:val="3"/>
          <w:numId w:val="1"/>
        </w:numPr>
        <w:rPr/>
      </w:pPr>
      <w:bookmarkStart w:id="829" w:name="__RefHeading___Toc643905_222507752"/>
      <w:bookmarkStart w:id="830" w:name="_Toc325"/>
      <w:bookmarkEnd w:id="829"/>
      <w:r>
        <w:rPr>
          <w:rtl w:val="true"/>
        </w:rPr>
        <w:t>یک</w:t>
      </w:r>
      <w:r>
        <w:rPr>
          <w:rtl w:val="true"/>
        </w:rPr>
        <w:t xml:space="preserve">. </w:t>
      </w:r>
      <w:r>
        <w:rPr>
          <w:rtl w:val="true"/>
        </w:rPr>
        <w:t>شهادت امام مهدی علیه‌السلام</w:t>
      </w:r>
      <w:bookmarkEnd w:id="830"/>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در دست است که پایان عمر همة امامان علیهم‌السلام را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غیر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علیه‌السلام نقل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مِنَّا إِلَّا مَقْتُولٌ أَوْ مَسْمُومٌ؛</w:t>
      </w:r>
      <w:r>
        <w:rPr>
          <w:rStyle w:val="FootnoteAnchor"/>
          <w:rtl w:val="true"/>
        </w:rPr>
        <w:footnoteReference w:id="356"/>
      </w:r>
      <w:r>
        <w:rPr>
          <w:rFonts w:ascii="IRNazanin" w:hAnsi="IRNazanin" w:eastAsia="IRNazanin"/>
          <w:color w:val="111111"/>
          <w:sz w:val="28"/>
          <w:sz w:val="28"/>
          <w:szCs w:val="28"/>
          <w:rtl w:val="true"/>
          <w:lang w:bidi="fa-IR"/>
        </w:rPr>
        <w:t>هیچ یک از ما امامان نیست، جز آن‌که کشته یا مسموم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این صورت فقط در کتاب کفایة الاثر نوشتة علی بن محمد خزاز قمی از دانشمندان سده چهار و پنج هجری آمده و مرحوم علامه مجلسی آن را از کتاب یادشده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بررسی این روایت، قابل درنگ است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کتاب‌های پیش از آن مورد اشاره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افراد که در سند روایت آمده‌اند مجهول بوده، در هیچ یک از کتاب‌های رجالی سخنی از آن‌ها به میان نیامده است</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در ادامه روایت نیز مطلبی آمده که با اعتقاد شیعه سازگاری ندارد و آن این که شمار امامان سیزده نفر خواهد شد؛ چرا که شمار امامان که از نسل علی علیه‌السلام است، دوازده نفر ذکر شده است که با خود آن حضرت سیزده خواهد شد؛ بنابراین استناد به این روایت، برای ادعای یادشده ناکافی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به نقل از اباصلت هروی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رضا علیه‌السلام شنیدم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مِنَّا إِلَّا مَقْتُولٌ شَهِیدٌ؛</w:t>
      </w:r>
      <w:r>
        <w:rPr>
          <w:rStyle w:val="FootnoteAnchor"/>
          <w:rtl w:val="true"/>
        </w:rPr>
        <w:footnoteReference w:id="358"/>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از ما مگر کشته شدة به شهادت رسیده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را فقط شیخ صدوق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روایت یادشده را در کتاب من </w:t>
      </w:r>
    </w:p>
    <w:p>
      <w:pPr>
        <w:pStyle w:val="BookText"/>
        <w:rPr/>
      </w:pPr>
      <w:r>
        <w:rPr>
          <w:rFonts w:ascii="IRNazanin" w:hAnsi="IRNazanin" w:eastAsia="IRNazanin"/>
          <w:color w:val="111111"/>
          <w:sz w:val="28"/>
          <w:sz w:val="28"/>
          <w:szCs w:val="28"/>
          <w:rtl w:val="true"/>
          <w:lang w:bidi="fa-IR"/>
        </w:rPr>
        <w:t>لایحضره الفقیه،</w:t>
      </w:r>
      <w:r>
        <w:rPr>
          <w:rStyle w:val="FootnoteAnchor"/>
          <w:rtl w:val="true"/>
        </w:rPr>
        <w:footnoteReference w:id="359"/>
      </w:r>
      <w:r>
        <w:rPr>
          <w:rFonts w:ascii="IRNazanin" w:hAnsi="IRNazanin" w:eastAsia="IRNazanin"/>
          <w:color w:val="111111"/>
          <w:sz w:val="28"/>
          <w:sz w:val="28"/>
          <w:szCs w:val="28"/>
          <w:rtl w:val="true"/>
          <w:lang w:bidi="fa-IR"/>
        </w:rPr>
        <w:t xml:space="preserve">به صورت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کامل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کتاب امالی</w:t>
      </w:r>
      <w:r>
        <w:rPr>
          <w:rStyle w:val="FootnoteAnchor"/>
          <w:rtl w:val="true"/>
        </w:rPr>
        <w:footnoteReference w:id="360"/>
      </w:r>
      <w:r>
        <w:rPr>
          <w:rFonts w:ascii="IRNazanin" w:hAnsi="IRNazanin" w:eastAsia="IRNazanin"/>
          <w:color w:val="111111"/>
          <w:sz w:val="28"/>
          <w:sz w:val="28"/>
          <w:szCs w:val="28"/>
          <w:rtl w:val="true"/>
          <w:lang w:bidi="fa-IR"/>
        </w:rPr>
        <w:t xml:space="preserve">و عیون اخبار الرضا علیه‌السلام، </w:t>
      </w:r>
      <w:r>
        <w:rPr>
          <w:rStyle w:val="FootnoteAnchor"/>
          <w:rtl w:val="true"/>
        </w:rPr>
        <w:footnoteReference w:id="361"/>
      </w:r>
      <w:r>
        <w:rPr>
          <w:rFonts w:ascii="IRNazanin" w:hAnsi="IRNazanin" w:eastAsia="IRNazanin"/>
          <w:color w:val="111111"/>
          <w:sz w:val="28"/>
          <w:sz w:val="28"/>
          <w:szCs w:val="28"/>
          <w:rtl w:val="true"/>
          <w:lang w:bidi="fa-IR"/>
        </w:rPr>
        <w:t>با ذکر سند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بررسی رجال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عیون الاخبار، دارای سندی صحیح و معتبر است؛</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ـ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ثقه و جلیل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 ص</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ثقه و جلیل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 ص</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أبی الصلت عبد السلام بن صالح الهروی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می‌تواند نقص اسناد روایات پیش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کتاب عیون در صدر روایت سخنی به امام نسبت داده شده که طبق دیدگاه شیعه روایت از اعتبار ساقط می‌شود و آن سهو النبی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روایت هروی از امام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کوفه گمان می‌کنند بر پیامبر در نماز سهوی عارض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پاسخ به امام نسبت داده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لَعَنَهُمُ اللَّهُ إِنَّ الَّذِی لَا یَسْهُو هُوَ اللَّهُ الَّذِی لَا إِلَهَ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پرسش پیش می‌آید که چگونه به روایتی که بزرگان شیعه از آن اعراض کرده‌اند استدلال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نخستین کسی که ادعای شهادت حضرت مهدی علیه‌السلام را به گونة گسترده مطرح کرد، صاحب کتاب الزم الناصب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بخشی از کتاب خود آورده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هفتاد سال گذشت، مرگ حضرت حجت علیه‌السلام فرا خواهد رسید؛ پس او را زنی از بنی‌تمیم که نامش سعیده و دارای ریشی همچون مردان است، با انداختن 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نقل‌ها سنگی که برای آردکردن گندم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بام بر آن حضرت به قتل خواهد رساند؛ در حالی که آن حضرت، از راه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دنیا رفت، امام حسین، امور </w:t>
      </w:r>
      <w:bookmarkStart w:id="831" w:name="pg12658_167060"/>
    </w:p>
    <w:p>
      <w:pPr>
        <w:pStyle w:val="BookText"/>
        <w:rPr/>
      </w:pPr>
      <w:bookmarkEnd w:id="831"/>
      <w:r>
        <w:rPr>
          <w:rFonts w:ascii="IRNazanin" w:hAnsi="IRNazanin" w:eastAsia="IRNazanin"/>
          <w:color w:val="111111"/>
          <w:sz w:val="28"/>
          <w:sz w:val="28"/>
          <w:szCs w:val="28"/>
          <w:rtl w:val="true"/>
          <w:lang w:bidi="fa-IR"/>
        </w:rPr>
        <w:t>مربوط به وی را انجام خواهد داد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بارة این سخن، باید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حیث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هیچ‌گونه سندی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گویندة آن نیز به‌طور کامل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کاملا منفرد است و هیچ‌گونه مشابه و مؤید مستقیمی برای آن 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پیش از سده چهاردهم و کتاب الزام الناصب در هیچ منبعی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اینکه این سخن ابهاماتی را پدید می‌آورد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پیشرفت و تکامل علمی، چرا باید از این ابزار بسیار قدیمی که حتی در دوران ما نیز به نوعی کنار گذاشته شده و تا حد قابل توجهی تاریخی به شمار می‌رود برای آن عمل زشت استفاده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در هنگام رفت و آمد حضرت مهدی علیه‌السلام به عنوان امام و حاکم صالح علی الاطلاق همه عالم چگونه از حضرت غافلند که کسی بتواند به این سادگی و از نزدیک چنین سوء قصدی نماید؟</w:t>
      </w:r>
    </w:p>
    <w:p>
      <w:pPr>
        <w:pStyle w:val="Heading4"/>
        <w:numPr>
          <w:ilvl w:val="3"/>
          <w:numId w:val="1"/>
        </w:numPr>
        <w:rPr/>
      </w:pPr>
      <w:bookmarkStart w:id="832" w:name="__RefHeading___Toc643907_222507752"/>
      <w:bookmarkStart w:id="833" w:name="_Toc326"/>
      <w:bookmarkEnd w:id="832"/>
      <w:r>
        <w:rPr>
          <w:rtl w:val="true"/>
        </w:rPr>
        <w:t>دو</w:t>
      </w:r>
      <w:r>
        <w:rPr>
          <w:rtl w:val="true"/>
        </w:rPr>
        <w:t xml:space="preserve">. </w:t>
      </w:r>
      <w:r>
        <w:rPr>
          <w:rtl w:val="true"/>
        </w:rPr>
        <w:t>رحلت به مرگ طبیعی</w:t>
      </w:r>
      <w:bookmarkEnd w:id="833"/>
    </w:p>
    <w:p>
      <w:pPr>
        <w:pStyle w:val="BookText"/>
        <w:rPr/>
      </w:pPr>
      <w:r>
        <w:rPr>
          <w:rFonts w:ascii="IRNazanin" w:hAnsi="IRNazanin" w:eastAsia="IRNazanin"/>
          <w:color w:val="111111"/>
          <w:sz w:val="28"/>
          <w:sz w:val="28"/>
          <w:szCs w:val="28"/>
          <w:rtl w:val="true"/>
          <w:lang w:bidi="fa-IR"/>
        </w:rPr>
        <w:t>کسانی که می‌گویند آن حضرت به مرگ طبیعی از دنیا خواهد رفت، بر این باورند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دلیل‌های دسته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بر فرض پذیرش روایات یادشده، این روایات به حضرت مهدی علیه‌السلام تخصیص خورده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شهادت آن حضرت، با روایاتی که بر اصلاح کامل جامعه در عصر ظهور دلالت دارد، در تعارض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در روایاتی چند، سخن از مرگ طبیعی آن حضرت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أیوب بن نوح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رضا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امیدواریم شما صاحب الامر باشید و خدای تعالی بدون خونریزی و شمشیر آن را به شما بازگرداند که با شما بیعت شده و سکه به نام شما ضرب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ما امامان نیست که نامه‌ها نزد او رفت و آمد کند و از مسائل پرسیده شود و با انگشتان بدو اشاره کنند و اموال نزد وی حمل شود، جز آن که به خدعه کشته شود یا آن که بر بستر خود بمیرد، تا جایی که خدای تعالی، مردی را برای این امر برانگیزد که مولد و منشأ او مخفی، اما نسبش آشکار 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کشته‌شدن و مسموم‌شدن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می‌گیرد،</w:t>
      </w:r>
      <w:r>
        <w:rPr>
          <w:rStyle w:val="FootnoteAnchor"/>
          <w:rtl w:val="true"/>
        </w:rPr>
        <w:footnoteReference w:id="365"/>
      </w:r>
      <w:r>
        <w:rPr>
          <w:rFonts w:ascii="IRNazanin" w:hAnsi="IRNazanin" w:eastAsia="IRNazanin"/>
          <w:color w:val="111111"/>
          <w:sz w:val="28"/>
          <w:sz w:val="28"/>
          <w:szCs w:val="28"/>
          <w:rtl w:val="true"/>
          <w:lang w:bidi="fa-IR"/>
        </w:rPr>
        <w:t>می‌توان احتمال داد از مرگ در بستر، همان مرگ طبیعی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این روایت، مرگ طبیعی برخی از امامان علیهم‌السلام دور از ذهن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معرفت و ایمان به این که او حسین علیه‌السلام است، در دل‌ها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حضرت حجت علیه‌السلام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بن علی علیهما السلام او را غسل می‌دهد؛ کفن می‌کند؛ حنوط می‌کند و در قبرش قرار می‌دهد…</w:t>
      </w:r>
      <w:r>
        <w:rPr>
          <w:rFonts w:eastAsia="IRNazanin" w:cs="IRNazanin"/>
          <w:color w:val="111111"/>
          <w:sz w:val="28"/>
          <w:szCs w:val="28"/>
          <w:rtl w:val="true"/>
          <w:lang w:bidi="fa-IR"/>
        </w:rPr>
        <w:t>.</w:t>
      </w:r>
      <w:r>
        <w:rPr>
          <w:rStyle w:val="FootnoteAnchor"/>
          <w:rtl w:val="true"/>
        </w:rPr>
        <w:footnoteReference w:id="36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مرگ در روایت یادشده شهادت را نیز در بر می‌گیرد اما احتمال مرگ طبیعی را نیز 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یاد شد، به دست می‌آید که شهادت حضرت مهدی علیه‌السلام امری محتمل است و می‌توان از روایت امام رضا علیه‌السلام چنین برداشت </w:t>
      </w:r>
      <w:bookmarkStart w:id="834" w:name="pg12658_167063"/>
    </w:p>
    <w:p>
      <w:pPr>
        <w:pStyle w:val="BookText"/>
        <w:rPr/>
      </w:pPr>
      <w:bookmarkEnd w:id="834"/>
      <w:r>
        <w:rPr>
          <w:rFonts w:ascii="IRNazanin" w:hAnsi="IRNazanin" w:eastAsia="IRNazanin"/>
          <w:color w:val="111111"/>
          <w:sz w:val="28"/>
          <w:sz w:val="28"/>
          <w:szCs w:val="28"/>
          <w:rtl w:val="true"/>
          <w:lang w:bidi="fa-IR"/>
        </w:rPr>
        <w:t>کرد؛ اما همان‌گونه که شیخ مفید نیز بدان پایبند بوده، برای اثبات قطعی حکم به شهادت، ناکافی است و همان‌گونه که افزون بر آن، برای هر امام نیاز به شواهد تاریخی است، برای حضرت مهدی علیه‌السلام نیز نیاز به دلیل دیگری داریم؛ بنابراین حکم قطعی به شهادت آن حضرت کاری بس دشوار است</w:t>
      </w:r>
      <w:r>
        <w:rPr>
          <w:rFonts w:eastAsia="IRNazanin" w:cs="IRNazanin"/>
          <w:color w:val="111111"/>
          <w:sz w:val="28"/>
          <w:szCs w:val="28"/>
          <w:rtl w:val="true"/>
          <w:lang w:bidi="fa-IR"/>
        </w:rPr>
        <w:t>.</w:t>
      </w:r>
    </w:p>
    <w:p>
      <w:pPr>
        <w:pStyle w:val="Heading3"/>
        <w:numPr>
          <w:ilvl w:val="2"/>
          <w:numId w:val="1"/>
        </w:numPr>
        <w:rPr/>
      </w:pPr>
      <w:bookmarkStart w:id="835" w:name="__RefHeading___Toc643909_222507752"/>
      <w:bookmarkStart w:id="836" w:name="_Toc327"/>
      <w:bookmarkEnd w:id="835"/>
      <w:r>
        <w:rPr>
          <w:rtl w:val="true"/>
        </w:rPr>
        <w:t>جهان پس از حضرت مهدی علیه‌السلام</w:t>
      </w:r>
      <w:bookmarkEnd w:id="836"/>
    </w:p>
    <w:p>
      <w:pPr>
        <w:pStyle w:val="Heading4"/>
        <w:numPr>
          <w:ilvl w:val="3"/>
          <w:numId w:val="1"/>
        </w:numPr>
        <w:rPr/>
      </w:pPr>
      <w:bookmarkStart w:id="837" w:name="__RefHeading___Toc643911_222507752"/>
      <w:bookmarkStart w:id="838" w:name="_Toc328"/>
      <w:bookmarkEnd w:id="837"/>
      <w:r>
        <w:rPr>
          <w:rtl w:val="true"/>
        </w:rPr>
        <w:t>اشاره</w:t>
      </w:r>
      <w:bookmarkEnd w:id="838"/>
    </w:p>
    <w:p>
      <w:pPr>
        <w:pStyle w:val="BookText"/>
        <w:rPr/>
      </w:pPr>
      <w:r>
        <w:rPr>
          <w:rFonts w:ascii="IRNazanin" w:hAnsi="IRNazanin" w:eastAsia="IRNazanin"/>
          <w:color w:val="111111"/>
          <w:sz w:val="28"/>
          <w:sz w:val="28"/>
          <w:szCs w:val="28"/>
          <w:rtl w:val="true"/>
          <w:lang w:bidi="fa-IR"/>
        </w:rPr>
        <w:t>بر پایة آموزه‌های مکتب شیعه، همان‌گونه که انقلاب جهانی مهدی علیه‌السلام، آخرین انقلاب در جهان به شمار می‌رود، دولت مهدی علیه‌السلام، آخرین دولت در جهان و تاریخ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که تا پایان زندگی در دنیا تداوم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دیگری پس از آن و یا در کنار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جهانی مهدی علیه‌السلام، همة دولت‌های باطل در سراسر زمین از میان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آن حضرت آخرین دولت در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دَولَتُهُ آخِرُ الدُّوَل… ؛</w:t>
      </w:r>
      <w:r>
        <w:rPr>
          <w:rStyle w:val="FootnoteAnchor"/>
          <w:rtl w:val="true"/>
        </w:rPr>
        <w:footnoteReference w:id="367"/>
      </w:r>
      <w:r>
        <w:rPr>
          <w:rFonts w:ascii="IRNazanin" w:hAnsi="IRNazanin" w:eastAsia="IRNazanin"/>
          <w:color w:val="111111"/>
          <w:sz w:val="28"/>
          <w:sz w:val="28"/>
          <w:szCs w:val="28"/>
          <w:rtl w:val="true"/>
          <w:lang w:bidi="fa-IR"/>
        </w:rPr>
        <w:t>دولت او آخرین و دولت‌ها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نیز آنگاه که هشام ابن عبدالملک و اطرافیانش، در مجلس خود، امام را سرزنش کردند بر دولت پایدار شیعه در پایان تاریخ تأکید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أَیْنَ تَذْهَبُونَ… فَإِنْ یَکُنْ لَکُمْ مُلْکٌ مُعَجَّلٌ فَإِنَّ لَنَا مُلْکاً مُؤَجَّلًا وَ لَیْسَ بَعْدَ مُلْکِنَا مُلْکٌ؛</w:t>
      </w:r>
      <w:r>
        <w:rPr>
          <w:rStyle w:val="FootnoteAnchor"/>
          <w:rtl w:val="true"/>
        </w:rPr>
        <w:footnoteReference w:id="368"/>
      </w:r>
      <w:r>
        <w:rPr>
          <w:rFonts w:ascii="IRNazanin" w:hAnsi="IRNazanin" w:eastAsia="IRNazanin"/>
          <w:color w:val="111111"/>
          <w:sz w:val="28"/>
          <w:sz w:val="28"/>
          <w:szCs w:val="28"/>
          <w:rtl w:val="true"/>
          <w:lang w:bidi="fa-IR"/>
        </w:rPr>
        <w:t>ای مردم، کجا می‌روید،… اگر شما دولت زودگذر دارید، دولت پایدار از آن ماست و پس از دولت ما دولتی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این احادیث، اثبات می‌کند که دولت پایان تاریخ، دولت عدل مهدوی است و خط بطلان بر همة نظریه‌هایی می‌کشد که دولتی غیر الهی را به عنوان بهترین و عالی‌ترین شکل حکومت بشری، در آخرالزمان معرفی می‌کنند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دربارة چگونگی جهان پس از حضرت مهدی علیه‌السلام و جانشین آن حضرت و رخدادهای آستانة رستاخیز بزرگ، دیدگاه‌های گوناگونی ارائه شده که برخی مخالف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جهت‌گیری دیدگاه‌ها میان شیعه و اهل سنّت به طور فراگیر </w:t>
      </w:r>
      <w:bookmarkStart w:id="839" w:name="pg12658_167066"/>
    </w:p>
    <w:p>
      <w:pPr>
        <w:pStyle w:val="BookText"/>
        <w:rPr/>
      </w:pPr>
      <w:bookmarkEnd w:id="839"/>
      <w:r>
        <w:rPr>
          <w:rFonts w:ascii="IRNazanin" w:hAnsi="IRNazanin" w:eastAsia="IRNazanin"/>
          <w:color w:val="111111"/>
          <w:sz w:val="28"/>
          <w:sz w:val="28"/>
          <w:szCs w:val="28"/>
          <w:rtl w:val="true"/>
          <w:lang w:bidi="fa-IR"/>
        </w:rPr>
        <w:t>با یکدیگر متفاوت است، به هر دو دیدگاه اشاره می‌کنیم</w:t>
      </w:r>
      <w:r>
        <w:rPr>
          <w:rFonts w:eastAsia="IRNazanin" w:cs="IRNazanin"/>
          <w:color w:val="111111"/>
          <w:sz w:val="28"/>
          <w:szCs w:val="28"/>
          <w:rtl w:val="true"/>
          <w:lang w:bidi="fa-IR"/>
        </w:rPr>
        <w:t>:</w:t>
      </w:r>
    </w:p>
    <w:p>
      <w:pPr>
        <w:pStyle w:val="Heading4"/>
        <w:numPr>
          <w:ilvl w:val="3"/>
          <w:numId w:val="1"/>
        </w:numPr>
        <w:rPr/>
      </w:pPr>
      <w:bookmarkStart w:id="840" w:name="__RefHeading___Toc643913_222507752"/>
      <w:bookmarkStart w:id="841" w:name="_Toc329"/>
      <w:bookmarkEnd w:id="840"/>
      <w:r>
        <w:rPr>
          <w:rtl w:val="true"/>
        </w:rPr>
        <w:t>یک</w:t>
      </w:r>
      <w:r>
        <w:rPr>
          <w:rtl w:val="true"/>
        </w:rPr>
        <w:t xml:space="preserve">. </w:t>
      </w:r>
      <w:r>
        <w:rPr>
          <w:rtl w:val="true"/>
        </w:rPr>
        <w:t>دیدگاه پیروان مکتب اهل بیت علیهم‌السلام</w:t>
      </w:r>
      <w:bookmarkEnd w:id="841"/>
    </w:p>
    <w:p>
      <w:pPr>
        <w:pStyle w:val="BookText"/>
        <w:rPr/>
      </w:pPr>
      <w:r>
        <w:rPr>
          <w:rFonts w:ascii="IRNazanin" w:hAnsi="IRNazanin" w:eastAsia="IRNazanin"/>
          <w:color w:val="111111"/>
          <w:sz w:val="28"/>
          <w:sz w:val="28"/>
          <w:szCs w:val="28"/>
          <w:rtl w:val="true"/>
          <w:lang w:bidi="fa-IR"/>
        </w:rPr>
        <w:t>به طور عمده دیدگاه‌های شیعه، با بیان‌های گوناگون، جهان پس از حضرت مهدی علیه‌السلام را بر خیر و صلاح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غیر از این نیز از حکمت و لطف الهی انتظار نیست؛ چرا که چگونه می‌توان باور کرد پس از انتظاری چندین صد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چند هزار ساله پس از حکومتی کوتاه باز هم اوضاع به هرج و مرج پایان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دیدگاه‌ها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جهان پس از حضرت مهدی علیه‌السلام بر نیک‌بختی بوده، جانشینان آن حضرت از میان رجعت‌کنندگان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در درس‌های پیش اشاره شد، یکی از باورهای ژرف میان شیعیان، باور به زنده‌شدن دو گروه از مؤمنان خالص و کافران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که آن‌جا مطرح شد، حکومت برخی از رجعت‌کنندگان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چگونگی این حکومت به روشنی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این دیدگاهند، افزون بر دلیل‌های فراوانی که از آیه‌ها و روایت‌ها ارائه می‌کنند بر این باورند روایاتی که می‌گوید هرگز زمین از حجت خالی نخواهد ماند، جهان پس از حضرت مهدی علیه‌السلام را ناگزیر به دو گونه تصویر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قیامت بر 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حجت‌هایی از طرف پروردگار واسطة فیض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شمار امامان، به تصریح پیامبر صلی‌الله‌علیه‌وآله بیش از دوازده نفر نخواهند بود، پس کسانی که بر مردم حکومت خواهند کرد، همانا امامان علیهم‌السلام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پس از حضرت مهدی علیه‌السلام همواره با حکومت دوازده مهدی اداره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طوسی با ذکر سند از امام علی علیه‌السلام نقل کرده که در شبی که پیامبر اکرم صلی‌الله‌علیه‌وآله رحلت فرمود، مطالبی را به ایشان املا نموده که در آن پس از اشاره به امامان دوازدهگانه، آن‌گاه که به آخرین پیشوا رسید، چنین فرمود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آن‌گاه که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هنگام وفات فرا رسید،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فرزندش محمد تسلیم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دوازده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دوازده مهدی خواهد بود…</w:t>
      </w:r>
      <w:r>
        <w:rPr>
          <w:rStyle w:val="FootnoteAnchor"/>
          <w:rtl w:val="true"/>
        </w:rPr>
        <w:footnoteReference w:id="36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عرض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پدر شما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قائم دوازده مهدی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دوازده مهدی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ولکن ایشان گروهی از شیعیان ما هستند که مردم را به دوستی ما و شناخت حق ما دعوت می‌کنند</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به ابوحمزه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پس از قائم، یازده مهدی از ما از فرزندان حسین خواهد بود</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جهان پس از آن حضرت، تا برپایی قیامت، حکومت فقط در دست بندگان شایستة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دیدگاه، روایتی است که خداوند شب معراج به رسول گرامی اسلام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آینه او را به سپاهیان خویش یاری خواهم کرد و او را به فرشتگان خویش کمک خواهم نمود، تا آن که دعوتم برتری یابد و آفریدگان بر یکتاپرستی‌ام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پادشاهی او را ادامه خواهم داد و تا قیامت اولیایم چنین خواهند کرد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پس از حضرت مهدی علیه‌السلام به دست یکی از اهل بیت پیامبر صلی‌الله‌علیه‌وآله اداره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جابربن‌یزید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مردی از ما اهل بیت مدت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خواهد کرد</w:t>
      </w:r>
      <w:r>
        <w:rPr>
          <w:rFonts w:eastAsia="IRNazanin" w:cs="IRNazanin"/>
          <w:color w:val="111111"/>
          <w:sz w:val="28"/>
          <w:szCs w:val="28"/>
          <w:rtl w:val="true"/>
          <w:lang w:bidi="fa-IR"/>
        </w:rPr>
        <w:t>.</w:t>
      </w:r>
      <w:bookmarkStart w:id="842" w:name="pg12658_167070"/>
    </w:p>
    <w:p>
      <w:pPr>
        <w:pStyle w:val="BookText"/>
        <w:rPr/>
      </w:pPr>
      <w:bookmarkEnd w:id="84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زمانی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رحلت قائم…</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است که بدون اشاره به وضعیت جهان و جانشین حضرت مهدی علیه‌السلام آن را فقط در آگاهی خداوند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دیده شد، چهار دیدگاه اخیر، نه فقط مخالفتی با دیدگاه نخست ندارد، بلکه می‌تواند به نوعی در پذیرش دیدگاه نخست باشد</w:t>
      </w:r>
      <w:r>
        <w:rPr>
          <w:rFonts w:eastAsia="IRNazanin" w:cs="IRNazanin"/>
          <w:color w:val="111111"/>
          <w:sz w:val="28"/>
          <w:szCs w:val="28"/>
          <w:rtl w:val="true"/>
          <w:lang w:bidi="fa-IR"/>
        </w:rPr>
        <w:t>.</w:t>
      </w:r>
    </w:p>
    <w:p>
      <w:pPr>
        <w:pStyle w:val="Heading4"/>
        <w:numPr>
          <w:ilvl w:val="3"/>
          <w:numId w:val="1"/>
        </w:numPr>
        <w:rPr/>
      </w:pPr>
      <w:bookmarkStart w:id="843" w:name="__RefHeading___Toc643915_222507752"/>
      <w:bookmarkStart w:id="844" w:name="_Toc330"/>
      <w:bookmarkEnd w:id="843"/>
      <w:r>
        <w:rPr>
          <w:rtl w:val="true"/>
        </w:rPr>
        <w:t>دو</w:t>
      </w:r>
      <w:r>
        <w:rPr>
          <w:rtl w:val="true"/>
        </w:rPr>
        <w:t xml:space="preserve">. </w:t>
      </w:r>
      <w:r>
        <w:rPr>
          <w:rtl w:val="true"/>
        </w:rPr>
        <w:t>دیدگاه اهل سنّت</w:t>
      </w:r>
      <w:bookmarkEnd w:id="84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اهل سنّت بر این باورند که پس از وفات مهدی علیه‌السلام هیچ خیری در زندگی نخواهد بود</w:t>
      </w:r>
      <w:r>
        <w:rPr>
          <w:rStyle w:val="FootnoteAnchor"/>
          <w:rtl w:val="true"/>
        </w:rPr>
        <w:footnoteReference w:id="374"/>
      </w:r>
      <w:r>
        <w:rPr>
          <w:rFonts w:ascii="IRNazanin" w:hAnsi="IRNazanin" w:eastAsia="IRNazanin"/>
          <w:color w:val="111111"/>
          <w:sz w:val="28"/>
          <w:sz w:val="28"/>
          <w:szCs w:val="28"/>
          <w:rtl w:val="true"/>
          <w:lang w:bidi="fa-IR"/>
        </w:rPr>
        <w:t>و دنیا به صورت هرج و مرج تا قیامت ادامه خواهد داشت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کتاب البرهان فی علامات مهدی آخرالزمان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موت المهدی علیه‌السلام و ذکر احوال تقع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یافته است که در آن، چگونگی وفات آن حضرت و رخدادهایی که پس از او پدید خواهد آمد، بیان شده است و در روایاتی سخن از آشوب‌ها و شرها پس از درگذشت آن حضرت به میان آورده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عقد الدرر نیز روایتی از پیامبر اکرم صلی‌الله‌علیه‌وآله به نقل از ابوسعید خدری آمده که پایان آن چنین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تا هفت یا هشت یا نه سال ادامه خواهد یافت، سپس هیچ خیری در زندگی پس از او نیست</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 xml:space="preserve">ناگفته نماند آنچه در آیات قرآن آمده است، </w:t>
      </w:r>
    </w:p>
    <w:p>
      <w:pPr>
        <w:pStyle w:val="BookText"/>
        <w:rPr/>
      </w:pPr>
      <w:r>
        <w:rPr>
          <w:rFonts w:ascii="IRNazanin" w:hAnsi="IRNazanin" w:eastAsia="IRNazanin"/>
          <w:color w:val="111111"/>
          <w:sz w:val="28"/>
          <w:sz w:val="28"/>
          <w:szCs w:val="28"/>
          <w:rtl w:val="true"/>
          <w:lang w:bidi="fa-IR"/>
        </w:rPr>
        <w:t>مبنی بر این که در آستانة برپایی قیامت همه چیز نابود و منهدم می‌شود،</w:t>
      </w:r>
      <w:r>
        <w:rPr>
          <w:rStyle w:val="FootnoteAnchor"/>
          <w:rtl w:val="true"/>
        </w:rPr>
        <w:footnoteReference w:id="378"/>
      </w:r>
      <w:r>
        <w:rPr>
          <w:rFonts w:ascii="IRNazanin" w:hAnsi="IRNazanin" w:eastAsia="IRNazanin"/>
          <w:color w:val="111111"/>
          <w:sz w:val="28"/>
          <w:sz w:val="28"/>
          <w:szCs w:val="28"/>
          <w:rtl w:val="true"/>
          <w:lang w:bidi="fa-IR"/>
        </w:rPr>
        <w:t>مقصود زمان پیوسته به برپایی قیامت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چگونه با حکمت خداوند سازگار است پس از گذشت یک تاریخ پر فراز و نشیب، حکومت به دست شایستگان بیفتد، خردها رشد یابد، زمین بر پایة عدل اداره شود، آنگاه در پس رحلت امام همه چیز به جای نخست برگردد؟ </w:t>
      </w:r>
      <w:bookmarkStart w:id="845" w:name="pg12658_167074"/>
    </w:p>
    <w:p>
      <w:pPr>
        <w:pStyle w:val="Heading3"/>
        <w:numPr>
          <w:ilvl w:val="2"/>
          <w:numId w:val="1"/>
        </w:numPr>
        <w:rPr/>
      </w:pPr>
      <w:bookmarkStart w:id="846" w:name="__RefHeading___Toc643917_222507752"/>
      <w:bookmarkStart w:id="847" w:name="_Toc331"/>
      <w:bookmarkEnd w:id="845"/>
      <w:bookmarkEnd w:id="846"/>
      <w:r>
        <w:rPr>
          <w:rtl w:val="true"/>
        </w:rPr>
        <w:t>خودآزمایی</w:t>
      </w:r>
      <w:bookmarkEnd w:id="8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در آیات خود در بارة طول عمر چه کسانی به روشنی سخن به میان آورده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نگاه عقل چگونه می‌توان طول عمر حضرت مهدی علیه‌السلام را اثبات نمود؟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باره فرجام زندگی حضرت مهدی علیه‌السلام چه دیدگاه‌هایی مطرح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نگاه شیعه وضعیت همگانی جهان پس از مهدی علیه‌السلام تا برپایی قیامت چگونه خواهد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دیدگاه اهل سنت در بارة جهان پس از مهدی پذیرفتنی نیست؟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8" w:name="__RefHeading___Toc643919_222507752"/>
      <w:bookmarkStart w:id="849" w:name="_Toc332"/>
      <w:bookmarkEnd w:id="848"/>
      <w:r>
        <w:rPr>
          <w:rtl w:val="true"/>
        </w:rPr>
        <w:t>منابع برای پژوهش</w:t>
      </w:r>
      <w:bookmarkEnd w:id="8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 محمد، تاریخ پس از ظهور، ترجمه حسن سجادی پور، تهران، موعود،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طاهری، حبیب الله، سیمای آفتاب، قم، انتشارات زائر،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حکومت جهانی مهدی، قم، مدرسه امام علی،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طبسی، نجم الدین، تا ظهور، دو جلد، قم، بنیاد فرهنگی حضرت مهدی موعود،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امینی، ابراهیم، دادگستر جهان، چ نوزدهم، قم، شفق،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850" w:name="pg12658_167076"/>
    </w:p>
    <w:p>
      <w:pPr>
        <w:pStyle w:val="Heading2"/>
        <w:numPr>
          <w:ilvl w:val="1"/>
          <w:numId w:val="1"/>
        </w:numPr>
        <w:rPr/>
      </w:pPr>
      <w:bookmarkStart w:id="851" w:name="__RefHeading___Toc643921_222507752"/>
      <w:bookmarkStart w:id="852" w:name="_Toc333"/>
      <w:bookmarkEnd w:id="850"/>
      <w:bookmarkEnd w:id="851"/>
      <w:r>
        <w:rPr>
          <w:rtl w:val="true"/>
        </w:rPr>
        <w:t>درس پانزدهم</w:t>
      </w:r>
      <w:r>
        <w:rPr>
          <w:rtl w:val="true"/>
        </w:rPr>
        <w:t xml:space="preserve">: </w:t>
      </w:r>
      <w:r>
        <w:rPr>
          <w:rtl w:val="true"/>
        </w:rPr>
        <w:t xml:space="preserve">کتاب‌شناسی مهدویّت </w:t>
      </w:r>
      <w:r>
        <w:rPr>
          <w:rtl w:val="true"/>
        </w:rPr>
        <w:t>(</w:t>
      </w:r>
      <w:r>
        <w:rPr/>
        <w:t>4</w:t>
      </w:r>
      <w:r>
        <w:rPr>
          <w:rtl w:val="true"/>
        </w:rPr>
        <w:t>)</w:t>
      </w:r>
      <w:bookmarkEnd w:id="852"/>
    </w:p>
    <w:p>
      <w:pPr>
        <w:pStyle w:val="Heading3"/>
        <w:numPr>
          <w:ilvl w:val="2"/>
          <w:numId w:val="1"/>
        </w:numPr>
        <w:rPr/>
      </w:pPr>
      <w:bookmarkStart w:id="853" w:name="__RefHeading___Toc643923_222507752"/>
      <w:bookmarkStart w:id="854" w:name="_Toc334"/>
      <w:bookmarkEnd w:id="853"/>
      <w:r>
        <w:rPr>
          <w:rtl w:val="true"/>
        </w:rPr>
        <w:t>اشاره</w:t>
      </w:r>
      <w:bookmarkEnd w:id="854"/>
    </w:p>
    <w:p>
      <w:pPr>
        <w:pStyle w:val="BookText"/>
        <w:rPr/>
      </w:pPr>
      <w:r>
        <w:rPr>
          <w:rFonts w:ascii="IRNazanin" w:hAnsi="IRNazanin" w:eastAsia="IRNazanin"/>
          <w:color w:val="111111"/>
          <w:sz w:val="28"/>
          <w:sz w:val="28"/>
          <w:szCs w:val="28"/>
          <w:rtl w:val="true"/>
          <w:lang w:bidi="fa-IR"/>
        </w:rPr>
        <w:t>در این درس فرا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کتاب‌های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آفتاب ولایت، مصباح یزدی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شبهات و ردود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شبهات احمد 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سامی البدری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مهدی عجل‌الله‌فرجه، ده انقلاب در یک انقلاب، حسین رحیم پور ازغدی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خط امان، محمد امامی کاشانی</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گونه‌شناسی اندیشة منجی موعود در ادیان، جمعی از پژوهشگران</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آیندة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سیاست در اندیشة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رحیم کارگر</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شناخت امام، یا راه رهایی از مرگ جاهلی، مهدی فقیه ایمانی</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در جستجوی قائم علیه‌السلام، سید مجید پور طباطبایی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امام مهدی علیه‌السلام در آینة قلم </w:t>
      </w:r>
      <w:bookmarkStart w:id="855" w:name="pg12658_167078"/>
    </w:p>
    <w:p>
      <w:pPr>
        <w:pStyle w:val="Heading3"/>
        <w:numPr>
          <w:ilvl w:val="2"/>
          <w:numId w:val="1"/>
        </w:numPr>
        <w:rPr/>
      </w:pPr>
      <w:bookmarkStart w:id="856" w:name="__RefHeading___Toc643925_222507752"/>
      <w:bookmarkStart w:id="857" w:name="_Toc335"/>
      <w:bookmarkEnd w:id="855"/>
      <w:bookmarkEnd w:id="856"/>
      <w:r>
        <w:rPr>
          <w:rtl w:val="true"/>
        </w:rPr>
        <w:t>پیش‌درآمد</w:t>
      </w:r>
      <w:bookmarkEnd w:id="857"/>
    </w:p>
    <w:p>
      <w:pPr>
        <w:pStyle w:val="BookText"/>
        <w:rPr/>
      </w:pPr>
      <w:r>
        <w:rPr>
          <w:rFonts w:ascii="IRNazanin" w:hAnsi="IRNazanin" w:eastAsia="IRNazanin"/>
          <w:color w:val="111111"/>
          <w:sz w:val="28"/>
          <w:sz w:val="28"/>
          <w:szCs w:val="28"/>
          <w:rtl w:val="true"/>
          <w:lang w:bidi="fa-IR"/>
        </w:rPr>
        <w:t>گرایش روزافزون به پژوهش‌های اسلامی و گسترش ژرف‌نگری در اندیشه‌های دینی در دهه‌های تازه و نیز توجه فزایندة عموم مسلمانان ـ به‌ویژه نسل جوان‌ـ به مباحث مهدویت، زمینة بررسی‌های گوناگون و عرصه‌های علمی را در زنجیرة بحث‌های مهدوی فراهم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دیگر، بهره‌گیری‌های نابجا و نادرست کژاندیشان از این بستر فراهم شده، و ارائة برخی آثار سست و بی‌پایه، که سبب گسترش خرافه‌گرایی و رواج سطحی‌نگری شده، ارزش آشنایی با منابع مطالعاتی درست، علمی و محکم را امری ناگزیر ساخته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یکی از راه‌هایی که می‌تواند به دوستداران این عرصه در آشنایی با منابع معتبر، کمک ارزشمندی نماید، معرفی کتاب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دارای محتوایی استوار و پذیرفتنی هستند یا ـ دست کم ـ بیشتر مطالب آن، از استحکام لازم برخوردارند؛ بنابراین مناسب دیدیم در یک درس، ـ همچون سه جلد پیشین ـ به برخی از کتاب‌هایی از این دست اشاره کنیم</w:t>
      </w:r>
      <w:r>
        <w:rPr>
          <w:rFonts w:eastAsia="IRNazanin" w:cs="IRNazanin"/>
          <w:color w:val="111111"/>
          <w:sz w:val="28"/>
          <w:szCs w:val="28"/>
          <w:rtl w:val="true"/>
          <w:lang w:bidi="fa-IR"/>
        </w:rPr>
        <w:t>.</w:t>
      </w:r>
      <w:r>
        <w:rPr>
          <w:rStyle w:val="FootnoteAnchor"/>
          <w:rtl w:val="true"/>
        </w:rPr>
        <w:footnoteReference w:id="379"/>
      </w:r>
      <w:bookmarkStart w:id="858" w:name="pg12658_167080"/>
    </w:p>
    <w:p>
      <w:pPr>
        <w:pStyle w:val="Heading3"/>
        <w:numPr>
          <w:ilvl w:val="2"/>
          <w:numId w:val="1"/>
        </w:numPr>
        <w:rPr/>
      </w:pPr>
      <w:bookmarkStart w:id="859" w:name="__RefHeading___Toc643927_222507752"/>
      <w:bookmarkStart w:id="860" w:name="_Toc336"/>
      <w:bookmarkEnd w:id="858"/>
      <w:bookmarkEnd w:id="859"/>
      <w:r>
        <w:rPr>
          <w:rtl w:val="true"/>
        </w:rPr>
        <w:t>آفتاب ولایت</w:t>
      </w:r>
      <w:bookmarkEnd w:id="860"/>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تنظیم برخی از سخنرانی‌های استاد محمد تقی مصباح یزدی است که در موضوع مهدویت، به‌طور پراکنده در طول سالیان گذشته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دست محمد باقر حیدری در چهارده فصل تنظیم و نگارش گردیده و به کوشش انتشارات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در نگارش این گفتارها، پای‌بندی به چارچوب پایه‌ای و سیر منطقی هر سخنرانی بوده و هر جا نیازی به توضیح، پژوهش یا مستندسازی بوده، در پاورقی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این مجموعه این‌گونه سامان یافته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معرفت و محبت، سلسله مراتب محبت و معرفت به امام 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شناخت امام زمان علیه‌السلام، ناتوانی بشر از معرفت امام زمان علیه‌السلام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وجود امام و ناتوانی از شکر آن، ناتوانی از معرفت امام زمان علیه‌السلام، بی‌نهایتی مراتب معرفت به امام زمان علیه‌السلام راه افزون‌سازی معرفت به امام 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مقام‌های امام زمان علیه‌السلام، اسوه‌پذیری و پیروی بهترین شیوه تربیتی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کافران و منافقان به پیشوایان باطل، محبت مؤمنان به خدا و اولیای خدا، لزوم فهم دقیق روایات مربوط به امام عصر علیه‌السلام، توطئه دشمنان برای چیرگی بر شیعیان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ولایت، ابعاد، مراتب و آثار ولایت، رابطة ولایت خدا با ولایت معصومان علیهم‌السلام رابطة محبت با ولایت، راه‌های تقویت رابطة ولایی با امام 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جمکران جذبه‌گاه ولایت، سفارشاتی به جوانان، امام زمان علیه‌السلام از منظر اهل سنت، طول عمر حضرت، حکمت غیبت، وظیفه ما در دوران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شکوه مقام امام زمان علیه‌السلام، ولایت تکوینی و تشریعی امام زمان علیه‌السلام، نحوه ارتباط ولایی با امام زمان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حضرت به شیعیان، شرط وفاداری در برابر محبت امام زمان علیه‌السلام، شرط رسیدن به ولایت خاص امام زمان علیه‌السلام، وظیفه جوانان در برابر آشوب‌های آخرالزمان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باوری و آثار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باوری از دو منظر اهل تسنن و شیعه، تأثیر مهدی باوری در زندگی فردی و اجتماعی، حقیقت شیعه بودن برای امام زمان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یازدهم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یاوران امام 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یاران امام زمان علیه‌السلام ملاک یاری‌رسانی الهی، وظیفه ما در آخرالزمان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دوازدهم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فلسفة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فرض‌های غیبت، ابعاد غیبت هدف از آفرینش انسان، هدف از بعثت انبیا، هدف از رسالت اوصیا، شمار امامان و علت آن، حکمت غیبت امام دوازدهم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سیزدهم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وظیفة شیعیان در دوران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عالمان در عصر امام زمان علیه‌السلام، وظیفه شیعیان در روبرویی با دشمنان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چهاردهم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آسیب شناسی اهداف امام 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موانع در برابر اهداف امام زمان علیه‌السلام شیوه‌های نو مبارزه با اهداف امام زمان علیه‌السلام</w:t>
      </w:r>
      <w:r>
        <w:rPr>
          <w:rFonts w:eastAsia="IRNazanin" w:cs="IRNazanin"/>
          <w:color w:val="111111"/>
          <w:sz w:val="28"/>
          <w:szCs w:val="28"/>
          <w:rtl w:val="true"/>
          <w:lang w:bidi="fa-IR"/>
        </w:rPr>
        <w:t xml:space="preserve">. </w:t>
      </w:r>
      <w:bookmarkStart w:id="861" w:name="pg12658_167084"/>
    </w:p>
    <w:p>
      <w:pPr>
        <w:pStyle w:val="Heading3"/>
        <w:numPr>
          <w:ilvl w:val="2"/>
          <w:numId w:val="1"/>
        </w:numPr>
        <w:rPr/>
      </w:pPr>
      <w:bookmarkStart w:id="862" w:name="__RefHeading___Toc643929_222507752"/>
      <w:bookmarkStart w:id="863" w:name="_Toc337"/>
      <w:bookmarkEnd w:id="861"/>
      <w:bookmarkEnd w:id="862"/>
      <w:r>
        <w:rPr>
          <w:rtl w:val="true"/>
        </w:rPr>
        <w:t xml:space="preserve">شبهات و ردود </w:t>
      </w:r>
      <w:r>
        <w:rPr>
          <w:rtl w:val="true"/>
        </w:rPr>
        <w:t>(</w:t>
      </w:r>
      <w:r>
        <w:rPr>
          <w:rtl w:val="true"/>
        </w:rPr>
        <w:t>پاسخ به شبهات احمد الکاتب</w:t>
      </w:r>
      <w:r>
        <w:rPr>
          <w:rtl w:val="true"/>
        </w:rPr>
        <w:t>)</w:t>
      </w:r>
      <w:bookmarkEnd w:id="863"/>
    </w:p>
    <w:p>
      <w:pPr>
        <w:pStyle w:val="BookText"/>
        <w:rPr/>
      </w:pPr>
      <w:r>
        <w:rPr>
          <w:rFonts w:ascii="IRNazanin" w:hAnsi="IRNazanin" w:eastAsia="IRNazanin"/>
          <w:color w:val="111111"/>
          <w:sz w:val="28"/>
          <w:sz w:val="28"/>
          <w:szCs w:val="28"/>
          <w:rtl w:val="true"/>
          <w:lang w:bidi="fa-IR"/>
        </w:rPr>
        <w:t>نام عربی کتاب الردّ علی شبهات أحمد الکاتب حول إمامة أهل‌البیت، علیهم‌السلام، و وجود المهدی المنتظر، علیه السلام، است که به قلم سید سامی البدری به رشتة تحریر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پاسخ عالمانه به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 الفکر السیاسی الشیعی من الشوری الی ولایة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احمد الکاتب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شبهات و تهمت‌های ناروایی به شیعه و باورهای آنها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سامی البدری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 و رئیس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الذخائر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ده‌ها نویسنده و اسلام‌شناسی است که پس از انتشار کتاب احمد الکاتب به پاسخ‌گویی شبهات وی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در چاپ‌های پیشین در چهار مجلّد با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العقیده الاثنی عشریة، النص علی علیّ، علیه‌السلام، امامة اهل البیت، علیهم السلام، و ولادة و وجود الامام المهدی، علیه‌السلام عرضه شده بود، با ویرایشی نو و افزودن یک فصل مقدماتی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اهل‌البیت، علیهم السلام، و نظام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چاپ برای استفاده علاقه‌مندان و اسلام‌پژوهان ارائه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حلقة اول درباره آغاز اندیشه شیعی و اعتقاد به دوازده امام معصوم بحث می‌کند و به شبهات مطرح‌شده در بارة آغاز اندیشه شیعی و شمار دوازده امام و مباحث مربوط به آنها پاسخ می‌دهد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حلقة دوم به شبهاتی که احمد کاتب در باره وجود نصّ بر امامت امام علی علیه‌السلام وارد کرده است، پاسخ می‌دهد و درباره بیعت، شورا و مشروعیت حکومت در اسلام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سقیفه، به خانه فاطمه زهرا سلام الله علیها بیعت اکراهی علی علیه‌السلام با خلفا و بررسی مسأله حج تمتّع از صدر اسلام تا عهد خلفای عباسی و </w:t>
      </w:r>
    </w:p>
    <w:p>
      <w:pPr>
        <w:pStyle w:val="BookText"/>
        <w:rPr/>
      </w:pPr>
      <w:r>
        <w:rPr>
          <w:rFonts w:ascii="IRNazanin" w:hAnsi="IRNazanin" w:eastAsia="IRNazanin"/>
          <w:color w:val="111111"/>
          <w:sz w:val="28"/>
          <w:sz w:val="28"/>
          <w:szCs w:val="28"/>
          <w:rtl w:val="true"/>
          <w:lang w:bidi="fa-IR"/>
        </w:rPr>
        <w:t>عبرت‌آموزی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 مورد بحث در حلقه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حلقة سوم مواردی از کتاب احمد کاتب مورد نقد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حلقه از حدیث غدیر، دلالت آن و احتجاج امام علی علیه‌السلام به این حدیث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مباحث این حلقه موضع امام حسن علیه‌السلام درباره امامت و بررسی افسانة عبد الله بن سبا می‌باشد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حلقة چهارم به شبهات مربوط به ولادت و وجود حضرت مهدی علیه‌السلام پرداخته است</w:t>
      </w:r>
      <w:r>
        <w:rPr>
          <w:rFonts w:eastAsia="IRNazanin" w:cs="IRNazanin"/>
          <w:color w:val="111111"/>
          <w:sz w:val="28"/>
          <w:szCs w:val="28"/>
          <w:rtl w:val="true"/>
          <w:lang w:bidi="fa-IR"/>
        </w:rPr>
        <w:t xml:space="preserve">. </w:t>
      </w:r>
      <w:bookmarkStart w:id="864" w:name="pg12658_167087"/>
    </w:p>
    <w:p>
      <w:pPr>
        <w:pStyle w:val="Heading3"/>
        <w:numPr>
          <w:ilvl w:val="2"/>
          <w:numId w:val="1"/>
        </w:numPr>
        <w:rPr/>
      </w:pPr>
      <w:bookmarkStart w:id="865" w:name="__RefHeading___Toc643931_222507752"/>
      <w:bookmarkStart w:id="866" w:name="_Toc338"/>
      <w:bookmarkEnd w:id="864"/>
      <w:bookmarkEnd w:id="865"/>
      <w:r>
        <w:rPr>
          <w:rtl w:val="true"/>
        </w:rPr>
        <w:t>مهدی عجل‌الله‌فرجه، ده انقلاب در یک انقلاب</w:t>
      </w:r>
      <w:bookmarkEnd w:id="866"/>
    </w:p>
    <w:p>
      <w:pPr>
        <w:pStyle w:val="BookText"/>
        <w:rPr/>
      </w:pPr>
      <w:r>
        <w:rPr>
          <w:rFonts w:ascii="IRNazanin" w:hAnsi="IRNazanin" w:eastAsia="IRNazanin"/>
          <w:color w:val="111111"/>
          <w:sz w:val="28"/>
          <w:sz w:val="28"/>
          <w:szCs w:val="28"/>
          <w:rtl w:val="true"/>
          <w:lang w:bidi="fa-IR"/>
        </w:rPr>
        <w:t xml:space="preserve">مجموعه کتابی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مباحث طرحی برای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حاصل جمع‌آوری و بازنویسی سخنرانی‌های آقای حسین رحیم پور ازغدی است که در مجامع علمی سطح کشور به‌ویژه دانشگاه‌ها ایراد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شماره‌های این مجموعه حاصل جمع‌بندی سه سخنرانی وی در بارة مباحث مهدویت است که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علیه‌السلام ده انقلاب در یک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عناوین این مباحث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دولت عاشقی و عدل جهانی</w:t>
      </w:r>
    </w:p>
    <w:p>
      <w:pPr>
        <w:pStyle w:val="BookText"/>
        <w:rPr/>
      </w:pPr>
      <w:r>
        <w:rPr>
          <w:rFonts w:ascii="IRNazanin" w:hAnsi="IRNazanin" w:eastAsia="IRNazanin"/>
          <w:color w:val="111111"/>
          <w:sz w:val="28"/>
          <w:sz w:val="28"/>
          <w:szCs w:val="28"/>
          <w:rtl w:val="true"/>
          <w:lang w:bidi="fa-IR"/>
        </w:rPr>
        <w:t>ـ مهدی علیه‌السلام نیمی شرقی، نیمی غربی</w:t>
      </w:r>
    </w:p>
    <w:p>
      <w:pPr>
        <w:pStyle w:val="BookText"/>
        <w:rPr/>
      </w:pPr>
      <w:r>
        <w:rPr>
          <w:rFonts w:ascii="IRNazanin" w:hAnsi="IRNazanin" w:eastAsia="IRNazanin"/>
          <w:color w:val="111111"/>
          <w:sz w:val="28"/>
          <w:sz w:val="28"/>
          <w:szCs w:val="28"/>
          <w:rtl w:val="true"/>
          <w:lang w:bidi="fa-IR"/>
        </w:rPr>
        <w:t>ـ جهانی شدن، پایان تاریخ و مهدویت</w:t>
      </w:r>
    </w:p>
    <w:p>
      <w:pPr>
        <w:pStyle w:val="BookText"/>
        <w:rPr/>
      </w:pPr>
      <w:r>
        <w:rPr>
          <w:rFonts w:ascii="IRNazanin" w:hAnsi="IRNazanin" w:eastAsia="IRNazanin"/>
          <w:color w:val="111111"/>
          <w:sz w:val="28"/>
          <w:sz w:val="28"/>
          <w:szCs w:val="28"/>
          <w:rtl w:val="true"/>
          <w:lang w:bidi="fa-IR"/>
        </w:rPr>
        <w:t>در بخش نخست با عنوان دولت عاشقی و عدل جهانی، مؤلف از قیام مهدی و مسئلة مهدویت و برپایی حکومت مهدوی سخن می‌گوید و رابطة این حکومت با عدل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مهدی علیه‌السلام تفاوتی میان شهروند غربی و افریقایی و آسیایی نخواهد بود و نظم نوین جهانی به دست او برقرار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شرقی، نیمی غربی، مؤلف تولّد حضرت قائم را از پدری شرقی و مادری غربی نمادی می‌گیرد از اینکه برای آن حضرت همه جای جهان، شرق و غرب، خانه و وطن اوست و بر سر راه او جغرافیا مانع نیست و او با شرق و غرب جهان خویشاوند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تاریخ و مهدویت، مؤلف راجع به جامعة آخرالزّمان و انقلاب بزرگ مهدوی سخن می‌گوید و جهانی‌شدن را با مهدویت گره می‌زند و از نو تعریف می‌کند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یادشده با وجود صفحات کم، محتوای ارزشمند و قابل استفاده‌ای دارد به‌ویژه که برای مخاطب جوان و دانشجو ارائه شده است</w:t>
      </w:r>
      <w:r>
        <w:rPr>
          <w:rFonts w:eastAsia="IRNazanin" w:cs="IRNazanin"/>
          <w:color w:val="111111"/>
          <w:sz w:val="28"/>
          <w:szCs w:val="28"/>
          <w:rtl w:val="true"/>
          <w:lang w:bidi="fa-IR"/>
        </w:rPr>
        <w:t xml:space="preserve">. </w:t>
      </w:r>
      <w:bookmarkStart w:id="867" w:name="pg12658_167089"/>
    </w:p>
    <w:p>
      <w:pPr>
        <w:pStyle w:val="Heading3"/>
        <w:numPr>
          <w:ilvl w:val="2"/>
          <w:numId w:val="1"/>
        </w:numPr>
        <w:rPr/>
      </w:pPr>
      <w:bookmarkStart w:id="868" w:name="__RefHeading___Toc643933_222507752"/>
      <w:bookmarkStart w:id="869" w:name="_Toc339"/>
      <w:bookmarkEnd w:id="867"/>
      <w:bookmarkEnd w:id="868"/>
      <w:r>
        <w:rPr>
          <w:rtl w:val="true"/>
        </w:rPr>
        <w:t>خط امان</w:t>
      </w:r>
      <w:bookmarkEnd w:id="869"/>
    </w:p>
    <w:p>
      <w:pPr>
        <w:pStyle w:val="BookText"/>
        <w:rPr/>
      </w:pPr>
      <w:r>
        <w:rPr>
          <w:rFonts w:ascii="IRNazanin" w:hAnsi="IRNazanin" w:eastAsia="IRNazanin"/>
          <w:color w:val="111111"/>
          <w:sz w:val="28"/>
          <w:sz w:val="28"/>
          <w:szCs w:val="28"/>
          <w:rtl w:val="true"/>
          <w:lang w:bidi="fa-IR"/>
        </w:rPr>
        <w:t>این کتاب، اثر ارزشمند آیت الله محمد امامی کاشانی است که نام آن با الهام از نامة حضرت صاحب الامر علیه‌السلام به یکی از نواب خاص خود که می‌نگارند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لأمانٌ لأهل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امان اهل زمینم، در موضوع مهدی‌شناسی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خط امان در اصل دائره المعارفی حدیثی است که تمام احادیث وارده در کتب شیعی و سنی را همراه با بررسی سندیت و رجال شناسی آنها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جلدهای نخست این مجموعه دربرگیرنده دلائل اثبات و ضرورت وجود منجی آخرالزمان، آیات قرآنی پیرامون موضوع، گفتگوهای مولف با صاحب نظران دنیای غرب و اسلام در باب منجی و… است که به فارسی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نخست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دلائل عقلی و فلسفی اثبات حضرت صاحب الزمان است که از یک مقدمه و هفت فصل تشکیل شده و در آن مباحثی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مصلح جهانی از دیدگاه 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عصر، نقطه اعتدال اسمای جلال و جمال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نظام 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وجود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در دلیل استقرا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بشریت از دیدگاه فلسفه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 و ضرورت امام در هر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بشریت از دیدگاه ادیان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و بررسی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مقدمه این کتاب سخن از مصلح جهانی، منجی نهایی امام عصر علیه‌السلام و سخن از آینده روشن و مرحله کمال و غایت تاریخ بشریت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داشته است ادیان الهی چون یهودیت، مسیحیت نیز در زمینه انتظار ظهور منجی و مصلح جهان با مسلمانان هم رأیند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جلد دوم کتاب چهار فصل با عنوان‌های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با متفکران جهان غرب </w:t>
      </w:r>
    </w:p>
    <w:p>
      <w:pPr>
        <w:pStyle w:val="BookText"/>
        <w:rPr/>
      </w:pPr>
      <w:r>
        <w:rPr>
          <w:rFonts w:ascii="IRNazanin" w:hAnsi="IRNazanin" w:eastAsia="IRNazanin"/>
          <w:color w:val="111111"/>
          <w:sz w:val="28"/>
          <w:sz w:val="28"/>
          <w:szCs w:val="28"/>
          <w:rtl w:val="true"/>
          <w:lang w:bidi="fa-IR"/>
        </w:rPr>
        <w:t>درباره ظهور منجی؛ منجی آخرالزمان در عهدین؛ گفتگو با متفکران جهان اسلام در زمینة ظهور حضرت مهدی علیه‌السلام؛ قرآن و ظهور مسیح و مهدی در راستای گفت گو با علمای اهل سنت نگاشته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این مجموعة در دست نگارش، تا اکنون چاپ و منتشر دو جلد است که امید است در آینده‌ای نزدیک با نشر دیگر مجلدات کامل شود</w:t>
      </w:r>
      <w:r>
        <w:rPr>
          <w:rFonts w:eastAsia="IRNazanin" w:cs="IRNazanin"/>
          <w:color w:val="111111"/>
          <w:sz w:val="28"/>
          <w:szCs w:val="28"/>
          <w:rtl w:val="true"/>
          <w:lang w:bidi="fa-IR"/>
        </w:rPr>
        <w:t xml:space="preserve">. </w:t>
      </w:r>
      <w:bookmarkStart w:id="870" w:name="pg12658_167093"/>
    </w:p>
    <w:p>
      <w:pPr>
        <w:pStyle w:val="Heading3"/>
        <w:numPr>
          <w:ilvl w:val="2"/>
          <w:numId w:val="1"/>
        </w:numPr>
        <w:rPr/>
      </w:pPr>
      <w:bookmarkStart w:id="871" w:name="__RefHeading___Toc643935_222507752"/>
      <w:bookmarkStart w:id="872" w:name="_Toc340"/>
      <w:bookmarkEnd w:id="870"/>
      <w:bookmarkEnd w:id="871"/>
      <w:r>
        <w:rPr>
          <w:rtl w:val="true"/>
        </w:rPr>
        <w:t>گونه‌شناسی اندیشة منجی موعود در ادیان</w:t>
      </w:r>
      <w:bookmarkEnd w:id="872"/>
    </w:p>
    <w:p>
      <w:pPr>
        <w:pStyle w:val="BookText"/>
        <w:rPr/>
      </w:pPr>
      <w:r>
        <w:rPr>
          <w:rFonts w:ascii="IRNazanin" w:hAnsi="IRNazanin" w:eastAsia="IRNazanin"/>
          <w:color w:val="111111"/>
          <w:sz w:val="28"/>
          <w:sz w:val="28"/>
          <w:szCs w:val="28"/>
          <w:rtl w:val="true"/>
          <w:lang w:bidi="fa-IR"/>
        </w:rPr>
        <w:t>این کتاب حاصل تلاش جمعی از پژوهشگران است که با با ویرایش علمی دکتر علی موحدیان عطار سامان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ویژگی‌های کتاب حاضر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معیار‌های تحقیق علمی و پرهیز از جانبداری، کاربست رویکرد پدیدار‌شناسانه از سنخ گونه‌شناختی، استناد به مدارک و منابع موثق در هر حوزه دینی، بهره‌گیری از محققان متخصص در هر یک از ادیان مورد بحث در این پژوهش مصادیق و مفاهیم مختلف از اندیشه موعودگرایی و اندیشه منجی موعود در ادیان مسیحیت، یهودیت، زرتشت، بودایی، اسلام و فرقه‌های گوناگون اهل سنت و شیعه در قالب مقالات انبوه مورد بحث و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مقالات، نگارندگان در پی پاسخ به این پرسش‌های پایه‌ای هستند که آیا همة مصادیق اندیشه منجی موعود در ادیان و ملل گوناگون جهان هم‌سو با آرمان‌های موعودگرایانه اسلام و تشیع ارزیابی می‌شود و یا اینکه همة موعود باوری‌ها در ادیان مختلف به یک گونه‌اند؟ و آیا می‌شود موعود همة ادیان را مهدی موعود مورد پذیرش و باور شیعه دانست؟</w:t>
      </w:r>
    </w:p>
    <w:p>
      <w:pPr>
        <w:pStyle w:val="BookText"/>
        <w:rPr/>
      </w:pPr>
      <w:r>
        <w:rPr>
          <w:rFonts w:ascii="IRNazanin" w:hAnsi="IRNazanin" w:eastAsia="IRNazanin"/>
          <w:color w:val="111111"/>
          <w:sz w:val="28"/>
          <w:sz w:val="28"/>
          <w:szCs w:val="28"/>
          <w:rtl w:val="true"/>
          <w:lang w:bidi="fa-IR"/>
        </w:rPr>
        <w:t>در این پژوهش مصادیق و مفاهیم مختلف از اندیشه موعودگرایی و اندیشه منجی موعود در ادیان مسیحیت، یهودیت، زرتشت، بودایی، اسلام و فرقه‌های مختلف اهل سنت و شیعه در قالب مقالات انبوه مورد بحث و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از یک مقدمه و چندین مقاله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کلیاتی دربارة اندیشة منجی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دکتر موحدیان عطار، بدون توجه به یک دین خاص، گونه‌هایی را که می‌توان در مطالعة این اندیشه، میان ادیان مختلف در نظر گرفت برمی‌شمرد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مقدمه، کتاب دوازده فصل و یک نتیجه‌گیری دارد که در هرکدام از </w:t>
      </w:r>
    </w:p>
    <w:p>
      <w:pPr>
        <w:pStyle w:val="BookText"/>
        <w:rPr/>
      </w:pPr>
      <w:r>
        <w:rPr>
          <w:rFonts w:ascii="IRNazanin" w:hAnsi="IRNazanin" w:eastAsia="IRNazanin"/>
          <w:color w:val="111111"/>
          <w:sz w:val="28"/>
          <w:sz w:val="28"/>
          <w:szCs w:val="28"/>
          <w:rtl w:val="true"/>
          <w:lang w:bidi="fa-IR"/>
        </w:rPr>
        <w:t>آنها این گونه‌ها از زاویة نگاه دین یا مذهبی خاص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فصل‌ها و نویسندگان آنها به‌شرح زیرند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گونه‌شناسی اندیشة منجی موعود در آیین زرتشتی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سعید منتظری، مصطفی فرهودی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گونه‌شناسی اندیشة منجی موعود در آیین هندو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ابوطالبی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گونه‌شناسی اندیشة منجی موعود در آیین بودا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ابولقاسم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گونه‌شناسی اندیشة منجی موعود در ادیان چینی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رستمیان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گونه‌شناسی اندیشة منجی موعود در یهودیت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 آژیر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گونه‌شناسی اندیشة منجی موعود در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مهراب صادق‌نیا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گونه‌شناسی اندیشة منجی موعود در قرآن و سنت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محمدحسن محمدی‌مظفر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بازتاب مهدویت در تاریخ سیاسی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فرمانیان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گونه‌شناسی اندیشة منجی موعود در مذاهب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فرمانیان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گونه‌شناسی اندیشة منجی موعود در عرفان و تصوف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نصیری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گونه‌شناسی اندیشة منجی موعود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جاودان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جوهرة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موحدیان‌عطار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873" w:name="pg12658_167098"/>
    </w:p>
    <w:p>
      <w:pPr>
        <w:pStyle w:val="Heading3"/>
        <w:numPr>
          <w:ilvl w:val="2"/>
          <w:numId w:val="1"/>
        </w:numPr>
        <w:rPr/>
      </w:pPr>
      <w:bookmarkStart w:id="874" w:name="__RefHeading___Toc643937_222507752"/>
      <w:bookmarkStart w:id="875" w:name="_Toc341"/>
      <w:bookmarkEnd w:id="873"/>
      <w:bookmarkEnd w:id="874"/>
      <w:r>
        <w:rPr>
          <w:rtl w:val="true"/>
        </w:rPr>
        <w:t xml:space="preserve">آیندة جهان </w:t>
      </w:r>
      <w:r>
        <w:rPr>
          <w:rtl w:val="true"/>
        </w:rPr>
        <w:t>(</w:t>
      </w:r>
      <w:r>
        <w:rPr>
          <w:rtl w:val="true"/>
        </w:rPr>
        <w:t>دولت و سیاست در اندیشة مهدویت</w:t>
      </w:r>
      <w:r>
        <w:rPr>
          <w:rtl w:val="true"/>
        </w:rPr>
        <w:t>)</w:t>
      </w:r>
      <w:bookmarkEnd w:id="875"/>
    </w:p>
    <w:p>
      <w:pPr>
        <w:pStyle w:val="BookText"/>
        <w:rPr/>
      </w:pPr>
      <w:r>
        <w:rPr>
          <w:rFonts w:ascii="IRNazanin" w:hAnsi="IRNazanin" w:eastAsia="IRNazanin"/>
          <w:color w:val="111111"/>
          <w:sz w:val="28"/>
          <w:sz w:val="28"/>
          <w:szCs w:val="28"/>
          <w:rtl w:val="true"/>
          <w:lang w:bidi="fa-IR"/>
        </w:rPr>
        <w:t>این کتاب نگاشتة رحیم کارگر از پژوهشگران مباحث مهدویت و آینده پژوهی است که در آن چگونگی دولت و سیاست در اندیشة مهدویت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نویسنده، ایدة مهدویت پاسخ‌گوی کامل و فراگیر به خواسته و نیاز دیرین انسان‌ها در اصلاح وضعیت نابسامان زندگی بشری است و دولت مهدوی عهده‌دار رفع همة این کاستی‌ها و ناراستی‌ها بر پایه و محوریت دین و اخلاق و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مباحث خویش را در سه بخش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نخست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و چارچوب 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گفتارهایی است دربارة آینده و آینده‌پژوهی، نظریه‌های آیندة تاریخ، و آیندة دولت در دیدگاه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بخش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فرضیه‌های دولت مهدی علیه‌السلام در اندیشه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فرضیه‌های انتقام، دولت اقتدارگرا، و دولت اخلاقی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سومین بخش،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کارکردها و برون‌دادها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دربارة ساختارها و نمادهای حکومت مهدوی پرداخته و از کارویژه‌ها و عملکردها و پیامدها و برون‌دادهای این حکومت سخن می‌گوید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مهم این کتاب می‌توان به پژوهش عمیق در آیات روایات و سخنان دانشمندان اشاره کرد؛ که آن را به‌ویژه برای پژوهشگران قابل استفاده کرده است</w:t>
      </w:r>
      <w:r>
        <w:rPr>
          <w:rFonts w:eastAsia="IRNazanin" w:cs="IRNazanin"/>
          <w:color w:val="111111"/>
          <w:sz w:val="28"/>
          <w:szCs w:val="28"/>
          <w:rtl w:val="true"/>
          <w:lang w:bidi="fa-IR"/>
        </w:rPr>
        <w:t xml:space="preserve">. </w:t>
      </w:r>
      <w:bookmarkStart w:id="876" w:name="pg12658_167100"/>
    </w:p>
    <w:p>
      <w:pPr>
        <w:pStyle w:val="Heading3"/>
        <w:numPr>
          <w:ilvl w:val="2"/>
          <w:numId w:val="1"/>
        </w:numPr>
        <w:rPr/>
      </w:pPr>
      <w:bookmarkStart w:id="877" w:name="__RefHeading___Toc643939_222507752"/>
      <w:bookmarkStart w:id="878" w:name="_Toc342"/>
      <w:bookmarkEnd w:id="876"/>
      <w:bookmarkEnd w:id="877"/>
      <w:r>
        <w:rPr>
          <w:rtl w:val="true"/>
        </w:rPr>
        <w:t>شناخت امام، یا راه رهایی از مرگ جاهلی</w:t>
      </w:r>
      <w:bookmarkEnd w:id="878"/>
    </w:p>
    <w:p>
      <w:pPr>
        <w:pStyle w:val="BookText"/>
        <w:rPr/>
      </w:pPr>
      <w:r>
        <w:rPr>
          <w:rFonts w:ascii="IRNazanin" w:hAnsi="IRNazanin" w:eastAsia="IRNazanin"/>
          <w:color w:val="111111"/>
          <w:sz w:val="28"/>
          <w:sz w:val="28"/>
          <w:szCs w:val="28"/>
          <w:rtl w:val="true"/>
          <w:lang w:bidi="fa-IR"/>
        </w:rPr>
        <w:t>این کتاب اثر مهدی فقیه ایمانی است که با نگاه به برخی روایات در بارة شناخت امام به این بحث مهم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امام زمانه ماتَ میتة الجاهلیّه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عبارت‌های گوناگون و نزدیک به هم،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لا امام له مات میتة الجاهلیّه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لا بیعة علیه مات میتة الجاهلیّه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بغیر امام مات متیة الجاهلیه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که در منابع و مصادر پرشماری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کتاب به گستردگی از اسناد و محتوای این حدیث بحث کرده و از جهات گوناگون به نقد و بررسی‌های سودمندی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بحث، معنای دقیق روایت مطرح شده و در ادامه آن متون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همگون آن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نقش امام در جامعه و شرایط آن سخن به میان آمده و چگونگی نصب امام و برپایی امامت از نگاه شیعه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تأکید می‌کند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بایستگی شناخت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پرسش‌های جدّی و تأمل برانگیزی را مطرح می‌کند که این سفارش و تأکید پیامبر صلی الله علیه و آله برای شناخت چه کسی بوده است؟</w:t>
      </w:r>
    </w:p>
    <w:p>
      <w:pPr>
        <w:pStyle w:val="BookText"/>
        <w:rPr/>
      </w:pPr>
      <w:r>
        <w:rPr>
          <w:rFonts w:ascii="IRNazanin" w:hAnsi="IRNazanin" w:eastAsia="IRNazanin"/>
          <w:color w:val="111111"/>
          <w:sz w:val="28"/>
          <w:sz w:val="28"/>
          <w:szCs w:val="28"/>
          <w:rtl w:val="true"/>
          <w:lang w:bidi="fa-IR"/>
        </w:rPr>
        <w:t>مؤلف پس از تبیین آنچه یاد شد، برای پاسخی جدّی به پرسش‌های یادشده، به پژوهش‌های تاریخی و اعتقادی راهگشا می‌پردازد و احادیث و روایاتی را گزارش می‌کند که نشانگر هدایت‌گری و نجات‌بخشی اهل بیت علیهم‌السلام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از خاندان‌های بنی امیه و بنی عباس سخن به میان آورده و بر پایة منابع مورد اعتماد و موثق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و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رفتار و منش اجتماعی و سیاسی آ نان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جانشینان پیامبر اکرم صلی الله علیه و آله، خلافت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مختلف و آثار گوناگون پرشماری بهره برده است که اگر فهرستی دقیق در پایان کتاب از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آثار ارائه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پانوشت‌ها منابع فراوان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را می‌توانست سودمند وکارآمد باشد</w:t>
      </w:r>
      <w:r>
        <w:rPr>
          <w:rFonts w:eastAsia="IRNazanin" w:cs="IRNazanin"/>
          <w:color w:val="111111"/>
          <w:sz w:val="28"/>
          <w:szCs w:val="28"/>
          <w:rtl w:val="true"/>
          <w:lang w:bidi="fa-IR"/>
        </w:rPr>
        <w:t xml:space="preserve">. </w:t>
      </w:r>
      <w:bookmarkStart w:id="879" w:name="pg12658_167101"/>
    </w:p>
    <w:p>
      <w:pPr>
        <w:pStyle w:val="Heading3"/>
        <w:numPr>
          <w:ilvl w:val="2"/>
          <w:numId w:val="1"/>
        </w:numPr>
        <w:rPr/>
      </w:pPr>
      <w:bookmarkStart w:id="880" w:name="__RefHeading___Toc643941_222507752"/>
      <w:bookmarkStart w:id="881" w:name="_Toc343"/>
      <w:bookmarkEnd w:id="879"/>
      <w:bookmarkEnd w:id="880"/>
      <w:r>
        <w:rPr>
          <w:rtl w:val="true"/>
        </w:rPr>
        <w:t>در جستجوی قائم علیه‌السلام</w:t>
      </w:r>
      <w:bookmarkEnd w:id="881"/>
    </w:p>
    <w:p>
      <w:pPr>
        <w:pStyle w:val="BookText"/>
        <w:rPr/>
      </w:pPr>
      <w:r>
        <w:rPr>
          <w:rFonts w:ascii="IRNazanin" w:hAnsi="IRNazanin" w:eastAsia="IRNazanin"/>
          <w:color w:val="111111"/>
          <w:sz w:val="28"/>
          <w:sz w:val="28"/>
          <w:szCs w:val="28"/>
          <w:rtl w:val="true"/>
          <w:lang w:bidi="fa-IR"/>
        </w:rPr>
        <w:t>این کتاب اثر سید مجید پور طباطبایی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کتابشناسی مهدویت و حضرت مهدی علیه‌السلام، با معرفی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درباره 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ظهور آن بزرگوار سامان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جستجوی قائم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برگیرنده آثاری است که به طور مستقل و یا به‌طور ضمنی درباره حضرت مهدی علیه‌السلام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شش بخش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ویژة مسائل مربوط به امام زمان به رشتة تحریر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قسمتی از آنها مربوط به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متفرقه‌ای که به گونه جنبی به مسأله مهدویت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منکران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و صاحبان آراء گوناگون نیز فهرست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چهارم از جزوه‌ها و رساله‌های مربوط به موضوع سخن رفته و در بخش پنجم با عنوان مهدی عجل‌الله‌فرجه در آینه شعر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مجموعه‌های ادبی و اشعار سروده شده درباره حضرت مهدی علیه‌السلام فهرست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ششم پیوست و اضافاتی بر بخش‌های پیشین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در ضمن مقدمه‌ای به تفصیل از شیوة تدوین این کتاب،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است 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فهرست‌های فنّی پایان کتاب هم بجا و کارگشاست</w:t>
      </w:r>
      <w:r>
        <w:rPr>
          <w:rFonts w:eastAsia="IRNazanin" w:cs="IRNazanin"/>
          <w:color w:val="111111"/>
          <w:sz w:val="28"/>
          <w:szCs w:val="28"/>
          <w:rtl w:val="true"/>
          <w:lang w:bidi="fa-IR"/>
        </w:rPr>
        <w:t xml:space="preserve">. </w:t>
      </w:r>
      <w:bookmarkStart w:id="882" w:name="pg12658_167103"/>
    </w:p>
    <w:p>
      <w:pPr>
        <w:pStyle w:val="Heading3"/>
        <w:numPr>
          <w:ilvl w:val="2"/>
          <w:numId w:val="1"/>
        </w:numPr>
        <w:rPr/>
      </w:pPr>
      <w:bookmarkStart w:id="883" w:name="__RefHeading___Toc643943_222507752"/>
      <w:bookmarkStart w:id="884" w:name="_Toc344"/>
      <w:bookmarkEnd w:id="882"/>
      <w:bookmarkEnd w:id="883"/>
      <w:r>
        <w:rPr>
          <w:rtl w:val="true"/>
        </w:rPr>
        <w:t>امام مهدی علیه‌السلام در آینة قلم</w:t>
      </w:r>
      <w:bookmarkEnd w:id="884"/>
    </w:p>
    <w:p>
      <w:pPr>
        <w:pStyle w:val="BookText"/>
        <w:rPr/>
      </w:pPr>
      <w:r>
        <w:rPr>
          <w:rFonts w:ascii="IRNazanin" w:hAnsi="IRNazanin" w:eastAsia="IRNazanin"/>
          <w:color w:val="111111"/>
          <w:sz w:val="28"/>
          <w:sz w:val="28"/>
          <w:szCs w:val="28"/>
          <w:rtl w:val="true"/>
          <w:lang w:bidi="fa-IR"/>
        </w:rPr>
        <w:t>این اثر محصول تلاش‌های پژوهشگران مؤسسة پارسا با همکاری بنیاد فرهنگی مهدی موعود علیه‌السلام و مسجد جمکران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ویرایش نخست آن پیش‌تر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منتشر شده بود و اینک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رحلی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 به همراه یک قرص لوح فشرده 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مرجع مهدویت نزدیک سه هزار و چهار صد منبع در بارة مهدویت و امام مهدی علیه‌السلام معرفی شده بود در حالی که در این اثر پس از پنج سال بررسی‌های گسترده‌تر و نیز تولید آثار دیگر در بحث مهدویت این مجموعه با افزایش نزدیک صد و بیست در صد به بیش از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مرتبط با امام مهدی علیه‌السلام و مهدویت افزایش یافت که نزدیک نیمی از این منابع دارای چکیدة راهنما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این کتاب دربرگیرنده کتاب،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مقاله‌های نشریات، دایرة‌المعارف‌ها و 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اول، آثار مرتبط با موضوعاتی چون آثار وجودی امام زمان علیه‌السلام، آخرالزمان، ادعیه و زیارات مهدویه، ارتباط با امام، اصحاب امام، اماکن منسوب به امام، امام حسن عسکری علیه‌السلام، انتظار فرج، پاسخ به شبهات مهدویت، توقیعات و روایات مهدویه، جامعه مهدوی، جنبه‌های سیاسی مهدوی، حکومت امام مهدی علیه‌السلام، دشمنان امام، زندگی‌نامه، سیرة ایشان، طول عمر امام، ظهور امام، غیبت صغرا و کبرای امام و در نهایت فرهنگ مهدویت معرفی شده‌اند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فضائل امام مهدی علیه‌السلام، فلسفة مهدویت، کرامات امام، آسیب‌شناسی مهدویت، خاتمیت، شیعه، مهدویت در غرب، گفتمان مهدویت، مادر امام، مدح و ثنای امام، مدعیان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بابیه، بهائیت و شیخیه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دیدار با امام مهدی علیه‌السلام، موعودباوری،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نظریه‌ها در بارة امام مهدی علیه‌السلام، نیمة شعبان، وکالت و نیابت، منابع و متون کودکان، عناوینی هستند که در فصل دوم به خوانندگان ارائه شده است</w:t>
      </w:r>
      <w:r>
        <w:rPr>
          <w:rFonts w:eastAsia="IRNazanin" w:cs="IRNazanin"/>
          <w:color w:val="111111"/>
          <w:sz w:val="28"/>
          <w:szCs w:val="28"/>
          <w:rtl w:val="true"/>
          <w:lang w:bidi="fa-IR"/>
        </w:rPr>
        <w:t xml:space="preserve">. </w:t>
      </w:r>
      <w:bookmarkStart w:id="885" w:name="pg12658_167108"/>
    </w:p>
    <w:p>
      <w:pPr>
        <w:pStyle w:val="Heading2"/>
        <w:numPr>
          <w:ilvl w:val="1"/>
          <w:numId w:val="1"/>
        </w:numPr>
        <w:rPr/>
      </w:pPr>
      <w:bookmarkStart w:id="886" w:name="__RefHeading___Toc643945_222507752"/>
      <w:bookmarkStart w:id="887" w:name="_Toc345"/>
      <w:bookmarkEnd w:id="885"/>
      <w:bookmarkEnd w:id="886"/>
      <w:r>
        <w:rPr>
          <w:rtl w:val="true"/>
        </w:rPr>
        <w:t>منابع و مآخذ</w:t>
      </w:r>
      <w:bookmarkEnd w:id="8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فولادوند، چاپ سوم، تهران، دارالقرآن الکریم،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طاوس، علی بن موسی، اقبال الاعمال، دوم، تهران، دارالکتب الاسلامیه،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التشریف بالمنن فی التعریف بالفتن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گلبهار،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التشریف بالمنن فی التعریف بالفتن، اصفهان، گلبهار اصفهان،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ابو الحسین، معجم مقاییس اللغه، قم، مکتب الاعلام الاسلامی،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بیروت، دار احیاء التراث العربی،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الغمة فی معرفة الائمة علیه‌السلام، تبریز، مکتبة بنی هاشمی،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ابراهیم، دادگستر جهان، چاپ نوزدهم، قم، شفق،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ایزدی، سجاد، حکومت و مشروعیت، چاپ سوم، تهران، انتشارات کانون اندیشة جوان،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احمدبن محمد بن خالد، محاسن، دوم، قم، دارالکتب الاسلامیه،</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بهروزی‌لک، غلام رضا، سیاست و مهدویت، حکمت روشن،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محمد بن عیسی، سنن ترمذی، بیروت، داراحیاء التراث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آمدی، عبد الواحد بن محمد، غرر الحکم و درر الکلم، انتشارات دفتر تبلیغات، قم،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 تقی، ترجمه و تفسیر نهج البلاغه، چاپ سوم، تهران، دفتر نشر فرهنگ اسلامی،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حسن بن علی، تحف العقول عن آل الرسول علیهم‌السلام،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جامعه 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 عصر زندگی و چگونگی آینده انسان و اسلام، قم، بوستان کتاب،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حموی رومی بغدادی، یاقوت‌بن عبداللَّه، معجم البلدان، دار صادر،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خراسانی، محمد جواد، مهدی منتظر،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میرشفیعی خوانساری، قم، نور الاصفیاء،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خزاز قمی، علی بن محمد، کفایة الاثر، قم، انتشارات بیدار،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خویی، سید 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رجال الحدیث، قم،مدینه العلم،</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داوری، رضا، در باره غرب، تهران، هرمس،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دسوقی، محمد، سیر تاریخی و ارزیابی اندیشه شرق شناسی، تهران، نشر فرزان،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لغتنامه، تهران، دانشگاه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راغب‌اصفهانی، حسین بن محمّد، المفردات فی غریب القران،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قطب‌الدین، الخرائج والجرائح، سه جلد، چاپ اول، قم، موسسه امام مهدی علیه‌السلام،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رفیعی، سید کمال الدین محمد، نقش مردم در حکومت دینی از دیدگاه امام خمینی و قانون اساسی، تهران، دانشگاه آزادی،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 محمود، المعجم الاحصائی، مشهد، آستان قدس رضوی،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سجستانی، سلیمان بن اشعث، سنن ابی داود، بیروت، دار الفکر،</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سلیمیان، خدامراد، بازگشت به دنیا در پایان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و بررسی مسئله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بوستان کتاب،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رضی، 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شهیدی، تهران، شرکت انتشارات علمی و فرهنگی،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عبدالرحمن بن ابی بکر، در المنثور، دارالفکر،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 العرف الوردی فی اخبار المهدی، تهران، المجمع العالمی للتقریب بین المذاهب الاسلامیه،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شیبانی، احمدبن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 احمد، بیروت، دار صادر،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گلپایگانی، لطف اللّه، منتخب الاثر، قم، موسسه السیّدة المعصومة علیها السلام،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سید محمد، تاریخ ما بعد الظهور، اصفهان، مکتبه الامام امیرالمؤمنین علیه‌السلام،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بن حسین بن بابویه، الامالی، انتشارات کتابخانه اسلامیه،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 علل الشرایع، قم، انتشارات مکتبه الداوری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 عیون اخبار الرضا علیه‌السلام، انتشارات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 کمال الدین و تمام النعمة، قم، دارالکتب الاسلامیه،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 من لایحضره الفقیه، قم، جامعه مدرسین،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صنعانی، عبدالرزاق، المصنف،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الرحمن الاعظمی، بی‌جا، منشورات المجلس العالمی،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المیزان فی تفسیر القران، بیست جلد، چ یازدهم، قم،دفتر انتشارات اسلامی،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مجمع البیان فی تفسیر القرآن، انتشارات ناصرخسرو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آملی، محمّد بن ابی القاسم، بشارة المصطفی لشیعة المرتضی، چ دوم، نجف، کتابخانه حیدریه،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محمدبن جریر بن یزید، تاریخ طبری، دار الکتب العلمیه،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محمّدبن جریر بن رستم، دلائل الامامة، قم، دارالذخائر للمطبوعات،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طبسی، نجم الدین، تا ظهور، قم، بنیاد فرهنگی حضرت مهدی موعود علیه‌السلام،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 چشم‌اندازی به حکومت مهدی علیه‌السلام، چاپ سوم، قم، بوستان کتاب،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 الدین، مجمع‌البحرین، سه جلد، چاپ اول، قم، مرکز الطباعه والنشر فی مؤسسه البعثه،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الحسن، تهذیب‌الاحکام، تهران، دارالکتب الاسلامیه،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 اختیار معرفة الرجال، دانشگاه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 کتاب الغیبة، چاپ اول، قم، موسسه معارف 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محمد بن حسن ، الایقاظ من الهجعة بالبرهان علی الرجعة، ترجمه احمد جنتی، انتشارات نوید،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 وسائل الشیعة، قم، موسسه آل البیت علیهم‌السلام،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الرحمن العالم، بنیادهای علم سیاست، تهران، نشر نی، چ سیزدهم،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عُکبری،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اختصاص، مصحح علی اکبر غفاری، قم،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 الارشاد، قم،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 اوائل المقالات، مکتبه الداوری،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 المسائل السرویه، الموتمر العالمی لالفیه الشیخ المفید،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بابایی، غلامرضا، فرهنگ اصطلاحات و روابط بین‌المللی، چ اول، تهران، نشر سفیر،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عمید، حسن، فرهنگ عمید، تهران، انتشارات امیر کبیر،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محمد بن مسعود، تفسیر عیاشی، بیروت، منشورات اعلمی،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فتال نیشابوری،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روضة الواعظین، قم، انتشارات رضی،</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احمد، کتاب العین، بی‌جا، مؤسسه دار الهجره،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فیرحی، داود، قدرت، دانش و مشروعیت در اسلام، تهران، نشر 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فیومی، المصباح المنیر،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در یک مجلد، المطبعه العلمیه،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قفاری، ناصر، اصول مذهب الشیعه الامامیه الاثنی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و نقد، دارالرضا،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قلمکاری، حیدر علی، حکومت اسلامی، چ اول، تهران، نشر حقایق،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بن هاشم، تفسیر قمی، قم، مؤسسة دار 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سلیمان، یوم الخلاص، بیروت، دار الکتب،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 محمّدبن عمر، رجال کشی، مشهد،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محمّدبن یعقوب، الکافی، هشت جلد، چاپ چهارم، تهران، دارالکتب الاسلامیه،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کنجی الشافعی، ابو عبدالله محمّد، البیان فی اخبار صاحب الزمان علیه‌السلام،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حمد الفتلاوی، بیروت، دارالمحجه البیضاء،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کورانی و دیگران، علی، معجم احادیث الامام المهدی علیه‌السلام، قم، مؤسسه معارف 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کورانی، علی، عصر ظهور، ترجمه عباس جلالی، تهران، شرکت چاپ و نشر بین الملل سازمان تبلیغات اسلامی،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کوفی، ابن ابی شیبه، المصنف،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اللحام، بیروت، دار الفکر للطباعه و النشر و التوزیع،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نویسندگان، فصلنامه انتظار، قم، مرکز تخصصی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علاء الدین علی، کنزالعمال فی سنن الاقوال و الافعال، شانزده جلد، موسسة الرسالة،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بحارالانوار،</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موسسة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مرندی، محمد رضا، مبانی مشروعیت نظام سیاسی در اسلام، تهران، مؤسسة انتشاراتی عطا،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مروزی، ابو عبد الله نعیم بن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محمد محمد عرفه، المکتبه التوفیقیه،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آموزش عقاید، مرکز چاپ و نشر سازمان تبلیغات اسلامی،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قم،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 سلسله مباحث اسلام، سیاست و حکومت، قم،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حسن، التحقیق فی کلمات القرآن الکریم، تهران، بنگاه ترجمه و نشر کتاب،</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حماسه حسینی، انتشارات صدرا،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 قیام و انقلاب مهدی علیه‌السلام، قم، صدرا،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محمدرضا، عقاید الامامیه، ترجمه علیرضا مسجد جامعی، چاپ اول،  تهران ، سازمان چاپ و انتشارات وزارت فرهنگ و ارشاد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معین، محمد، فرهنگ فارسی، چاپ اول، تهران، نشر سرایش،</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مقدسی شافعی، یوسف بن یحیی، عقد الدرر فی اخبار المنتظر،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محمد الحلو، قم، انتشارات نصایح،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ودیگران، ناصر، تفسیرنمونه، چ چهلم، دارالکتب الاسلامیه،</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 یک‌صد و هشتاد پرسش و پاسخ برگرفته از تفسیر نمونه، تهران، دارالکتب الاسلامیه، چاپ دوم،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 حکومت جهانی حضرت مهدی علیه‌السلام، چ هفتم، قم، نسل جوان،</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نعمانی، محمّد بن ابراهیم، الغیبة، تهران، مکتبة الصدوق،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مستدرک الحاکم، بیروت، دارالمعرفة،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واعظی، احمد، حکومت دینی، قم، نشر مرصاد،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الحمدلله رب العالمین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معین، فرهنگ معین، واژه حکومت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فارس بن زکریا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معجم مقاییس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علی بابایی، فرهنگ اصطلاحات و روابط بین‌الملل،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حیدر علی قلمکاری، حکومت اسلامی،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محمد تقی مصباح یزدی ، پرسش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و پاسخ</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حسین بن بابویه، کمال‌الدین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مصطفوی، التحقیق فی کلمات القرآن الکریم،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نزدیک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مفردات الفاظ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نعمانی، الغیبة،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طوسی، کتاب الغیبة،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مصطفوی، التحقیق فی کلمات القرآن الکریم،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بن رستم طبری، دلائل الامامه،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معین، فرهنگ معین، واژة دولت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مصطفوی، التحقیق فی کلمات القرآن الکریم،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الدین طریحی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نیز آن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دولتنا آخر الدول؛ محمد بن حسن طوسی، کتاب الغیبة،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محمد بن ابراهیم نعمانی، الغیبة،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مرندی، مبانی مشروعیت نظام سیاسی در اسلام،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طوسی، کتاب الغیبة،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طباطبایی، تفسیر 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 فی الْقَائِم وَ 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نهج البلاغه،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طوسی، کتاب الغیبة،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لا یخلف المیعاد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ابی داود، 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طوسی، کتاب الغیبة،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دلائل الامامة،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از این دیدگاه‌ها، مستند روایی محکمی ندارد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شیبة، المصنف،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19484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 یَمْلِکُ الْقَائِمُ؟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سِنِینَ یَکُونُ سَبْعِینَ سَنَةً مِنْ سِنِیکُمْ 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رجال،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خلاصة الاقوال،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سید ابوالقاسم خویی، 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شیخ طوسی، رجال الطوسی،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علامه حلی، ایضاح الاشتباه،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ابن غضایری، 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رجال الطوسی،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سید ابوالقاسم خویی، 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برای اثبات ادعای پیامبری که با شرایط اعجاز در محل خود بحث شده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زینب نعمانی، الغیبة،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دلایل الامامة،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حکومت جهانی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حکومت جهانی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بازگشت به دنیا در پایان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 و بررسی مسئله رجعت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طوسی، کتاب الغیبة،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آموزش عقاید،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همو،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حکیمی، عصر زندگی،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أمالی،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فتال نیشابوری، روضه الواعظین،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شیخ صدوق، کمال‌الدین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روشن شده یکی از عوامل دشمنی‌های استکبار با ملت بزرگ ایران نگرانی از ارائة الگوی حکومت واحد جهانی مهدوی به مردم ستم‌دیدة زمین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دشمنی‌های غرب با پیشرفت‌های ملت ایران در زمینه‌های گوناگون و از جمله دانش هسته‌ای گواه روشنی بر این ادعا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فَأَقِمْ وَجْهَکَ لِلدِّینِ حَنِیفًا فِطْرَةَ اللَّهِ الَّتِی فَطَرَ النَّاسَ عَلَیهَا لاَ تَبْدِیلَ لِخَلْقِ اللَّهِ ذَلِکَ الدِّینُ الْقَیمُ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درسنامه مهدویت،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درس اول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نهج‌البلاغه، خطبه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حسین بن بابویه،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نعمانی، الغیبة،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نعمانی، الغیبة،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با الهام از این روایت و برخی روایات دیگر، بر این باور است سازوکار اقتصادی در عصر ظهور تفاوت‌های اساسی با زندگی امروزین ما دارد و از مراکزی که با شگردهای فراوان ثروت مردم را برای سود خود، گرد می‌آورند، خبری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دیگر به بانک‌ها، بیمه، بورس و مانند آن نیازی نیست؛ اگرچه امروزه بخش جدایی‌ناپذیر زندگی شده‌اند و به‌ناگزیر برخی نیازها را نیز رفع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بی‌گمان پدیدآمدن این سازوکارهای اقتصادی به سبب دورشدن انسان‌ها از آموزه‌های الهی و بی‌اعتمادی آنها به یکدیگر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اگر همگان در رفع نیازهای هم شتاب می‌کردند، فرض چنین مراکزی نیز دور از ذهن می‌نمود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شیخ صدوق،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فتال نیشابوری، روضة الواعظین،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قطب راوندی، الخرائج والجرائح،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شیخ طوسی،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سازوکار اقتصادی در آن زمان به طور کامل با پیش از آن متفاوت خواهد بود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نهج‌البلاغه، خطبه</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حکیمی، عصر زندگی،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المُدَّخَّرُ لِتَجْدیدِ الفَرائِضِ وَالسُّنَنِ، اَیْنَ المُتَخَیَّرُ لِاِعادَةِ المِلَّةِ وَالشَّریعَةِ، اَیْنَ‌المُؤَمَّلُ لِاِحْیاءِ الکِتابِ وَحُدُودِهِ، اَیْنَ‌مُحْیی مَعالِمِ الدّینِ وَاَهْلِهِ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بن طاوس، اقبال الاعمال،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بیشتر کسانی که حضور را پذیرفته‌اند این پیروان را فقط در یهود و مسیحیت منحصر دانسته و هیچ کس، از حضور پیروان دیگر ادیان سخن روشنی به میان نیاورده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الشرک لظلم عظیم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شعبه حرانی، تحف العقول،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معجم مفردات الفاظ القرآن،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المبسوط،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طباطبایی، المیزان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 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عبد الواحد بن محمد، غرر الحکم و درر الکلم،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حسین شریف 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شهیدی، حکمت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المفردات،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برقی، 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معین، فرهنگ فارسی، نشر سرایش،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بندرریگی، فرهنگ بندرریگی،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فی غریب القرآن، دفتر نشر کتاب،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فیومی، المصباح المنیر،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روحانی ، المعجم الاحصایی لالفاظ القرآن الکریم،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فَلْیَعْبُدُوا رَبَّ هذَا الْبَیْتِ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أَطْعَمَهُمْ مِنْ جُوعٍ وَ آمَنَهُمْ مِنْ 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هذَا الْبَلَدِ الْأَمینِ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خَلَقْنَا الْإِنْسانَ فی أَحْسَنِ تَقْویمٍ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غررالحکم و دررالکلم،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10253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ش </w:t>
      </w:r>
      <w:r>
        <w:rPr>
          <w:rFonts w:eastAsia="IRNazanin" w:cs="IRNazanin"/>
          <w:b w:val="false"/>
          <w:bCs w:val="false"/>
          <w:i w:val="false"/>
          <w:iCs w:val="false"/>
          <w:color w:val="333333"/>
          <w:sz w:val="20"/>
          <w:szCs w:val="20"/>
        </w:rPr>
        <w:t>10254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 أَ مَا تُحِبُّونَ أَنْ یُظْهِرَ اللَّهُ تَبَارَکَ وَ تَعَالَی الْحَقَّ وَ الْعَدْلَ فِی الْبِلَادِ وَ یَجْمَعَ اللَّهُ الْکَلِمَةَ وَ یُؤَلِّفَ اللَّهُ بَیْنَ قُلُوبٍ مُخْتَلِفَةٍ وَ لَا یَعْصُونَ اللَّهَ عَزَّ وَ جَلَّ فِی أَرْضِهِ وَ تُقَامَ حُدُودُهُ فِی خَلْقِهِ وَ یَرُدَّ اللَّهُ الْحَقَّ إِلَی أَهْلِهِ فَیَظْهَرَ حَتَّی لَا یُسْتَخْفَی بِشَیْ‌ءٍ مِنَ الْحَقِّ مَخَافَةَ أَحَدٍ مِنَ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یعقوب 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عمید، فرهنگ عمید،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عمید، فرهنگ عمید،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مصطفوی، التحقیق فی کلمات القرآن الکریم،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پنداشته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اند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مشروعیت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شرعی‌بودن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گویی پرسش اصلی بحث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حکومتی شرعی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کدام حکومت، مورد پذیرش شرع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بی‌تردید، پرسش اصلی بحث این نیست؛ گرچه ممکن است در یک جامعه دینی، مسأله شرعی بودن حکومت مطرح شود و حتّی با مسأله مشروعیت هم مرتبط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مصباح یزدی، پرسش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و پاسخ</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 ایزدی، حکومت و مشروعیت،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تقسیم‌بندی ماکس وبر؛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عالم، بنیادهای علم سیاست،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کواکبیان، مبانی مشروعیت در نظام ولایت فقیه،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که او بخواهد و بفرماید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حسین شریف رضی، 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باب الترفق فی الطلب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عمید، فرهنگ عمید،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مصباح یزدی، مباحث سیاست،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المسترشد،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عماد الدین طبری، بشارة المرتضی لشیعة المرتضی،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حسین شریف رضی، نهج البلاغه، ترجمه سید جعفر شهیدی، خطبه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 النهایة،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علی بن حسین بن بابویه، عیون اخبار الرضا علیه‌السلام،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خزاز قمی، کفایة الاثر،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یَأْتِیَ الْمِنْبَرَ وَ یَخْطُبَ وَ لَا یَدْرِی النَّاسُ مَا یَقُولُ مِنَ الْبُکَاء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حسن طوسی، کتاب الغیبة،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و بلکه صدها روایت از پیشوایان معصوم علیهم السلام به دست رسیده که در آن از عدالت به عنوان محوری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ترین هدف قیام جهانی حضرت مهدی علیه السلام 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نعمانی، الغیبة،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محمدبن علی بن حسین بن بابویه،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محمد بن حسن طوسی، کتاب الغیبة،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فتال نیشابوری، روضة الواعظین،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قطب راوندی، الخرائج والجرائح،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نعمانی، الغیبة،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قَامَ قَائِمُنَا وَضَعَ اللَّهُ یَدَهُ عَلَی رُءُوسِ الْعِبَادِ فَجَمَعَ بِهَا عُقُولَهُمْ وَ کَمَلَتْ بِهِ أَحْلَامُهُمْ؛ چون قائم ما قیام کند خداوند دست رحمتش را بر سر بندگان گذارد پس عقولشان را جمع کند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پیروی هوس نکنند و با یک دیگر اختلاف نورزند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نتیجه خردشان کامل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متانت و خود نگهداریشان کامل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یعقوب 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حسین شریف رضی، نهج البلاغه،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در این باره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رَأْیَ لِمَنْ لَا یُطَاعُ؛ امّا، آن را که فرمان نبرند سررشته کار از برون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حسین شریف رضی، نهج البلاغه، ترجمه سید جعفر شهیدی،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در وصف ایشان ذیل آیه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یَأْتِی بَعْضُ آیاتِ رَبِّکَ لا یَنْفَعُ نَفْساً إِیمانُها لَمْ تَکُنْ آمَنَتْ مِنْ قَبْلُ أَوْ کَسَبَتْ فِی إِیمانِها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خُرُوجَ الْقَائِمِ الْمُنْتَظَرِ مِنَّا ثُمَّ 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بَصِیرٍ طُوبَی لِشِیعَةِ قَائِمِنَا الْمُنْتَظِرِینَ لِظُهُورِهِ فِی غَیْبَتِهِ وَ الْمُطِیعِینَ لَهُ فِی ظُهُورِهِ أُولَئِکَ أَوْلِیَاءُ اللَّهِ الَّذِینَ لا خَوْفٌ عَلَیْهِمْ وَ لا هُمْ یَحْزَنُون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محمدبن علی بن حسین بن بابویه،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بَابُ مَا یَجِبُ مِنْ حَقِّ الْإِمَامِ عَلَی الرَّعِیَّةِ وَ حَقِّ الرَّعِیَّةِ عَلَی الْإِمَامِ؛ محمدباقر مجلسی، 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حق الإمام علی الرعیة و حق الرعیة علی الإمام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خصال،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زینب نعمانی، الغیبة،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زینب نعمانی، الغیبة،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ابن اثیر، النهایة،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جوهری، الصحاح،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ابن‌منظور، لسان العرب،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طریحی،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مرتضی زبیدی، تاج العروس،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و همکاران، یک‌صد و هشتاد پرسش و پاسخ برگرفته از تفسیر نمونه،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صنعانی، المصنف،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المهدی، ح</w:t>
      </w:r>
      <w:r>
        <w:rPr>
          <w:rFonts w:eastAsia="IRNazanin" w:cs="IRNazanin"/>
          <w:b w:val="false"/>
          <w:bCs w:val="false"/>
          <w:i w:val="false"/>
          <w:iCs w:val="false"/>
          <w:color w:val="333333"/>
          <w:sz w:val="20"/>
          <w:szCs w:val="20"/>
        </w:rPr>
        <w:t>20769</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شافعی، عقد الدرر،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کنزالعمال، روایت</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طوسی، کتاب الغیبة،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هادی معرفت، جامعه مدنی،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پیشین،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آنجایی که این بیعت از محل بحث ما بیرون است فقط در حدّ اشاره از آن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گذریم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حسین بن بابویه، کمال الدین و تمام النعمة،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قمی،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عیاشی، تفسیر عیاشی،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طوسی، کتاب الغیبة، ص</w:t>
      </w:r>
      <w:r>
        <w:rPr>
          <w:rFonts w:ascii="IRNazanin" w:hAnsi="IRNazanin" w:eastAsia="IRNazanin"/>
          <w:b w:val="false"/>
          <w:b w:val="false"/>
          <w:bCs w:val="false"/>
          <w:i w:val="false"/>
          <w:i w:val="false"/>
          <w:iCs w:val="false"/>
          <w:color w:val="333333"/>
          <w:sz w:val="20"/>
          <w:sz w:val="20"/>
          <w:szCs w:val="20"/>
        </w:rPr>
        <w:t>۴۷۶</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طوسی، کتاب الغیبة،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محمد باقر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عبدالله حاکم نیشابوری، 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یوسف بن یحیی المقدسی، عقد الدرر فی اخبار المنتظر،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متقی هندی، کنز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طوسی، کتاب الغیبة، ص</w:t>
      </w:r>
      <w:r>
        <w:rPr>
          <w:rFonts w:ascii="IRNazanin" w:hAnsi="IRNazanin" w:eastAsia="IRNazanin"/>
          <w:b w:val="false"/>
          <w:b w:val="false"/>
          <w:bCs w:val="false"/>
          <w:i w:val="false"/>
          <w:i w:val="false"/>
          <w:iCs w:val="false"/>
          <w:color w:val="333333"/>
          <w:sz w:val="20"/>
          <w:sz w:val="20"/>
          <w:szCs w:val="20"/>
        </w:rPr>
        <w:t>۴۵۴</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علی المالکی،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النضر عن ابن حمید الرافعی،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الهیثم البصری،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سلیمان بن عثمان النخعی،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سعید بن طارق عن سلمة بن أنس عن الأصبغ 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أمیر المؤمنین علی علیه السلام خطبة، فذکر المهدی و خروج من یخرج معه و أسماءهم، فقال له أبو خالد الکلبی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صفه لنا یا أمیر المؤمنین، فقال علی علیه السلام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موسی ابن طاوس، التشریف بالمنن فی التعریف بالفتن،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چگونه امامی است که بر پایة خواسته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انسان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و نه خدواند خود را تنظیم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با تفاوت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فراوانی در روزگار رهایی، ترجمه یوم الخلاص، آمده که فرازهای آن چه در باره یاران خاص و چه در باره حضرت قابل تأمل جدّی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سلیمان، یوم الخلاص،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 الله صافی گلپایگانی، منتخب الاثر،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التشریف بالمنن فی التعریف بالفتن،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محققین، معجم احادیث الامام المهدی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الدین طبسی، تأملی در نشانه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ظهور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بخش‌هایی از این درس با بهره از کتاب تعلیم و تربیت در عصر ظهور، نوشته رحیم کارگر نگاشته شده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حسین شریف 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البلاغه، ترجمه سید جعفر شهیدی، خطبه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و دیگران،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حرانی، تحف العقول،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صدر، تاریخ پس از ظهور،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الدین طبری، بشارة المصطفی،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حسین شریف 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جعفر شهیدی، خطبه</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زینب نعمانی، الغیبة،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راوندی،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محمد باقر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درس با بهره از نوشته‌های آقایان دکتر سید رضی موسوی گیلانی و حمید سعادت نوشته شده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دهخدا، فرهنگ دهخدا،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واژه شرق</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دسوقی، سیر تاریخی و ارزیابی اندیشه شرق شناسی،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داوری، در باره غرب،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Orientalism</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داوری، در باره غرب،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است که امروزه به ویژه در دهه‌های اخیر، که عصر هنر و رسانه‌ها است، شرق‌شناسی و اهداف تبشیری به همراه فرهنگ سلطه، وارد دوره‌ای جدید با شیوه‌های مدرن شده است که از جمله مهمترین آن‌ها، ساخت آثار هنری و سینمایی در باره تمدن‌های شرقی به ویژه تمدن اسلامی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پرداختن به مفاهیم آخرالزمانی با تکیه بر متون مسیحی و یهودی و ستیز بر علیه اسلام از مهمترین عناصر این فیلم‌ها می‌باشد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مظاهری سیف، عرفان حلقه، و نیز سلسله مقالات مجله شفافیت از مؤسسه مطالعاتی روشنگر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چهل شب با کاروان حسینی، شب اربعین، </w:t>
      </w:r>
      <w:r>
        <w:rPr>
          <w:rFonts w:eastAsia="IRNazanin" w:cs="IRNazanin"/>
          <w:b w:val="false"/>
          <w:bCs w:val="false"/>
          <w:i w:val="false"/>
          <w:iCs w:val="false"/>
          <w:color w:val="333333"/>
          <w:sz w:val="20"/>
          <w:szCs w:val="20"/>
        </w:rPr>
        <w:t>23/2/80</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اوست کسی که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تو فرو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پاره‌ای از آن، آیات محکم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صریح و 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اساس کتابند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 متشابهاتند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تأویل‌پذیرند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کسانی که در دلهایشان انحراف است برای فتنه‌جویی و طلب تأویل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دلخواه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متشابه آن پیروی می‌کنند، با آنکه تأویلش را جز خدا و ریشه‌داران در دانش کسی نمی‌داند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بدان ایمان آوردیم، 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محکم و چه 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جانب پروردگار ماست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جز خردمندان کسی متذکر نمی‌شود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خلیل‌بن احمد، العین، در توضیح واژة رجع</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فیروزآبادی، مجد الدین محمدبن یعقوب، القاموس المحیط</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الاصفهانی، مفردات الفاظ القرآن، پس از واژة الرجوع</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فخرالدین، مجمع البحرین، پس از واژة رجع</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أَیَّامُ اللَّهِ ثَلَاثَةٌ یَوْمُ یَقُومُ الْقَائِمُ وَ یَوْمُ الْکَرَّةِ وَ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در زیارت اربعین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أَشْهَدُ أَنِّی بِکُمْ مُؤْمِنٌ وَ بِإِیَابِکُمْ مُوقِن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 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محمدبن محمدبن النعمان، اوائل المقالات فی المذاهب و المختارات،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سلسله مؤلفات مفید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جوابات المسائل الرازیه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الشریف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حر عاملی ، الایقاظ من الهجعة بالبرهان علی الرجعة،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مظفر،  عقاید الامامیه، ترجمه علیرضا مسجد جامعی،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صدر، تاریخ ما بعد الظهور، 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مرتضی، رسائل المرتضی،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30164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المسائل السرویة،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سلسله مؤلفات الشیخ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رسالة العقاید الجعفریة،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الایقاظ من الهجعة،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قفاری،  اصول مذهب الشیعة عرض و نقد،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اصفهانی، الاغانی،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مال اللَّه، الشیعة و تحریف القرآن،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بن محمد سعودی،  الشیعة الامامیة الاثناعشریة فی میزان الاسلام،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الشیعة و التشیع،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ابراهیم، تاریخ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مال اللَّه، الشیعة و تحریف القرآن،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مظفر ، عقایدالامامیه،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 تفسیرالمیزان،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تفسیرالمیزان، ترجمه محمدتقی مصباح،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الایقاظ من الهجعة، انتشارات نوید،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قُلْتُمْ یَامُوسیَ لَن نُّؤْمِنَ لَکَ حَتیَ نَرَی اللَّهَ جَهْرَةً فَأَخَذَتْکُمُ الصَّاعِقَةُ وَ أَنتُمْ تَنظُرُونَ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بَعَثْنَاکُم مِّن بَعْدِ مَوْتِکُمْ لَعَلَّکُمْ تَشْکُرُون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قَتَلْتُمْ نَفْسًا فَادَّارَأْتُمْ فِیهَا وَ اللَّهُ مخُْرِجٌ مَّا کُنتُمْ تَکْتُمُونَ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 اضْرِبُوهُ بِبَعْضِهَا کَذَالِکَ یُحْیِ اللَّهُ الْمَوْتیَ وَ یُرِیکُمْ ءَایَاتِهِ لَعَلَّکُمْ تَعْقِلُون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 تَرَ إِلَی الَّذِینَ خَرَجُواْ مِن دِیَرِهِمْ وَهُمْ أُلُوفٌ حَذَرَ الْمَوْتِ فَقَالَ لَهُمُ اللَّهُ مُوتُواْ ثُمَّ أَحْیَهُمْ إِنَّ اللَّهَ لَذُو فَضْلٍ عَلَی النَّاسِ وَلَکِنَّ أَکْثَرَ النَّاسِ لَا یَشْکُرُونَ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کَالَّذِی مَرَّ عَلَی قَرْیَةٍ وَهِی خَاوِیَةٌ عَلَی عُرُوشِهَا قَالَ أَنَّی یُحْیی هَذِهِ اللَّهُ بَعْدَ مَوْتِهَا فَأَمَاتَهُ اللَّهُ مِاْئَةَ عَامٍ ثُمَّ بَعَثَهُ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وَأُحْی الْمَوْتَی بِإِذْنِ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طباطبایی، 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شیخ‌مفید، المسائل السرویه،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شیخ‌طوسی، التبیان،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علی‌بن ابراهیم قمی،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علی‌بن ابراهیم قمی،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روضه کافی،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این روایت با اندک تفاوتی در تفسیر عیاشی و تفسیر قمی نیز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ابن‌اثیر، النهایة فی غریب الحدیث و الاثر، و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ماده قذذ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طبرانی، المعجم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ابن ابی الحدید، شرح نهج‌البلاغه،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متقی‌هندی، کنز العمال،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قرطبی، تفسیر قرطبی،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ابن کثیر، تفسیر 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ابن حزم،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قمی،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 تفسیرالمیزان،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الایقاظ،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محمدبن مسعود،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قمی،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جریربن رستم طبری، دلائل الامامة،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المفردات فی غریب القرآن،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المسائل السرویه،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رسائل المرتضی،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طباطبایی، تفسیر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مظفر،  عقایدالامامیه،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 المسائل السرویه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سلسله مؤلفات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المؤتمر العالمی لالفیة الشیخ المفید،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القفاری، اصول مذهب الشیعه عرض و نقد،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کتاب اِشَعیاه، فضل بیست و ششم،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الایقاظ من الهجعة،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ذکرنا ان التکلیف کما یصح مع ظهور المعجزات الباهرة فکذلک مع الرجعة، لانه لیس فی جمیع ذلک ملجی‌ء الی فعل الواجب و الامتناع من فعل القبیح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مرتضی، رسائل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رسائل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رسائل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رسائل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حسین بن بابویه،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بخاری، صحیح،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حکیمی، خورشید مغرب،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باقر صدر، جست‌و‌جو و گفت‌و‌گو پیرامون امام مهدی علیه السلام،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خزاز قمی، کفایة الاثر،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بُهْلُولٍ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شناخته؛ بُهْلُولِ بْنِ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شناخته؛ الزُّبَیْرِ بْنِ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شناخته؛ عُمَیْرِ بْنِ هانی العیسی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ناشناخته؛ و یا عمیر بن مَانِی الْعَبْسِیِّ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ناشناخته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اساس سند بحار الانوار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امالی،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محمد بن موسی بن المتوکل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إمامی و ثقه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 للحلی،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تمت السبعون سنه أتی الحجة الموت فقتله امرأة من بنی تمیم اسمها سعیدة و لها لحیة کلحیة الرجل بهاون صخر من فوق سطح و هو متجاوز فی الطریق فاذا مات تولی تجهیزه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یزدی حایری، الزام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که کتاب یادشده در بر دارنده روایات صحیح هم هست؛ ولی در آن روایات ضعیف نیز وجود دارد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مِنَّا أَحَدٌ اخْتَلَفَتْ إِلَیْهِ الْکُتُبُ وَ أُشِیرَ إِلَیْهِ بِالْأَصَابِعِ وَ سُئِلَ عَنِ الْمَسَائِلِ وَ حُمِلَتْ إِلَیْهِ الْأَمْوَالُ إِلَّا اغْتِیلَ أَوْ مَاتَ عَلَی فِرَاشِهِ حَتَّی یَبْعَثَ اللَّهُ لِهَذَا الْأَمْرِ غُلَاماً 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اربلی،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طبرسی، اعلام الوری،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اسْتَقَرَّتِ الْمَعْرِفَةُ فِی قُلُوبِ الْمُؤْمِنِینَ أَنَّهُ الْحُسَیْنُ علیه السلام جَاءَ الْحُجَّةَ الْمَوْتُ فَیَکُونُ الَّذِی یُغَسِّلُهُ وَ یُکَفِّنُهُ وَ یُحَنِّطُهُ وَ یَلْحَدُهُ فِی حُفْرَتِهِ الْحُسَیْنَ بْنَ عَلِیٍّ 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یعقوب کلینی،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حَضَرَتْهُ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 فَلْیُسَلِّمْهَا إِلَی ابْنِهِ مُحَمَّدٍ الْمُسْتَحْفِظِ مِنْ آلِ مُحَمَّدٍ فَذَلِکَ اثْنَا عَشَرَ إِمَاماً ثُمَّ یَکُونُ مِنْ بَعْدِهِ اثْنَا عَشَرَ مَهْدِیّا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قَالَ اثْنَا عَشَرَ مَهْدِیّاً وَ لَمْ یَقُلْ اثْنَا عَشَرَ إِمَاماً وَ لَکِنَّهُمْ قَوْمٌ مِنْ شِیعَتِنَا یَدْعُونَ النَّاسَ إِلَی مُوَالَاتِنَا وَ مَعْرِفَةِ حَقِّنَا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أَبَا حَمْزَةَ إِنَّ مِنَّا بَعْدَ الْقَائِمِ أَحَدَ عَشَرَ مَهْدِیّاً مِنْ وُلْدِ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فَلَأَنْصُرَنَّهُ بِجُنْدِی وَ لَأَمُدَّنَّهُ بِمَلَائِکَتِی حَتَّی تَعْلُوَ دَعْوَتِی وَ تَجْمَعَ الْخَلْقُ عَلَی تَوْحِیدِی ثُمَّ لَأُدِیمَنَّ مُلْکَهُ وَ لَأُدَاوِلَنَّ الْأَیَّامَ بَیْنَ أَوْلِیَائِی إِلَی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همو،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لَیَمْلِکَنَّ رَجُلٌ مِنَّا أَهْلَ الْبَیْتِ ثَلَاثَمِائَةِ سَنَةٍ وَ یَزْدَادُ تِسْعاً قَالَ فَقُلْتُ لَهُ مَتَی یَکُونُ ذَلِکَ قَالَ بَعْدَ مَوْتِ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عیاشی،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منادی، الملاحم،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نعیم بن حماد، الفتن،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ابی داود، سنن ابی 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المهدی، ح</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البرهان فی علامات مهدی آخرالزمان،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سِنِینَ أَوْ ثَمَانَ سِنِینَ أَوْ تِسْعَ سِنِینَ ثُمَّ لَا خَیْرَ فِی الْحَیَاةِ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مقدسی شافعی، عقد الدرر فی اخبار المنتظر،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تَدْعُ مَعَ اللَّهِ إِلهاً آخَرَ لا إِلهَ إِلاَّ هُوَ کُلُّ شَیْ‌ءٍ هالِکٌ إِلاَّ وَجْهَهُ لَهُ الْحُکْمُ وَ إِلَیْهِ تُرْجَعُونَ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 خدا معبودی دیگر مخوان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خدایی جز او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ذات او همه چیز نابودشونده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از آنِ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سوی او بازگردانیده می شوید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معرفی این کتاب‌ها بدان سبب است که در مقایسه با کتاب‌های دیگر، به دلیل‌هایی بیشتر قابل استفاده هستند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image" Target="media/image2.jpeg"/><Relationship Id="rId274" Type="http://schemas.openxmlformats.org/officeDocument/2006/relationships/image" Target="media/image2.jpeg"/><Relationship Id="rId275" Type="http://schemas.openxmlformats.org/officeDocument/2006/relationships/footer" Target="footer268.xml"/><Relationship Id="rId276" Type="http://schemas.openxmlformats.org/officeDocument/2006/relationships/footnotes" Target="footnotes.xml"/><Relationship Id="rId277" Type="http://schemas.openxmlformats.org/officeDocument/2006/relationships/numbering" Target="numbering.xml"/><Relationship Id="rId278" Type="http://schemas.openxmlformats.org/officeDocument/2006/relationships/fontTable" Target="fontTable.xml"/><Relationship Id="rId279" Type="http://schemas.openxmlformats.org/officeDocument/2006/relationships/settings" Target="settings.xml"/><Relationship Id="rId2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281</Pages>
  <Words>36559</Words>
  <Characters>152395</Characters>
  <CharactersWithSpaces>187802</CharactersWithSpaces>
  <Paragraphs>1482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2026-08-23T16:24:04Z</dcterms:created>
  <dc:creator>ghaemiyeh.com</dc:creator>
  <dc:description/>
  <dc:language>en-US</dc:language>
  <cp:lastModifiedBy/>
  <dcterms:modified xsi:type="dcterms:W3CDTF">2026-08-23T19:54:21Z</dcterms:modified>
  <cp:revision>1</cp:revision>
  <dc:subject/>
  <dc:title>درسنامه مهدویت جلد 4</dc:title>
</cp:coreProperties>
</file>

<file path=docProps/custom.xml><?xml version="1.0" encoding="utf-8"?>
<Properties xmlns="http://schemas.openxmlformats.org/officeDocument/2006/custom-properties" xmlns:vt="http://schemas.openxmlformats.org/officeDocument/2006/docPropsVTypes"/>
</file>