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44.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مستند تحریر الوسیلة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95915_41743263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8895917_41743263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8895919_417432637">
            <w:r>
              <w:rPr>
                <w:webHidden/>
                <w:rStyle w:val="IndexLink"/>
                <w:rtl w:val="true"/>
              </w:rPr>
              <w:t>[</w:t>
            </w:r>
            <w:r>
              <w:rPr>
                <w:rStyle w:val="IndexLink"/>
                <w:rtl w:val="true"/>
              </w:rPr>
              <w:t>كتاب الطهارة</w:t>
            </w:r>
            <w:r>
              <w:rPr>
                <w:rStyle w:val="IndexLink"/>
                <w:rtl w:val="true"/>
              </w:rPr>
              <w:t>]</w:t>
              <w:tab/>
            </w:r>
            <w:r>
              <w:rPr>
                <w:rStyle w:val="IndexLink"/>
              </w:rPr>
              <w:t>7</w:t>
            </w:r>
          </w:hyperlink>
        </w:p>
        <w:p>
          <w:pPr>
            <w:pStyle w:val="Contents3"/>
            <w:tabs>
              <w:tab w:val="clear" w:pos="8459"/>
              <w:tab w:val="right" w:pos="9026" w:leader="dot"/>
            </w:tabs>
            <w:rPr/>
          </w:pPr>
          <w:hyperlink w:anchor="__RefHeading___Toc8895921_417432637">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8895923_417432637">
            <w:r>
              <w:rPr>
                <w:webHidden/>
                <w:rStyle w:val="IndexLink"/>
                <w:rtl w:val="true"/>
              </w:rPr>
              <w:t>[</w:t>
            </w:r>
            <w:r>
              <w:rPr>
                <w:rStyle w:val="IndexLink"/>
                <w:rtl w:val="true"/>
              </w:rPr>
              <w:t>فصل في المياه</w:t>
            </w:r>
            <w:r>
              <w:rPr>
                <w:rStyle w:val="IndexLink"/>
                <w:rtl w:val="true"/>
              </w:rPr>
              <w:t>]</w:t>
              <w:tab/>
            </w:r>
            <w:r>
              <w:rPr>
                <w:rStyle w:val="IndexLink"/>
              </w:rPr>
              <w:t>8</w:t>
            </w:r>
          </w:hyperlink>
        </w:p>
        <w:p>
          <w:pPr>
            <w:pStyle w:val="Contents4"/>
            <w:tabs>
              <w:tab w:val="clear" w:pos="8176"/>
              <w:tab w:val="right" w:pos="9026" w:leader="dot"/>
            </w:tabs>
            <w:rPr/>
          </w:pPr>
          <w:hyperlink w:anchor="__RefHeading___Toc8895925_417432637">
            <w:r>
              <w:rPr>
                <w:webHidden/>
                <w:rStyle w:val="IndexLink"/>
                <w:rtl w:val="true"/>
              </w:rPr>
              <w:t>اشارة</w:t>
            </w:r>
            <w:r>
              <w:rPr>
                <w:rStyle w:val="IndexLink"/>
                <w:rtl w:val="true"/>
              </w:rPr>
              <w:tab/>
            </w:r>
            <w:r>
              <w:rPr>
                <w:rStyle w:val="IndexLink"/>
              </w:rPr>
              <w:t>8</w:t>
            </w:r>
          </w:hyperlink>
        </w:p>
        <w:p>
          <w:pPr>
            <w:pStyle w:val="Contents4"/>
            <w:tabs>
              <w:tab w:val="clear" w:pos="8176"/>
              <w:tab w:val="right" w:pos="9026" w:leader="dot"/>
            </w:tabs>
            <w:rPr/>
          </w:pPr>
          <w:hyperlink w:anchor="__RefHeading___Toc8895927_417432637">
            <w:r>
              <w:rPr>
                <w:webHidden/>
                <w:rStyle w:val="IndexLink"/>
                <w:rtl w:val="true"/>
              </w:rPr>
              <w:t>[</w:t>
            </w:r>
            <w:r>
              <w:rPr>
                <w:rStyle w:val="IndexLink"/>
                <w:rtl w:val="true"/>
              </w:rPr>
              <w:t>تقسيم المياه إلى المطلق و المضاف</w:t>
            </w:r>
            <w:r>
              <w:rPr>
                <w:rStyle w:val="IndexLink"/>
                <w:rtl w:val="true"/>
              </w:rPr>
              <w:t>]</w:t>
              <w:tab/>
            </w:r>
            <w:r>
              <w:rPr>
                <w:rStyle w:val="IndexLink"/>
              </w:rPr>
              <w:t>8</w:t>
            </w:r>
          </w:hyperlink>
        </w:p>
        <w:p>
          <w:pPr>
            <w:pStyle w:val="Contents5"/>
            <w:tabs>
              <w:tab w:val="clear" w:pos="7892"/>
              <w:tab w:val="right" w:pos="9026" w:leader="dot"/>
            </w:tabs>
            <w:rPr/>
          </w:pPr>
          <w:hyperlink w:anchor="__RefHeading___Toc8895929_417432637">
            <w:r>
              <w:rPr>
                <w:webHidden/>
                <w:rStyle w:val="IndexLink"/>
                <w:rtl w:val="true"/>
              </w:rPr>
              <w:t>اشارة</w:t>
            </w:r>
            <w:r>
              <w:rPr>
                <w:rStyle w:val="IndexLink"/>
                <w:rtl w:val="true"/>
              </w:rPr>
              <w:tab/>
            </w:r>
            <w:r>
              <w:rPr>
                <w:rStyle w:val="IndexLink"/>
              </w:rPr>
              <w:t>8</w:t>
            </w:r>
          </w:hyperlink>
        </w:p>
        <w:p>
          <w:pPr>
            <w:pStyle w:val="Contents5"/>
            <w:tabs>
              <w:tab w:val="clear" w:pos="7892"/>
              <w:tab w:val="right" w:pos="9026" w:leader="dot"/>
            </w:tabs>
            <w:rPr/>
          </w:pPr>
          <w:hyperlink w:anchor="__RefHeading___Toc8895931_417432637">
            <w:r>
              <w:rPr>
                <w:webHidden/>
                <w:rStyle w:val="IndexLink"/>
                <w:rtl w:val="true"/>
              </w:rPr>
              <w:t>[</w:t>
            </w:r>
            <w:r>
              <w:rPr>
                <w:rStyle w:val="IndexLink"/>
                <w:rtl w:val="true"/>
              </w:rPr>
              <w:t>و المطلق أقسام</w:t>
            </w:r>
            <w:r>
              <w:rPr>
                <w:rStyle w:val="IndexLink"/>
                <w:rtl w:val="true"/>
              </w:rPr>
              <w:t>]</w:t>
              <w:tab/>
            </w:r>
            <w:r>
              <w:rPr>
                <w:rStyle w:val="IndexLink"/>
              </w:rPr>
              <w:t>11</w:t>
            </w:r>
          </w:hyperlink>
        </w:p>
        <w:p>
          <w:pPr>
            <w:pStyle w:val="Contents4"/>
            <w:tabs>
              <w:tab w:val="clear" w:pos="8176"/>
              <w:tab w:val="right" w:pos="9026" w:leader="dot"/>
            </w:tabs>
            <w:rPr/>
          </w:pPr>
          <w:hyperlink w:anchor="__RefHeading___Toc8895933_417432637">
            <w:r>
              <w:rPr>
                <w:webHidden/>
                <w:rStyle w:val="IndexLink"/>
                <w:rtl w:val="true"/>
              </w:rPr>
              <w:t>[</w:t>
            </w:r>
            <w:r>
              <w:rPr>
                <w:rStyle w:val="IndexLink"/>
                <w:rtl w:val="true"/>
              </w:rPr>
              <w:t xml:space="preserve">مسألة </w:t>
            </w:r>
            <w:r>
              <w:rPr>
                <w:rStyle w:val="IndexLink"/>
              </w:rPr>
              <w:t>1</w:t>
            </w:r>
            <w:r>
              <w:rPr>
                <w:rStyle w:val="IndexLink"/>
                <w:rtl w:val="true"/>
              </w:rPr>
              <w:t xml:space="preserve">: </w:t>
            </w:r>
            <w:r>
              <w:rPr>
                <w:rStyle w:val="IndexLink"/>
                <w:rtl w:val="true"/>
              </w:rPr>
              <w:t>الماء المضاف</w:t>
            </w:r>
            <w:r>
              <w:rPr>
                <w:rStyle w:val="IndexLink"/>
                <w:rtl w:val="true"/>
              </w:rPr>
              <w:t>]</w:t>
              <w:tab/>
            </w:r>
            <w:r>
              <w:rPr>
                <w:rStyle w:val="IndexLink"/>
              </w:rPr>
              <w:t>14</w:t>
            </w:r>
          </w:hyperlink>
        </w:p>
        <w:p>
          <w:pPr>
            <w:pStyle w:val="Contents4"/>
            <w:tabs>
              <w:tab w:val="clear" w:pos="8176"/>
              <w:tab w:val="right" w:pos="9026" w:leader="dot"/>
            </w:tabs>
            <w:rPr/>
          </w:pPr>
          <w:hyperlink w:anchor="__RefHeading___Toc8895935_417432637">
            <w:r>
              <w:rPr>
                <w:webHidden/>
                <w:rStyle w:val="IndexLink"/>
                <w:rtl w:val="true"/>
              </w:rPr>
              <w:t>[</w:t>
            </w:r>
            <w:r>
              <w:rPr>
                <w:rStyle w:val="IndexLink"/>
                <w:rtl w:val="true"/>
              </w:rPr>
              <w:t xml:space="preserve">مسألة </w:t>
            </w:r>
            <w:r>
              <w:rPr>
                <w:rStyle w:val="IndexLink"/>
              </w:rPr>
              <w:t>2</w:t>
            </w:r>
            <w:r>
              <w:rPr>
                <w:rStyle w:val="IndexLink"/>
                <w:rtl w:val="true"/>
              </w:rPr>
              <w:t xml:space="preserve">: </w:t>
            </w:r>
            <w:r>
              <w:rPr>
                <w:rStyle w:val="IndexLink"/>
                <w:rtl w:val="true"/>
              </w:rPr>
              <w:t>الماء المطلق لا يخرج بالتصعيد عن الإطلاق</w:t>
            </w:r>
            <w:r>
              <w:rPr>
                <w:rStyle w:val="IndexLink"/>
                <w:rtl w:val="true"/>
              </w:rPr>
              <w:t>]</w:t>
              <w:tab/>
            </w:r>
            <w:r>
              <w:rPr>
                <w:rStyle w:val="IndexLink"/>
              </w:rPr>
              <w:t>27</w:t>
            </w:r>
          </w:hyperlink>
        </w:p>
        <w:p>
          <w:pPr>
            <w:pStyle w:val="Contents4"/>
            <w:tabs>
              <w:tab w:val="clear" w:pos="8176"/>
              <w:tab w:val="right" w:pos="9026" w:leader="dot"/>
            </w:tabs>
            <w:rPr/>
          </w:pPr>
          <w:hyperlink w:anchor="__RefHeading___Toc8895937_417432637">
            <w:r>
              <w:rPr>
                <w:webHidden/>
                <w:rStyle w:val="IndexLink"/>
                <w:rtl w:val="true"/>
              </w:rPr>
              <w:t>[</w:t>
            </w:r>
            <w:r>
              <w:rPr>
                <w:rStyle w:val="IndexLink"/>
                <w:rtl w:val="true"/>
              </w:rPr>
              <w:t xml:space="preserve">مسألة </w:t>
            </w:r>
            <w:r>
              <w:rPr>
                <w:rStyle w:val="IndexLink"/>
              </w:rPr>
              <w:t>3</w:t>
            </w:r>
            <w:r>
              <w:rPr>
                <w:rStyle w:val="IndexLink"/>
                <w:rtl w:val="true"/>
              </w:rPr>
              <w:t xml:space="preserve">: </w:t>
            </w:r>
            <w:r>
              <w:rPr>
                <w:rStyle w:val="IndexLink"/>
                <w:rtl w:val="true"/>
              </w:rPr>
              <w:t>إذا شكّ في مائع أنّه مطلق أو مضاف</w:t>
            </w:r>
            <w:r>
              <w:rPr>
                <w:rStyle w:val="IndexLink"/>
                <w:rtl w:val="true"/>
              </w:rPr>
              <w:t>]</w:t>
              <w:tab/>
            </w:r>
            <w:r>
              <w:rPr>
                <w:rStyle w:val="IndexLink"/>
              </w:rPr>
              <w:t>28</w:t>
            </w:r>
          </w:hyperlink>
        </w:p>
        <w:p>
          <w:pPr>
            <w:pStyle w:val="Contents4"/>
            <w:tabs>
              <w:tab w:val="clear" w:pos="8176"/>
              <w:tab w:val="right" w:pos="9026" w:leader="dot"/>
            </w:tabs>
            <w:rPr/>
          </w:pPr>
          <w:hyperlink w:anchor="__RefHeading___Toc8895939_417432637">
            <w:r>
              <w:rPr>
                <w:webHidden/>
                <w:rStyle w:val="IndexLink"/>
                <w:rtl w:val="true"/>
              </w:rPr>
              <w:t>[</w:t>
            </w:r>
            <w:r>
              <w:rPr>
                <w:rStyle w:val="IndexLink"/>
                <w:rtl w:val="true"/>
              </w:rPr>
              <w:t xml:space="preserve">مسألة </w:t>
            </w:r>
            <w:r>
              <w:rPr>
                <w:rStyle w:val="IndexLink"/>
              </w:rPr>
              <w:t>4</w:t>
            </w:r>
            <w:r>
              <w:rPr>
                <w:rStyle w:val="IndexLink"/>
                <w:rtl w:val="true"/>
              </w:rPr>
              <w:t xml:space="preserve">: </w:t>
            </w:r>
            <w:r>
              <w:rPr>
                <w:rStyle w:val="IndexLink"/>
                <w:rtl w:val="true"/>
              </w:rPr>
              <w:t>الماء المطلق بجميع أقسامه، يتنجّس فيما إذا تغيّر</w:t>
            </w:r>
            <w:r>
              <w:rPr>
                <w:rStyle w:val="IndexLink"/>
                <w:rtl w:val="true"/>
              </w:rPr>
              <w:t>]</w:t>
              <w:tab/>
            </w:r>
            <w:r>
              <w:rPr>
                <w:rStyle w:val="IndexLink"/>
              </w:rPr>
              <w:t>31</w:t>
            </w:r>
          </w:hyperlink>
        </w:p>
        <w:p>
          <w:pPr>
            <w:pStyle w:val="Contents4"/>
            <w:tabs>
              <w:tab w:val="clear" w:pos="8176"/>
              <w:tab w:val="right" w:pos="9026" w:leader="dot"/>
            </w:tabs>
            <w:rPr/>
          </w:pPr>
          <w:hyperlink w:anchor="__RefHeading___Toc8895941_417432637">
            <w:r>
              <w:rPr>
                <w:webHidden/>
                <w:rStyle w:val="IndexLink"/>
                <w:rtl w:val="true"/>
              </w:rPr>
              <w:t>[</w:t>
            </w:r>
            <w:r>
              <w:rPr>
                <w:rStyle w:val="IndexLink"/>
                <w:rtl w:val="true"/>
              </w:rPr>
              <w:t xml:space="preserve">مسألة </w:t>
            </w:r>
            <w:r>
              <w:rPr>
                <w:rStyle w:val="IndexLink"/>
              </w:rPr>
              <w:t>5</w:t>
            </w:r>
            <w:r>
              <w:rPr>
                <w:rStyle w:val="IndexLink"/>
                <w:rtl w:val="true"/>
              </w:rPr>
              <w:t xml:space="preserve">: </w:t>
            </w:r>
            <w:r>
              <w:rPr>
                <w:rStyle w:val="IndexLink"/>
                <w:rtl w:val="true"/>
              </w:rPr>
              <w:t>المعتبر تأثّر الماء بأوصاف النجاسة، لا المتنجّس</w:t>
            </w:r>
            <w:r>
              <w:rPr>
                <w:rStyle w:val="IndexLink"/>
                <w:rtl w:val="true"/>
              </w:rPr>
              <w:t>]</w:t>
              <w:tab/>
            </w:r>
            <w:r>
              <w:rPr>
                <w:rStyle w:val="IndexLink"/>
              </w:rPr>
              <w:t>35</w:t>
            </w:r>
          </w:hyperlink>
        </w:p>
        <w:p>
          <w:pPr>
            <w:pStyle w:val="Contents4"/>
            <w:tabs>
              <w:tab w:val="clear" w:pos="8176"/>
              <w:tab w:val="right" w:pos="9026" w:leader="dot"/>
            </w:tabs>
            <w:rPr/>
          </w:pPr>
          <w:hyperlink w:anchor="__RefHeading___Toc8895943_417432637">
            <w:r>
              <w:rPr>
                <w:webHidden/>
                <w:rStyle w:val="IndexLink"/>
                <w:rtl w:val="true"/>
              </w:rPr>
              <w:t>[</w:t>
            </w:r>
            <w:r>
              <w:rPr>
                <w:rStyle w:val="IndexLink"/>
                <w:rtl w:val="true"/>
              </w:rPr>
              <w:t xml:space="preserve">مسألة </w:t>
            </w:r>
            <w:r>
              <w:rPr>
                <w:rStyle w:val="IndexLink"/>
              </w:rPr>
              <w:t>6</w:t>
            </w:r>
            <w:r>
              <w:rPr>
                <w:rStyle w:val="IndexLink"/>
                <w:rtl w:val="true"/>
              </w:rPr>
              <w:t xml:space="preserve">: </w:t>
            </w:r>
            <w:r>
              <w:rPr>
                <w:rStyle w:val="IndexLink"/>
                <w:rtl w:val="true"/>
              </w:rPr>
              <w:t>المناط تغيّر أحد الأوصاف الثلاثة</w:t>
            </w:r>
            <w:r>
              <w:rPr>
                <w:rStyle w:val="IndexLink"/>
                <w:rtl w:val="true"/>
              </w:rPr>
              <w:t>]</w:t>
              <w:tab/>
            </w:r>
            <w:r>
              <w:rPr>
                <w:rStyle w:val="IndexLink"/>
              </w:rPr>
              <w:t>36</w:t>
            </w:r>
          </w:hyperlink>
        </w:p>
        <w:p>
          <w:pPr>
            <w:pStyle w:val="Contents4"/>
            <w:tabs>
              <w:tab w:val="clear" w:pos="8176"/>
              <w:tab w:val="right" w:pos="9026" w:leader="dot"/>
            </w:tabs>
            <w:rPr/>
          </w:pPr>
          <w:hyperlink w:anchor="__RefHeading___Toc8895945_417432637">
            <w:r>
              <w:rPr>
                <w:webHidden/>
                <w:rStyle w:val="IndexLink"/>
                <w:rtl w:val="true"/>
              </w:rPr>
              <w:t>[</w:t>
            </w:r>
            <w:r>
              <w:rPr>
                <w:rStyle w:val="IndexLink"/>
                <w:rtl w:val="true"/>
              </w:rPr>
              <w:t xml:space="preserve">مسألة </w:t>
            </w:r>
            <w:r>
              <w:rPr>
                <w:rStyle w:val="IndexLink"/>
              </w:rPr>
              <w:t>7</w:t>
            </w:r>
            <w:r>
              <w:rPr>
                <w:rStyle w:val="IndexLink"/>
                <w:rtl w:val="true"/>
              </w:rPr>
              <w:t xml:space="preserve">: </w:t>
            </w:r>
            <w:r>
              <w:rPr>
                <w:rStyle w:val="IndexLink"/>
                <w:rtl w:val="true"/>
              </w:rPr>
              <w:t>لو وقع في الماء المعتصم، متنجّس حامل لوصف النجس</w:t>
            </w:r>
            <w:r>
              <w:rPr>
                <w:rStyle w:val="IndexLink"/>
                <w:rtl w:val="true"/>
              </w:rPr>
              <w:t>]</w:t>
              <w:tab/>
            </w:r>
            <w:r>
              <w:rPr>
                <w:rStyle w:val="IndexLink"/>
              </w:rPr>
              <w:t>39</w:t>
            </w:r>
          </w:hyperlink>
        </w:p>
        <w:p>
          <w:pPr>
            <w:pStyle w:val="Contents4"/>
            <w:tabs>
              <w:tab w:val="clear" w:pos="8176"/>
              <w:tab w:val="right" w:pos="9026" w:leader="dot"/>
            </w:tabs>
            <w:rPr/>
          </w:pPr>
          <w:hyperlink w:anchor="__RefHeading___Toc8895947_417432637">
            <w:r>
              <w:rPr>
                <w:webHidden/>
                <w:rStyle w:val="IndexLink"/>
                <w:rtl w:val="true"/>
              </w:rPr>
              <w:t>[</w:t>
            </w:r>
            <w:r>
              <w:rPr>
                <w:rStyle w:val="IndexLink"/>
                <w:rtl w:val="true"/>
              </w:rPr>
              <w:t xml:space="preserve">مسألة </w:t>
            </w:r>
            <w:r>
              <w:rPr>
                <w:rStyle w:val="IndexLink"/>
              </w:rPr>
              <w:t>8</w:t>
            </w:r>
            <w:r>
              <w:rPr>
                <w:rStyle w:val="IndexLink"/>
                <w:rtl w:val="true"/>
              </w:rPr>
              <w:t xml:space="preserve">: </w:t>
            </w:r>
            <w:r>
              <w:rPr>
                <w:rStyle w:val="IndexLink"/>
                <w:rtl w:val="true"/>
              </w:rPr>
              <w:t>الماء الجاري</w:t>
            </w:r>
            <w:r>
              <w:rPr>
                <w:rStyle w:val="IndexLink"/>
                <w:rtl w:val="true"/>
              </w:rPr>
              <w:t>]</w:t>
              <w:tab/>
            </w:r>
            <w:r>
              <w:rPr>
                <w:rStyle w:val="IndexLink"/>
              </w:rPr>
              <w:t>41</w:t>
            </w:r>
          </w:hyperlink>
        </w:p>
        <w:p>
          <w:pPr>
            <w:pStyle w:val="Contents4"/>
            <w:tabs>
              <w:tab w:val="clear" w:pos="8176"/>
              <w:tab w:val="right" w:pos="9026" w:leader="dot"/>
            </w:tabs>
            <w:rPr/>
          </w:pPr>
          <w:hyperlink w:anchor="__RefHeading___Toc8895949_417432637">
            <w:r>
              <w:rPr>
                <w:webHidden/>
                <w:rStyle w:val="IndexLink"/>
                <w:rtl w:val="true"/>
              </w:rPr>
              <w:t>[</w:t>
            </w:r>
            <w:r>
              <w:rPr>
                <w:rStyle w:val="IndexLink"/>
                <w:rtl w:val="true"/>
              </w:rPr>
              <w:t xml:space="preserve">مسألة </w:t>
            </w:r>
            <w:r>
              <w:rPr>
                <w:rStyle w:val="IndexLink"/>
              </w:rPr>
              <w:t>9</w:t>
            </w:r>
            <w:r>
              <w:rPr>
                <w:rStyle w:val="IndexLink"/>
                <w:rtl w:val="true"/>
              </w:rPr>
              <w:t xml:space="preserve">: </w:t>
            </w:r>
            <w:r>
              <w:rPr>
                <w:rStyle w:val="IndexLink"/>
                <w:rtl w:val="true"/>
              </w:rPr>
              <w:t>الراكد المتّصل بالجاري حكمه حكم الجاري</w:t>
            </w:r>
            <w:r>
              <w:rPr>
                <w:rStyle w:val="IndexLink"/>
                <w:rtl w:val="true"/>
              </w:rPr>
              <w:t>]</w:t>
              <w:tab/>
            </w:r>
            <w:r>
              <w:rPr>
                <w:rStyle w:val="IndexLink"/>
              </w:rPr>
              <w:t>52</w:t>
            </w:r>
          </w:hyperlink>
        </w:p>
        <w:p>
          <w:pPr>
            <w:pStyle w:val="Contents4"/>
            <w:tabs>
              <w:tab w:val="clear" w:pos="8176"/>
              <w:tab w:val="right" w:pos="9026" w:leader="dot"/>
            </w:tabs>
            <w:rPr/>
          </w:pPr>
          <w:hyperlink w:anchor="__RefHeading___Toc8895951_417432637">
            <w:r>
              <w:rPr>
                <w:webHidden/>
                <w:rStyle w:val="IndexLink"/>
                <w:rtl w:val="true"/>
              </w:rPr>
              <w:t>[</w:t>
            </w:r>
            <w:r>
              <w:rPr>
                <w:rStyle w:val="IndexLink"/>
                <w:rtl w:val="true"/>
              </w:rPr>
              <w:t xml:space="preserve">مسألة </w:t>
            </w:r>
            <w:r>
              <w:rPr>
                <w:rStyle w:val="IndexLink"/>
              </w:rPr>
              <w:t>10</w:t>
            </w:r>
            <w:r>
              <w:rPr>
                <w:rStyle w:val="IndexLink"/>
                <w:rtl w:val="true"/>
              </w:rPr>
              <w:t xml:space="preserve">: </w:t>
            </w:r>
            <w:r>
              <w:rPr>
                <w:rStyle w:val="IndexLink"/>
                <w:rtl w:val="true"/>
              </w:rPr>
              <w:t>يطهر الجاري و ما في حكمه</w:t>
            </w:r>
            <w:r>
              <w:rPr>
                <w:rStyle w:val="IndexLink"/>
                <w:rtl w:val="true"/>
              </w:rPr>
              <w:t>]</w:t>
              <w:tab/>
            </w:r>
            <w:r>
              <w:rPr>
                <w:rStyle w:val="IndexLink"/>
              </w:rPr>
              <w:t>53</w:t>
            </w:r>
          </w:hyperlink>
        </w:p>
        <w:p>
          <w:pPr>
            <w:pStyle w:val="Contents4"/>
            <w:tabs>
              <w:tab w:val="clear" w:pos="8176"/>
              <w:tab w:val="right" w:pos="9026" w:leader="dot"/>
            </w:tabs>
            <w:rPr/>
          </w:pPr>
          <w:hyperlink w:anchor="__RefHeading___Toc8895953_417432637">
            <w:r>
              <w:rPr>
                <w:webHidden/>
                <w:rStyle w:val="IndexLink"/>
                <w:rtl w:val="true"/>
              </w:rPr>
              <w:t>[</w:t>
            </w:r>
            <w:r>
              <w:rPr>
                <w:rStyle w:val="IndexLink"/>
                <w:rtl w:val="true"/>
              </w:rPr>
              <w:t xml:space="preserve">مسألة </w:t>
            </w:r>
            <w:r>
              <w:rPr>
                <w:rStyle w:val="IndexLink"/>
              </w:rPr>
              <w:t>11</w:t>
            </w:r>
            <w:r>
              <w:rPr>
                <w:rStyle w:val="IndexLink"/>
                <w:rtl w:val="true"/>
              </w:rPr>
              <w:t xml:space="preserve">: </w:t>
            </w:r>
            <w:r>
              <w:rPr>
                <w:rStyle w:val="IndexLink"/>
                <w:rtl w:val="true"/>
              </w:rPr>
              <w:t>الراكد بلا مادّة ينجس بملاقاة النجاسة</w:t>
            </w:r>
            <w:r>
              <w:rPr>
                <w:rStyle w:val="IndexLink"/>
                <w:rtl w:val="true"/>
              </w:rPr>
              <w:t>]</w:t>
              <w:tab/>
            </w:r>
            <w:r>
              <w:rPr>
                <w:rStyle w:val="IndexLink"/>
              </w:rPr>
              <w:t>56</w:t>
            </w:r>
          </w:hyperlink>
        </w:p>
        <w:p>
          <w:pPr>
            <w:pStyle w:val="Contents4"/>
            <w:tabs>
              <w:tab w:val="clear" w:pos="8176"/>
              <w:tab w:val="right" w:pos="9026" w:leader="dot"/>
            </w:tabs>
            <w:rPr/>
          </w:pPr>
          <w:hyperlink w:anchor="__RefHeading___Toc8895955_417432637">
            <w:r>
              <w:rPr>
                <w:webHidden/>
                <w:rStyle w:val="IndexLink"/>
                <w:rtl w:val="true"/>
              </w:rPr>
              <w:t>[</w:t>
            </w:r>
            <w:r>
              <w:rPr>
                <w:rStyle w:val="IndexLink"/>
                <w:rtl w:val="true"/>
              </w:rPr>
              <w:t xml:space="preserve">مسألة </w:t>
            </w:r>
            <w:r>
              <w:rPr>
                <w:rStyle w:val="IndexLink"/>
              </w:rPr>
              <w:t>12</w:t>
            </w:r>
            <w:r>
              <w:rPr>
                <w:rStyle w:val="IndexLink"/>
                <w:rtl w:val="true"/>
              </w:rPr>
              <w:t xml:space="preserve">: </w:t>
            </w:r>
            <w:r>
              <w:rPr>
                <w:rStyle w:val="IndexLink"/>
                <w:rtl w:val="true"/>
              </w:rPr>
              <w:t>إذا كان الماء قليلًا، و شكّ في أنّ له مادّة أم لا</w:t>
            </w:r>
            <w:r>
              <w:rPr>
                <w:rStyle w:val="IndexLink"/>
                <w:rtl w:val="true"/>
              </w:rPr>
              <w:t>]</w:t>
              <w:tab/>
            </w:r>
            <w:r>
              <w:rPr>
                <w:rStyle w:val="IndexLink"/>
              </w:rPr>
              <w:t>64</w:t>
            </w:r>
          </w:hyperlink>
        </w:p>
        <w:p>
          <w:pPr>
            <w:pStyle w:val="Contents4"/>
            <w:tabs>
              <w:tab w:val="clear" w:pos="8176"/>
              <w:tab w:val="right" w:pos="9026" w:leader="dot"/>
            </w:tabs>
            <w:rPr/>
          </w:pPr>
          <w:hyperlink w:anchor="__RefHeading___Toc8895957_417432637">
            <w:r>
              <w:rPr>
                <w:webHidden/>
                <w:rStyle w:val="IndexLink"/>
                <w:rtl w:val="true"/>
              </w:rPr>
              <w:t>[</w:t>
            </w:r>
            <w:r>
              <w:rPr>
                <w:rStyle w:val="IndexLink"/>
                <w:rtl w:val="true"/>
              </w:rPr>
              <w:t xml:space="preserve">مسألة </w:t>
            </w:r>
            <w:r>
              <w:rPr>
                <w:rStyle w:val="IndexLink"/>
              </w:rPr>
              <w:t>13</w:t>
            </w:r>
            <w:r>
              <w:rPr>
                <w:rStyle w:val="IndexLink"/>
                <w:rtl w:val="true"/>
              </w:rPr>
              <w:t xml:space="preserve">: </w:t>
            </w:r>
            <w:r>
              <w:rPr>
                <w:rStyle w:val="IndexLink"/>
                <w:rtl w:val="true"/>
              </w:rPr>
              <w:t>الرّاكد إذا بلغ كُرّاً</w:t>
            </w:r>
            <w:r>
              <w:rPr>
                <w:rStyle w:val="IndexLink"/>
                <w:rtl w:val="true"/>
              </w:rPr>
              <w:t>]</w:t>
              <w:tab/>
            </w:r>
            <w:r>
              <w:rPr>
                <w:rStyle w:val="IndexLink"/>
              </w:rPr>
              <w:t>67</w:t>
            </w:r>
          </w:hyperlink>
        </w:p>
        <w:p>
          <w:pPr>
            <w:pStyle w:val="Contents4"/>
            <w:tabs>
              <w:tab w:val="clear" w:pos="8176"/>
              <w:tab w:val="right" w:pos="9026" w:leader="dot"/>
            </w:tabs>
            <w:rPr/>
          </w:pPr>
          <w:hyperlink w:anchor="__RefHeading___Toc8895959_417432637">
            <w:r>
              <w:rPr>
                <w:webHidden/>
                <w:rStyle w:val="IndexLink"/>
                <w:rtl w:val="true"/>
              </w:rPr>
              <w:t>[</w:t>
            </w:r>
            <w:r>
              <w:rPr>
                <w:rStyle w:val="IndexLink"/>
                <w:rtl w:val="true"/>
              </w:rPr>
              <w:t xml:space="preserve">مسألة </w:t>
            </w:r>
            <w:r>
              <w:rPr>
                <w:rStyle w:val="IndexLink"/>
              </w:rPr>
              <w:t>14</w:t>
            </w:r>
            <w:r>
              <w:rPr>
                <w:rStyle w:val="IndexLink"/>
                <w:rtl w:val="true"/>
              </w:rPr>
              <w:t xml:space="preserve">: </w:t>
            </w:r>
            <w:r>
              <w:rPr>
                <w:rStyle w:val="IndexLink"/>
                <w:rtl w:val="true"/>
              </w:rPr>
              <w:t>للكرّ تقديران</w:t>
            </w:r>
            <w:r>
              <w:rPr>
                <w:rStyle w:val="IndexLink"/>
                <w:rtl w:val="true"/>
              </w:rPr>
              <w:t>]</w:t>
              <w:tab/>
            </w:r>
            <w:r>
              <w:rPr>
                <w:rStyle w:val="IndexLink"/>
              </w:rPr>
              <w:t>69</w:t>
            </w:r>
          </w:hyperlink>
        </w:p>
        <w:p>
          <w:pPr>
            <w:pStyle w:val="Contents4"/>
            <w:tabs>
              <w:tab w:val="clear" w:pos="8176"/>
              <w:tab w:val="right" w:pos="9026" w:leader="dot"/>
            </w:tabs>
            <w:rPr/>
          </w:pPr>
          <w:hyperlink w:anchor="__RefHeading___Toc8895961_417432637">
            <w:r>
              <w:rPr>
                <w:webHidden/>
                <w:rStyle w:val="IndexLink"/>
                <w:rtl w:val="true"/>
              </w:rPr>
              <w:t>[</w:t>
            </w:r>
            <w:r>
              <w:rPr>
                <w:rStyle w:val="IndexLink"/>
                <w:rtl w:val="true"/>
              </w:rPr>
              <w:t xml:space="preserve">مسألة </w:t>
            </w:r>
            <w:r>
              <w:rPr>
                <w:rStyle w:val="IndexLink"/>
              </w:rPr>
              <w:t>15</w:t>
            </w:r>
            <w:r>
              <w:rPr>
                <w:rStyle w:val="IndexLink"/>
                <w:rtl w:val="true"/>
              </w:rPr>
              <w:t xml:space="preserve">: </w:t>
            </w:r>
            <w:r>
              <w:rPr>
                <w:rStyle w:val="IndexLink"/>
                <w:rtl w:val="true"/>
              </w:rPr>
              <w:t>الماء المشكوك كرّيّته إن علم حالته السابقة، يبني على تلك الحالة</w:t>
            </w:r>
            <w:r>
              <w:rPr>
                <w:rStyle w:val="IndexLink"/>
                <w:rtl w:val="true"/>
              </w:rPr>
              <w:t>]</w:t>
              <w:tab/>
            </w:r>
            <w:r>
              <w:rPr>
                <w:rStyle w:val="IndexLink"/>
              </w:rPr>
              <w:t>80</w:t>
            </w:r>
          </w:hyperlink>
        </w:p>
        <w:p>
          <w:pPr>
            <w:pStyle w:val="Contents4"/>
            <w:tabs>
              <w:tab w:val="clear" w:pos="8176"/>
              <w:tab w:val="right" w:pos="9026" w:leader="dot"/>
            </w:tabs>
            <w:rPr/>
          </w:pPr>
          <w:hyperlink w:anchor="__RefHeading___Toc8895963_417432637">
            <w:r>
              <w:rPr>
                <w:webHidden/>
                <w:rStyle w:val="IndexLink"/>
                <w:rtl w:val="true"/>
              </w:rPr>
              <w:t>[</w:t>
            </w:r>
            <w:r>
              <w:rPr>
                <w:rStyle w:val="IndexLink"/>
                <w:rtl w:val="true"/>
              </w:rPr>
              <w:t xml:space="preserve">مسألة </w:t>
            </w:r>
            <w:r>
              <w:rPr>
                <w:rStyle w:val="IndexLink"/>
              </w:rPr>
              <w:t>16</w:t>
            </w:r>
            <w:r>
              <w:rPr>
                <w:rStyle w:val="IndexLink"/>
                <w:rtl w:val="true"/>
              </w:rPr>
              <w:t xml:space="preserve">: </w:t>
            </w:r>
            <w:r>
              <w:rPr>
                <w:rStyle w:val="IndexLink"/>
                <w:rtl w:val="true"/>
              </w:rPr>
              <w:t>إذا كان الماء قليلًا فصار كرّاً</w:t>
            </w:r>
            <w:r>
              <w:rPr>
                <w:rStyle w:val="IndexLink"/>
                <w:rtl w:val="true"/>
              </w:rPr>
              <w:t>]</w:t>
              <w:tab/>
            </w:r>
            <w:r>
              <w:rPr>
                <w:rStyle w:val="IndexLink"/>
              </w:rPr>
              <w:t>84</w:t>
            </w:r>
          </w:hyperlink>
        </w:p>
        <w:p>
          <w:pPr>
            <w:pStyle w:val="Contents4"/>
            <w:tabs>
              <w:tab w:val="clear" w:pos="8176"/>
              <w:tab w:val="right" w:pos="9026" w:leader="dot"/>
            </w:tabs>
            <w:rPr/>
          </w:pPr>
          <w:hyperlink w:anchor="__RefHeading___Toc8895965_417432637">
            <w:r>
              <w:rPr>
                <w:webHidden/>
                <w:rStyle w:val="IndexLink"/>
                <w:rtl w:val="true"/>
              </w:rPr>
              <w:t>[</w:t>
            </w:r>
            <w:r>
              <w:rPr>
                <w:rStyle w:val="IndexLink"/>
                <w:rtl w:val="true"/>
              </w:rPr>
              <w:t xml:space="preserve">مسألة </w:t>
            </w:r>
            <w:r>
              <w:rPr>
                <w:rStyle w:val="IndexLink"/>
              </w:rPr>
              <w:t>17</w:t>
            </w:r>
            <w:r>
              <w:rPr>
                <w:rStyle w:val="IndexLink"/>
                <w:rtl w:val="true"/>
              </w:rPr>
              <w:t xml:space="preserve">: </w:t>
            </w:r>
            <w:r>
              <w:rPr>
                <w:rStyle w:val="IndexLink"/>
                <w:rtl w:val="true"/>
              </w:rPr>
              <w:t>ماء المطر حال نزوله من السماء كالجاري</w:t>
            </w:r>
            <w:r>
              <w:rPr>
                <w:rStyle w:val="IndexLink"/>
                <w:rtl w:val="true"/>
              </w:rPr>
              <w:t>]</w:t>
              <w:tab/>
            </w:r>
            <w:r>
              <w:rPr>
                <w:rStyle w:val="IndexLink"/>
              </w:rPr>
              <w:t>92</w:t>
            </w:r>
          </w:hyperlink>
        </w:p>
        <w:p>
          <w:pPr>
            <w:pStyle w:val="Contents4"/>
            <w:tabs>
              <w:tab w:val="clear" w:pos="8176"/>
              <w:tab w:val="right" w:pos="9026" w:leader="dot"/>
            </w:tabs>
            <w:rPr/>
          </w:pPr>
          <w:hyperlink w:anchor="__RefHeading___Toc8895967_417432637">
            <w:r>
              <w:rPr>
                <w:webHidden/>
                <w:rStyle w:val="IndexLink"/>
                <w:rtl w:val="true"/>
              </w:rPr>
              <w:t>[</w:t>
            </w:r>
            <w:r>
              <w:rPr>
                <w:rStyle w:val="IndexLink"/>
                <w:rtl w:val="true"/>
              </w:rPr>
              <w:t xml:space="preserve">مسألة </w:t>
            </w:r>
            <w:r>
              <w:rPr>
                <w:rStyle w:val="IndexLink"/>
              </w:rPr>
              <w:t>18</w:t>
            </w:r>
            <w:r>
              <w:rPr>
                <w:rStyle w:val="IndexLink"/>
                <w:rtl w:val="true"/>
              </w:rPr>
              <w:t xml:space="preserve">: </w:t>
            </w:r>
            <w:r>
              <w:rPr>
                <w:rStyle w:val="IndexLink"/>
                <w:rtl w:val="true"/>
              </w:rPr>
              <w:t xml:space="preserve">المراد ب </w:t>
            </w:r>
            <w:r>
              <w:rPr>
                <w:rStyle w:val="IndexLink"/>
                <w:rtl w:val="true"/>
              </w:rPr>
              <w:t>«</w:t>
            </w:r>
            <w:r>
              <w:rPr>
                <w:rStyle w:val="IndexLink"/>
                <w:rtl w:val="true"/>
              </w:rPr>
              <w:t>ماء المطر</w:t>
            </w:r>
            <w:r>
              <w:rPr>
                <w:rStyle w:val="IndexLink"/>
                <w:rtl w:val="true"/>
              </w:rPr>
              <w:t xml:space="preserve">» </w:t>
            </w:r>
            <w:r>
              <w:rPr>
                <w:rStyle w:val="IndexLink"/>
                <w:rtl w:val="true"/>
              </w:rPr>
              <w:t>الذي لا يتنجّس إلّا بالتغير؛ القطراتُ النازلة</w:t>
            </w:r>
            <w:r>
              <w:rPr>
                <w:rStyle w:val="IndexLink"/>
                <w:rtl w:val="true"/>
              </w:rPr>
              <w:t>]</w:t>
              <w:tab/>
            </w:r>
            <w:r>
              <w:rPr>
                <w:rStyle w:val="IndexLink"/>
              </w:rPr>
              <w:t>97</w:t>
            </w:r>
          </w:hyperlink>
        </w:p>
        <w:p>
          <w:pPr>
            <w:pStyle w:val="Contents4"/>
            <w:tabs>
              <w:tab w:val="clear" w:pos="8176"/>
              <w:tab w:val="right" w:pos="9026" w:leader="dot"/>
            </w:tabs>
            <w:rPr/>
          </w:pPr>
          <w:hyperlink w:anchor="__RefHeading___Toc8895969_417432637">
            <w:r>
              <w:rPr>
                <w:webHidden/>
                <w:rStyle w:val="IndexLink"/>
                <w:rtl w:val="true"/>
              </w:rPr>
              <w:t>[</w:t>
            </w:r>
            <w:r>
              <w:rPr>
                <w:rStyle w:val="IndexLink"/>
                <w:rtl w:val="true"/>
              </w:rPr>
              <w:t xml:space="preserve">مسألة </w:t>
            </w:r>
            <w:r>
              <w:rPr>
                <w:rStyle w:val="IndexLink"/>
              </w:rPr>
              <w:t>19</w:t>
            </w:r>
            <w:r>
              <w:rPr>
                <w:rStyle w:val="IndexLink"/>
                <w:rtl w:val="true"/>
              </w:rPr>
              <w:t xml:space="preserve">: </w:t>
            </w:r>
            <w:r>
              <w:rPr>
                <w:rStyle w:val="IndexLink"/>
                <w:rtl w:val="true"/>
              </w:rPr>
              <w:t>يطهّر المطر كلّ ما أصابه من المتنجّسات القابلة للتطهير</w:t>
            </w:r>
            <w:r>
              <w:rPr>
                <w:rStyle w:val="IndexLink"/>
                <w:rtl w:val="true"/>
              </w:rPr>
              <w:t>]</w:t>
              <w:tab/>
            </w:r>
            <w:r>
              <w:rPr>
                <w:rStyle w:val="IndexLink"/>
              </w:rPr>
              <w:t>100</w:t>
            </w:r>
          </w:hyperlink>
        </w:p>
        <w:p>
          <w:pPr>
            <w:pStyle w:val="Contents4"/>
            <w:tabs>
              <w:tab w:val="clear" w:pos="8176"/>
              <w:tab w:val="right" w:pos="9026" w:leader="dot"/>
            </w:tabs>
            <w:rPr/>
          </w:pPr>
          <w:hyperlink w:anchor="__RefHeading___Toc8895971_417432637">
            <w:r>
              <w:rPr>
                <w:webHidden/>
                <w:rStyle w:val="IndexLink"/>
                <w:rtl w:val="true"/>
              </w:rPr>
              <w:t>[</w:t>
            </w:r>
            <w:r>
              <w:rPr>
                <w:rStyle w:val="IndexLink"/>
                <w:rtl w:val="true"/>
              </w:rPr>
              <w:t xml:space="preserve">مسألة </w:t>
            </w:r>
            <w:r>
              <w:rPr>
                <w:rStyle w:val="IndexLink"/>
              </w:rPr>
              <w:t>20</w:t>
            </w:r>
            <w:r>
              <w:rPr>
                <w:rStyle w:val="IndexLink"/>
                <w:rtl w:val="true"/>
              </w:rPr>
              <w:t xml:space="preserve">: </w:t>
            </w:r>
            <w:r>
              <w:rPr>
                <w:rStyle w:val="IndexLink"/>
                <w:rtl w:val="true"/>
              </w:rPr>
              <w:t>الفراش النجس إذا وصل إلى جميعه المطر، و نفذ في جميعه</w:t>
            </w:r>
            <w:r>
              <w:rPr>
                <w:rStyle w:val="IndexLink"/>
                <w:rtl w:val="true"/>
              </w:rPr>
              <w:t>]</w:t>
              <w:tab/>
            </w:r>
            <w:r>
              <w:rPr>
                <w:rStyle w:val="IndexLink"/>
              </w:rPr>
              <w:t>107</w:t>
            </w:r>
          </w:hyperlink>
        </w:p>
        <w:p>
          <w:pPr>
            <w:pStyle w:val="Contents4"/>
            <w:tabs>
              <w:tab w:val="clear" w:pos="8176"/>
              <w:tab w:val="right" w:pos="9026" w:leader="dot"/>
            </w:tabs>
            <w:rPr/>
          </w:pPr>
          <w:hyperlink w:anchor="__RefHeading___Toc8895973_417432637">
            <w:r>
              <w:rPr>
                <w:webHidden/>
                <w:rStyle w:val="IndexLink"/>
                <w:rtl w:val="true"/>
              </w:rPr>
              <w:t>[</w:t>
            </w:r>
            <w:r>
              <w:rPr>
                <w:rStyle w:val="IndexLink"/>
                <w:rtl w:val="true"/>
              </w:rPr>
              <w:t xml:space="preserve">مسألة </w:t>
            </w:r>
            <w:r>
              <w:rPr>
                <w:rStyle w:val="IndexLink"/>
              </w:rPr>
              <w:t>21</w:t>
            </w:r>
            <w:r>
              <w:rPr>
                <w:rStyle w:val="IndexLink"/>
                <w:rtl w:val="true"/>
              </w:rPr>
              <w:t xml:space="preserve">: </w:t>
            </w:r>
            <w:r>
              <w:rPr>
                <w:rStyle w:val="IndexLink"/>
                <w:rtl w:val="true"/>
              </w:rPr>
              <w:t>إذا كان السطح نجساً، فنفذ فيه الماء، و تقاطر من السقف حال نزول المطر</w:t>
            </w:r>
            <w:r>
              <w:rPr>
                <w:rStyle w:val="IndexLink"/>
                <w:rtl w:val="true"/>
              </w:rPr>
              <w:t>]</w:t>
              <w:tab/>
            </w:r>
            <w:r>
              <w:rPr>
                <w:rStyle w:val="IndexLink"/>
              </w:rPr>
              <w:t>108</w:t>
            </w:r>
          </w:hyperlink>
        </w:p>
        <w:p>
          <w:pPr>
            <w:pStyle w:val="Contents4"/>
            <w:tabs>
              <w:tab w:val="clear" w:pos="8176"/>
              <w:tab w:val="right" w:pos="9026" w:leader="dot"/>
            </w:tabs>
            <w:rPr/>
          </w:pPr>
          <w:hyperlink w:anchor="__RefHeading___Toc8895975_417432637">
            <w:r>
              <w:rPr>
                <w:webHidden/>
                <w:rStyle w:val="IndexLink"/>
                <w:rtl w:val="true"/>
              </w:rPr>
              <w:t>[</w:t>
            </w:r>
            <w:r>
              <w:rPr>
                <w:rStyle w:val="IndexLink"/>
                <w:rtl w:val="true"/>
              </w:rPr>
              <w:t xml:space="preserve">مسألة </w:t>
            </w:r>
            <w:r>
              <w:rPr>
                <w:rStyle w:val="IndexLink"/>
              </w:rPr>
              <w:t>22</w:t>
            </w:r>
            <w:r>
              <w:rPr>
                <w:rStyle w:val="IndexLink"/>
                <w:rtl w:val="true"/>
              </w:rPr>
              <w:t xml:space="preserve">: </w:t>
            </w:r>
            <w:r>
              <w:rPr>
                <w:rStyle w:val="IndexLink"/>
                <w:rtl w:val="true"/>
              </w:rPr>
              <w:t>الماء الراكد النجس، يطهر بنزول المطر عليه و امتزاجه به</w:t>
            </w:r>
            <w:r>
              <w:rPr>
                <w:rStyle w:val="IndexLink"/>
                <w:rtl w:val="true"/>
              </w:rPr>
              <w:t>]</w:t>
              <w:tab/>
            </w:r>
            <w:r>
              <w:rPr>
                <w:rStyle w:val="IndexLink"/>
              </w:rPr>
              <w:t>110</w:t>
            </w:r>
          </w:hyperlink>
        </w:p>
        <w:p>
          <w:pPr>
            <w:pStyle w:val="Contents4"/>
            <w:tabs>
              <w:tab w:val="clear" w:pos="8176"/>
              <w:tab w:val="right" w:pos="9026" w:leader="dot"/>
            </w:tabs>
            <w:rPr/>
          </w:pPr>
          <w:hyperlink w:anchor="__RefHeading___Toc8895977_417432637">
            <w:r>
              <w:rPr>
                <w:webHidden/>
                <w:rStyle w:val="IndexLink"/>
                <w:rtl w:val="true"/>
              </w:rPr>
              <w:t>[</w:t>
            </w:r>
            <w:r>
              <w:rPr>
                <w:rStyle w:val="IndexLink"/>
                <w:rtl w:val="true"/>
              </w:rPr>
              <w:t xml:space="preserve">مسألة </w:t>
            </w:r>
            <w:r>
              <w:rPr>
                <w:rStyle w:val="IndexLink"/>
              </w:rPr>
              <w:t>23</w:t>
            </w:r>
            <w:r>
              <w:rPr>
                <w:rStyle w:val="IndexLink"/>
                <w:rtl w:val="true"/>
              </w:rPr>
              <w:t xml:space="preserve">: </w:t>
            </w:r>
            <w:r>
              <w:rPr>
                <w:rStyle w:val="IndexLink"/>
                <w:rtl w:val="true"/>
              </w:rPr>
              <w:t>الماء المستعمل في الوضوء، لا إشكال في كونه طاهراً</w:t>
            </w:r>
            <w:r>
              <w:rPr>
                <w:rStyle w:val="IndexLink"/>
                <w:rtl w:val="true"/>
              </w:rPr>
              <w:t>]</w:t>
              <w:tab/>
            </w:r>
            <w:r>
              <w:rPr>
                <w:rStyle w:val="IndexLink"/>
              </w:rPr>
              <w:t>111</w:t>
            </w:r>
          </w:hyperlink>
        </w:p>
        <w:p>
          <w:pPr>
            <w:pStyle w:val="Contents4"/>
            <w:tabs>
              <w:tab w:val="clear" w:pos="8176"/>
              <w:tab w:val="right" w:pos="9026" w:leader="dot"/>
            </w:tabs>
            <w:rPr/>
          </w:pPr>
          <w:hyperlink w:anchor="__RefHeading___Toc8895979_417432637">
            <w:r>
              <w:rPr>
                <w:webHidden/>
                <w:rStyle w:val="IndexLink"/>
                <w:rtl w:val="true"/>
              </w:rPr>
              <w:t>[</w:t>
            </w:r>
            <w:r>
              <w:rPr>
                <w:rStyle w:val="IndexLink"/>
                <w:rtl w:val="true"/>
              </w:rPr>
              <w:t xml:space="preserve">مسألة </w:t>
            </w:r>
            <w:r>
              <w:rPr>
                <w:rStyle w:val="IndexLink"/>
              </w:rPr>
              <w:t>24</w:t>
            </w:r>
            <w:r>
              <w:rPr>
                <w:rStyle w:val="IndexLink"/>
                <w:rtl w:val="true"/>
              </w:rPr>
              <w:t xml:space="preserve">: </w:t>
            </w:r>
            <w:r>
              <w:rPr>
                <w:rStyle w:val="IndexLink"/>
                <w:rtl w:val="true"/>
              </w:rPr>
              <w:t>الماء المستعمل في رفع الخبث</w:t>
            </w:r>
            <w:r>
              <w:rPr>
                <w:rStyle w:val="IndexLink"/>
                <w:rtl w:val="true"/>
              </w:rPr>
              <w:t>]</w:t>
              <w:tab/>
            </w:r>
            <w:r>
              <w:rPr>
                <w:rStyle w:val="IndexLink"/>
              </w:rPr>
              <w:t>120</w:t>
            </w:r>
          </w:hyperlink>
        </w:p>
        <w:p>
          <w:pPr>
            <w:pStyle w:val="Contents4"/>
            <w:tabs>
              <w:tab w:val="clear" w:pos="8176"/>
              <w:tab w:val="right" w:pos="9026" w:leader="dot"/>
            </w:tabs>
            <w:rPr/>
          </w:pPr>
          <w:hyperlink w:anchor="__RefHeading___Toc8895981_417432637">
            <w:r>
              <w:rPr>
                <w:webHidden/>
                <w:rStyle w:val="IndexLink"/>
                <w:rtl w:val="true"/>
              </w:rPr>
              <w:t>[</w:t>
            </w:r>
            <w:r>
              <w:rPr>
                <w:rStyle w:val="IndexLink"/>
                <w:rtl w:val="true"/>
              </w:rPr>
              <w:t xml:space="preserve">مسألة </w:t>
            </w:r>
            <w:r>
              <w:rPr>
                <w:rStyle w:val="IndexLink"/>
              </w:rPr>
              <w:t>25</w:t>
            </w:r>
            <w:r>
              <w:rPr>
                <w:rStyle w:val="IndexLink"/>
                <w:rtl w:val="true"/>
              </w:rPr>
              <w:t xml:space="preserve">: </w:t>
            </w:r>
            <w:r>
              <w:rPr>
                <w:rStyle w:val="IndexLink"/>
                <w:rtl w:val="true"/>
              </w:rPr>
              <w:t>ماء الاستنجاء</w:t>
            </w:r>
            <w:r>
              <w:rPr>
                <w:rStyle w:val="IndexLink"/>
                <w:rtl w:val="true"/>
              </w:rPr>
              <w:t>]</w:t>
              <w:tab/>
            </w:r>
            <w:r>
              <w:rPr>
                <w:rStyle w:val="IndexLink"/>
              </w:rPr>
              <w:t>127</w:t>
            </w:r>
          </w:hyperlink>
        </w:p>
        <w:p>
          <w:pPr>
            <w:pStyle w:val="Contents4"/>
            <w:tabs>
              <w:tab w:val="clear" w:pos="8176"/>
              <w:tab w:val="right" w:pos="9026" w:leader="dot"/>
            </w:tabs>
            <w:rPr/>
          </w:pPr>
          <w:hyperlink w:anchor="__RefHeading___Toc8895983_417432637">
            <w:r>
              <w:rPr>
                <w:webHidden/>
                <w:rStyle w:val="IndexLink"/>
                <w:rtl w:val="true"/>
              </w:rPr>
              <w:t>[</w:t>
            </w:r>
            <w:r>
              <w:rPr>
                <w:rStyle w:val="IndexLink"/>
                <w:rtl w:val="true"/>
              </w:rPr>
              <w:t xml:space="preserve">مسألة </w:t>
            </w:r>
            <w:r>
              <w:rPr>
                <w:rStyle w:val="IndexLink"/>
              </w:rPr>
              <w:t>26</w:t>
            </w:r>
            <w:r>
              <w:rPr>
                <w:rStyle w:val="IndexLink"/>
                <w:rtl w:val="true"/>
              </w:rPr>
              <w:t xml:space="preserve">: </w:t>
            </w:r>
            <w:r>
              <w:rPr>
                <w:rStyle w:val="IndexLink"/>
                <w:rtl w:val="true"/>
              </w:rPr>
              <w:t>لا يشترط في طهارة ماء الاستنجاء، سبقُ الماء على اليد</w:t>
            </w:r>
            <w:r>
              <w:rPr>
                <w:rStyle w:val="IndexLink"/>
                <w:rtl w:val="true"/>
              </w:rPr>
              <w:t>]</w:t>
              <w:tab/>
            </w:r>
            <w:r>
              <w:rPr>
                <w:rStyle w:val="IndexLink"/>
              </w:rPr>
              <w:t>136</w:t>
            </w:r>
          </w:hyperlink>
        </w:p>
        <w:p>
          <w:pPr>
            <w:pStyle w:val="Contents4"/>
            <w:tabs>
              <w:tab w:val="clear" w:pos="8176"/>
              <w:tab w:val="right" w:pos="9026" w:leader="dot"/>
            </w:tabs>
            <w:rPr/>
          </w:pPr>
          <w:hyperlink w:anchor="__RefHeading___Toc8895985_417432637">
            <w:r>
              <w:rPr>
                <w:webHidden/>
                <w:rStyle w:val="IndexLink"/>
                <w:rtl w:val="true"/>
              </w:rPr>
              <w:t>[</w:t>
            </w:r>
            <w:r>
              <w:rPr>
                <w:rStyle w:val="IndexLink"/>
                <w:rtl w:val="true"/>
              </w:rPr>
              <w:t xml:space="preserve">مسألة </w:t>
            </w:r>
            <w:r>
              <w:rPr>
                <w:rStyle w:val="IndexLink"/>
              </w:rPr>
              <w:t>27</w:t>
            </w:r>
            <w:r>
              <w:rPr>
                <w:rStyle w:val="IndexLink"/>
                <w:rtl w:val="true"/>
              </w:rPr>
              <w:t xml:space="preserve">: </w:t>
            </w:r>
            <w:r>
              <w:rPr>
                <w:rStyle w:val="IndexLink"/>
                <w:rtl w:val="true"/>
              </w:rPr>
              <w:t>إذا اشتبه نجس بين أطراف محصورة</w:t>
            </w:r>
            <w:r>
              <w:rPr>
                <w:rStyle w:val="IndexLink"/>
                <w:rtl w:val="true"/>
              </w:rPr>
              <w:t>]</w:t>
              <w:tab/>
            </w:r>
            <w:r>
              <w:rPr>
                <w:rStyle w:val="IndexLink"/>
              </w:rPr>
              <w:t>136</w:t>
            </w:r>
          </w:hyperlink>
        </w:p>
        <w:p>
          <w:pPr>
            <w:pStyle w:val="Contents2"/>
            <w:tabs>
              <w:tab w:val="clear" w:pos="8743"/>
              <w:tab w:val="right" w:pos="9026" w:leader="dot"/>
            </w:tabs>
            <w:rPr/>
          </w:pPr>
          <w:hyperlink w:anchor="__RefHeading___Toc8895987_417432637">
            <w:r>
              <w:rPr>
                <w:webHidden/>
                <w:rStyle w:val="IndexLink"/>
                <w:rtl w:val="true"/>
              </w:rPr>
              <w:t>[</w:t>
            </w:r>
            <w:r>
              <w:rPr>
                <w:rStyle w:val="IndexLink"/>
                <w:rtl w:val="true"/>
              </w:rPr>
              <w:t>كتاب الصلاة</w:t>
            </w:r>
            <w:r>
              <w:rPr>
                <w:rStyle w:val="IndexLink"/>
                <w:rtl w:val="true"/>
              </w:rPr>
              <w:t>]</w:t>
              <w:tab/>
            </w:r>
            <w:r>
              <w:rPr>
                <w:rStyle w:val="IndexLink"/>
              </w:rPr>
              <w:t>139</w:t>
            </w:r>
          </w:hyperlink>
        </w:p>
        <w:p>
          <w:pPr>
            <w:pStyle w:val="Contents3"/>
            <w:tabs>
              <w:tab w:val="clear" w:pos="8459"/>
              <w:tab w:val="right" w:pos="9026" w:leader="dot"/>
            </w:tabs>
            <w:rPr/>
          </w:pPr>
          <w:hyperlink w:anchor="__RefHeading___Toc8895989_417432637">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8895991_417432637">
            <w:r>
              <w:rPr>
                <w:webHidden/>
                <w:rStyle w:val="IndexLink"/>
                <w:rtl w:val="true"/>
              </w:rPr>
              <w:t>القول في الخلل‌</w:t>
            </w:r>
            <w:r>
              <w:rPr>
                <w:rStyle w:val="IndexLink"/>
                <w:rtl w:val="true"/>
              </w:rPr>
              <w:tab/>
            </w:r>
            <w:r>
              <w:rPr>
                <w:rStyle w:val="IndexLink"/>
              </w:rPr>
              <w:t>139</w:t>
            </w:r>
          </w:hyperlink>
        </w:p>
        <w:p>
          <w:pPr>
            <w:pStyle w:val="Contents4"/>
            <w:tabs>
              <w:tab w:val="clear" w:pos="8176"/>
              <w:tab w:val="right" w:pos="9026" w:leader="dot"/>
            </w:tabs>
            <w:rPr/>
          </w:pPr>
          <w:hyperlink w:anchor="__RefHeading___Toc8895993_417432637">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8895995_417432637">
            <w:r>
              <w:rPr>
                <w:webHidden/>
                <w:rStyle w:val="IndexLink"/>
                <w:rtl w:val="true"/>
              </w:rPr>
              <w:t>[</w:t>
            </w:r>
            <w:r>
              <w:rPr>
                <w:rStyle w:val="IndexLink"/>
                <w:rtl w:val="true"/>
              </w:rPr>
              <w:t xml:space="preserve">مسألة </w:t>
            </w:r>
            <w:r>
              <w:rPr>
                <w:rStyle w:val="IndexLink"/>
              </w:rPr>
              <w:t>4</w:t>
            </w:r>
            <w:r>
              <w:rPr>
                <w:rStyle w:val="IndexLink"/>
                <w:rtl w:val="true"/>
              </w:rPr>
              <w:t xml:space="preserve">: </w:t>
            </w:r>
            <w:r>
              <w:rPr>
                <w:rStyle w:val="IndexLink"/>
                <w:rtl w:val="true"/>
              </w:rPr>
              <w:t>من صلّى إلى جهة بطريق معتبر، ثم تبيّن خطأه</w:t>
            </w:r>
            <w:r>
              <w:rPr>
                <w:rStyle w:val="IndexLink"/>
                <w:rtl w:val="true"/>
              </w:rPr>
              <w:t>]</w:t>
              <w:tab/>
            </w:r>
            <w:r>
              <w:rPr>
                <w:rStyle w:val="IndexLink"/>
              </w:rPr>
              <w:t>140</w:t>
            </w:r>
          </w:hyperlink>
        </w:p>
        <w:p>
          <w:pPr>
            <w:pStyle w:val="Contents3"/>
            <w:tabs>
              <w:tab w:val="clear" w:pos="8459"/>
              <w:tab w:val="right" w:pos="9026" w:leader="dot"/>
            </w:tabs>
            <w:rPr/>
          </w:pPr>
          <w:hyperlink w:anchor="__RefHeading___Toc8895997_417432637">
            <w:r>
              <w:rPr>
                <w:webHidden/>
                <w:rStyle w:val="IndexLink"/>
                <w:rtl w:val="true"/>
              </w:rPr>
              <w:t>[</w:t>
            </w:r>
            <w:r>
              <w:rPr>
                <w:rStyle w:val="IndexLink"/>
                <w:rtl w:val="true"/>
              </w:rPr>
              <w:t>القول في الخلل الواقع في الصلاة</w:t>
            </w:r>
            <w:r>
              <w:rPr>
                <w:rStyle w:val="IndexLink"/>
                <w:rtl w:val="true"/>
              </w:rPr>
              <w:t>]</w:t>
              <w:tab/>
            </w:r>
            <w:r>
              <w:rPr>
                <w:rStyle w:val="IndexLink"/>
              </w:rPr>
              <w:t>150</w:t>
            </w:r>
          </w:hyperlink>
        </w:p>
        <w:p>
          <w:pPr>
            <w:pStyle w:val="Contents4"/>
            <w:tabs>
              <w:tab w:val="clear" w:pos="8176"/>
              <w:tab w:val="right" w:pos="9026" w:leader="dot"/>
            </w:tabs>
            <w:rPr/>
          </w:pPr>
          <w:hyperlink w:anchor="__RefHeading___Toc8895999_417432637">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8896001_417432637">
            <w:r>
              <w:rPr>
                <w:webHidden/>
                <w:rStyle w:val="IndexLink"/>
                <w:rtl w:val="true"/>
              </w:rPr>
              <w:t>[</w:t>
            </w:r>
            <w:r>
              <w:rPr>
                <w:rStyle w:val="IndexLink"/>
                <w:rtl w:val="true"/>
              </w:rPr>
              <w:t xml:space="preserve">مسألة </w:t>
            </w:r>
            <w:r>
              <w:rPr>
                <w:rStyle w:val="IndexLink"/>
              </w:rPr>
              <w:t>1</w:t>
            </w:r>
            <w:r>
              <w:rPr>
                <w:rStyle w:val="IndexLink"/>
                <w:rtl w:val="true"/>
              </w:rPr>
              <w:t xml:space="preserve">: </w:t>
            </w:r>
            <w:r>
              <w:rPr>
                <w:rStyle w:val="IndexLink"/>
                <w:rtl w:val="true"/>
              </w:rPr>
              <w:t>من أخلّ بالطهارة من الحدث، بطلت صلاته مع العمد</w:t>
            </w:r>
            <w:r>
              <w:rPr>
                <w:rStyle w:val="IndexLink"/>
                <w:rtl w:val="true"/>
              </w:rPr>
              <w:t>]</w:t>
              <w:tab/>
            </w:r>
            <w:r>
              <w:rPr>
                <w:rStyle w:val="IndexLink"/>
              </w:rPr>
              <w:t>150</w:t>
            </w:r>
          </w:hyperlink>
        </w:p>
        <w:p>
          <w:pPr>
            <w:pStyle w:val="Contents2"/>
            <w:tabs>
              <w:tab w:val="clear" w:pos="8743"/>
              <w:tab w:val="right" w:pos="9026" w:leader="dot"/>
            </w:tabs>
            <w:rPr/>
          </w:pPr>
          <w:hyperlink w:anchor="__RefHeading___Toc8896003_417432637">
            <w:r>
              <w:rPr>
                <w:webHidden/>
                <w:rStyle w:val="IndexLink"/>
                <w:rtl w:val="true"/>
              </w:rPr>
              <w:t>[</w:t>
            </w:r>
            <w:r>
              <w:rPr>
                <w:rStyle w:val="IndexLink"/>
                <w:rtl w:val="true"/>
              </w:rPr>
              <w:t>كتاب الصوم</w:t>
            </w:r>
            <w:r>
              <w:rPr>
                <w:rStyle w:val="IndexLink"/>
                <w:rtl w:val="true"/>
              </w:rPr>
              <w:t>]</w:t>
              <w:tab/>
            </w:r>
            <w:r>
              <w:rPr>
                <w:rStyle w:val="IndexLink"/>
              </w:rPr>
              <w:t>170</w:t>
            </w:r>
          </w:hyperlink>
        </w:p>
        <w:p>
          <w:pPr>
            <w:pStyle w:val="Contents3"/>
            <w:tabs>
              <w:tab w:val="clear" w:pos="8459"/>
              <w:tab w:val="right" w:pos="9026" w:leader="dot"/>
            </w:tabs>
            <w:rPr/>
          </w:pPr>
          <w:hyperlink w:anchor="__RefHeading___Toc8896005_417432637">
            <w:r>
              <w:rPr>
                <w:webHidden/>
                <w:rStyle w:val="IndexLink"/>
                <w:rtl w:val="true"/>
              </w:rPr>
              <w:t>اشارة</w:t>
            </w:r>
            <w:r>
              <w:rPr>
                <w:rStyle w:val="IndexLink"/>
                <w:rtl w:val="true"/>
              </w:rPr>
              <w:tab/>
            </w:r>
            <w:r>
              <w:rPr>
                <w:rStyle w:val="IndexLink"/>
              </w:rPr>
              <w:t>170</w:t>
            </w:r>
          </w:hyperlink>
        </w:p>
        <w:p>
          <w:pPr>
            <w:pStyle w:val="Contents3"/>
            <w:tabs>
              <w:tab w:val="clear" w:pos="8459"/>
              <w:tab w:val="right" w:pos="9026" w:leader="dot"/>
            </w:tabs>
            <w:rPr/>
          </w:pPr>
          <w:hyperlink w:anchor="__RefHeading___Toc8896007_417432637">
            <w:r>
              <w:rPr>
                <w:webHidden/>
                <w:rStyle w:val="IndexLink"/>
                <w:rtl w:val="true"/>
              </w:rPr>
              <w:t>[</w:t>
            </w:r>
            <w:r>
              <w:rPr>
                <w:rStyle w:val="IndexLink"/>
                <w:rtl w:val="true"/>
              </w:rPr>
              <w:t>القول في النيّة</w:t>
            </w:r>
            <w:r>
              <w:rPr>
                <w:rStyle w:val="IndexLink"/>
                <w:rtl w:val="true"/>
              </w:rPr>
              <w:t>]</w:t>
              <w:tab/>
            </w:r>
            <w:r>
              <w:rPr>
                <w:rStyle w:val="IndexLink"/>
              </w:rPr>
              <w:t>171</w:t>
            </w:r>
          </w:hyperlink>
        </w:p>
        <w:p>
          <w:pPr>
            <w:pStyle w:val="Contents4"/>
            <w:tabs>
              <w:tab w:val="clear" w:pos="8176"/>
              <w:tab w:val="right" w:pos="9026" w:leader="dot"/>
            </w:tabs>
            <w:rPr/>
          </w:pPr>
          <w:hyperlink w:anchor="__RefHeading___Toc8896009_417432637">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8896011_417432637">
            <w:r>
              <w:rPr>
                <w:webHidden/>
                <w:rStyle w:val="IndexLink"/>
                <w:rtl w:val="true"/>
              </w:rPr>
              <w:t>[</w:t>
            </w:r>
            <w:r>
              <w:rPr>
                <w:rStyle w:val="IndexLink"/>
                <w:rtl w:val="true"/>
              </w:rPr>
              <w:t xml:space="preserve">مسألة </w:t>
            </w:r>
            <w:r>
              <w:rPr>
                <w:rStyle w:val="IndexLink"/>
              </w:rPr>
              <w:t>1</w:t>
            </w:r>
            <w:r>
              <w:rPr>
                <w:rStyle w:val="IndexLink"/>
                <w:rtl w:val="true"/>
              </w:rPr>
              <w:t xml:space="preserve">: </w:t>
            </w:r>
            <w:r>
              <w:rPr>
                <w:rStyle w:val="IndexLink"/>
                <w:rtl w:val="true"/>
              </w:rPr>
              <w:t>يشترط في الصوم النيّة</w:t>
            </w:r>
            <w:r>
              <w:rPr>
                <w:rStyle w:val="IndexLink"/>
                <w:rtl w:val="true"/>
              </w:rPr>
              <w:t>]</w:t>
              <w:tab/>
            </w:r>
            <w:r>
              <w:rPr>
                <w:rStyle w:val="IndexLink"/>
              </w:rPr>
              <w:t>171</w:t>
            </w:r>
          </w:hyperlink>
        </w:p>
        <w:p>
          <w:pPr>
            <w:pStyle w:val="Contents4"/>
            <w:tabs>
              <w:tab w:val="clear" w:pos="8176"/>
              <w:tab w:val="right" w:pos="9026" w:leader="dot"/>
            </w:tabs>
            <w:rPr/>
          </w:pPr>
          <w:hyperlink w:anchor="__RefHeading___Toc8896013_417432637">
            <w:r>
              <w:rPr>
                <w:webHidden/>
                <w:rStyle w:val="IndexLink"/>
                <w:rtl w:val="true"/>
              </w:rPr>
              <w:t>[</w:t>
            </w:r>
            <w:r>
              <w:rPr>
                <w:rStyle w:val="IndexLink"/>
                <w:rtl w:val="true"/>
              </w:rPr>
              <w:t xml:space="preserve">مسألة </w:t>
            </w:r>
            <w:r>
              <w:rPr>
                <w:rStyle w:val="IndexLink"/>
              </w:rPr>
              <w:t>2</w:t>
            </w:r>
            <w:r>
              <w:rPr>
                <w:rStyle w:val="IndexLink"/>
                <w:rtl w:val="true"/>
              </w:rPr>
              <w:t xml:space="preserve">: </w:t>
            </w:r>
            <w:r>
              <w:rPr>
                <w:rStyle w:val="IndexLink"/>
                <w:rtl w:val="true"/>
              </w:rPr>
              <w:t>يعتبر في القضاء عن الغير نيّة النيابة</w:t>
            </w:r>
            <w:r>
              <w:rPr>
                <w:rStyle w:val="IndexLink"/>
                <w:rtl w:val="true"/>
              </w:rPr>
              <w:t>]</w:t>
              <w:tab/>
            </w:r>
            <w:r>
              <w:rPr>
                <w:rStyle w:val="IndexLink"/>
              </w:rPr>
              <w:t>189</w:t>
            </w:r>
          </w:hyperlink>
        </w:p>
        <w:p>
          <w:pPr>
            <w:pStyle w:val="Contents4"/>
            <w:tabs>
              <w:tab w:val="clear" w:pos="8176"/>
              <w:tab w:val="right" w:pos="9026" w:leader="dot"/>
            </w:tabs>
            <w:rPr/>
          </w:pPr>
          <w:hyperlink w:anchor="__RefHeading___Toc8896015_417432637">
            <w:r>
              <w:rPr>
                <w:webHidden/>
                <w:rStyle w:val="IndexLink"/>
                <w:rtl w:val="true"/>
              </w:rPr>
              <w:t>[</w:t>
            </w:r>
            <w:r>
              <w:rPr>
                <w:rStyle w:val="IndexLink"/>
                <w:rtl w:val="true"/>
              </w:rPr>
              <w:t xml:space="preserve">مسألة </w:t>
            </w:r>
            <w:r>
              <w:rPr>
                <w:rStyle w:val="IndexLink"/>
              </w:rPr>
              <w:t>3</w:t>
            </w:r>
            <w:r>
              <w:rPr>
                <w:rStyle w:val="IndexLink"/>
                <w:rtl w:val="true"/>
              </w:rPr>
              <w:t xml:space="preserve">: </w:t>
            </w:r>
            <w:r>
              <w:rPr>
                <w:rStyle w:val="IndexLink"/>
                <w:rtl w:val="true"/>
              </w:rPr>
              <w:t xml:space="preserve">لا يقع </w:t>
            </w:r>
            <w:r>
              <w:rPr>
                <w:rStyle w:val="IndexLink"/>
                <w:rtl w:val="true"/>
              </w:rPr>
              <w:t>(</w:t>
            </w:r>
            <w:r>
              <w:rPr>
                <w:rStyle w:val="IndexLink"/>
              </w:rPr>
              <w:t>1</w:t>
            </w:r>
            <w:r>
              <w:rPr>
                <w:rStyle w:val="IndexLink"/>
                <w:rtl w:val="true"/>
              </w:rPr>
              <w:t xml:space="preserve">) </w:t>
            </w:r>
            <w:r>
              <w:rPr>
                <w:rStyle w:val="IndexLink"/>
                <w:rtl w:val="true"/>
              </w:rPr>
              <w:t>في شهر رمضان صوم غيره، واجباً كان أو ندباً</w:t>
            </w:r>
            <w:r>
              <w:rPr>
                <w:rStyle w:val="IndexLink"/>
                <w:rtl w:val="true"/>
              </w:rPr>
              <w:t>]</w:t>
              <w:tab/>
            </w:r>
            <w:r>
              <w:rPr>
                <w:rStyle w:val="IndexLink"/>
              </w:rPr>
              <w:t>190</w:t>
            </w:r>
          </w:hyperlink>
        </w:p>
        <w:p>
          <w:pPr>
            <w:pStyle w:val="Contents4"/>
            <w:tabs>
              <w:tab w:val="clear" w:pos="8176"/>
              <w:tab w:val="right" w:pos="9026" w:leader="dot"/>
            </w:tabs>
            <w:rPr/>
          </w:pPr>
          <w:hyperlink w:anchor="__RefHeading___Toc8896017_417432637">
            <w:r>
              <w:rPr>
                <w:webHidden/>
                <w:rStyle w:val="IndexLink"/>
                <w:rtl w:val="true"/>
              </w:rPr>
              <w:t>[</w:t>
            </w:r>
            <w:r>
              <w:rPr>
                <w:rStyle w:val="IndexLink"/>
                <w:rtl w:val="true"/>
              </w:rPr>
              <w:t xml:space="preserve">مسألة </w:t>
            </w:r>
            <w:r>
              <w:rPr>
                <w:rStyle w:val="IndexLink"/>
              </w:rPr>
              <w:t>4</w:t>
            </w:r>
            <w:r>
              <w:rPr>
                <w:rStyle w:val="IndexLink"/>
                <w:rtl w:val="true"/>
              </w:rPr>
              <w:t xml:space="preserve">: </w:t>
            </w:r>
            <w:r>
              <w:rPr>
                <w:rStyle w:val="IndexLink"/>
                <w:rtl w:val="true"/>
              </w:rPr>
              <w:t>الأقوى أنه لا محلّ للنيّة شرعاً في الواجب المعيّن</w:t>
            </w:r>
            <w:r>
              <w:rPr>
                <w:rStyle w:val="IndexLink"/>
                <w:rtl w:val="true"/>
              </w:rPr>
              <w:t>]</w:t>
              <w:tab/>
            </w:r>
            <w:r>
              <w:rPr>
                <w:rStyle w:val="IndexLink"/>
              </w:rPr>
              <w:t>194</w:t>
            </w:r>
          </w:hyperlink>
        </w:p>
        <w:p>
          <w:pPr>
            <w:pStyle w:val="Contents4"/>
            <w:tabs>
              <w:tab w:val="clear" w:pos="8176"/>
              <w:tab w:val="right" w:pos="9026" w:leader="dot"/>
            </w:tabs>
            <w:rPr/>
          </w:pPr>
          <w:hyperlink w:anchor="__RefHeading___Toc8896019_417432637">
            <w:r>
              <w:rPr>
                <w:webHidden/>
                <w:rStyle w:val="IndexLink"/>
                <w:rtl w:val="true"/>
              </w:rPr>
              <w:t>[</w:t>
            </w:r>
            <w:r>
              <w:rPr>
                <w:rStyle w:val="IndexLink"/>
                <w:rtl w:val="true"/>
              </w:rPr>
              <w:t xml:space="preserve">مسألة </w:t>
            </w:r>
            <w:r>
              <w:rPr>
                <w:rStyle w:val="IndexLink"/>
              </w:rPr>
              <w:t>5</w:t>
            </w:r>
            <w:r>
              <w:rPr>
                <w:rStyle w:val="IndexLink"/>
                <w:rtl w:val="true"/>
              </w:rPr>
              <w:t xml:space="preserve">: </w:t>
            </w:r>
            <w:r>
              <w:rPr>
                <w:rStyle w:val="IndexLink"/>
                <w:rtl w:val="true"/>
              </w:rPr>
              <w:t>يوم الشكّ في أنّه من شعبان أو رمضان</w:t>
            </w:r>
            <w:r>
              <w:rPr>
                <w:rStyle w:val="IndexLink"/>
                <w:rtl w:val="true"/>
              </w:rPr>
              <w:t>]</w:t>
              <w:tab/>
            </w:r>
            <w:r>
              <w:rPr>
                <w:rStyle w:val="IndexLink"/>
              </w:rPr>
              <w:t>212</w:t>
            </w:r>
          </w:hyperlink>
        </w:p>
        <w:p>
          <w:pPr>
            <w:pStyle w:val="Contents4"/>
            <w:tabs>
              <w:tab w:val="clear" w:pos="8176"/>
              <w:tab w:val="right" w:pos="9026" w:leader="dot"/>
            </w:tabs>
            <w:rPr/>
          </w:pPr>
          <w:hyperlink w:anchor="__RefHeading___Toc8896021_417432637">
            <w:r>
              <w:rPr>
                <w:webHidden/>
                <w:rStyle w:val="IndexLink"/>
                <w:rtl w:val="true"/>
              </w:rPr>
              <w:t>[</w:t>
            </w:r>
            <w:r>
              <w:rPr>
                <w:rStyle w:val="IndexLink"/>
                <w:rtl w:val="true"/>
              </w:rPr>
              <w:t xml:space="preserve">مسألة </w:t>
            </w:r>
            <w:r>
              <w:rPr>
                <w:rStyle w:val="IndexLink"/>
              </w:rPr>
              <w:t>6</w:t>
            </w:r>
            <w:r>
              <w:rPr>
                <w:rStyle w:val="IndexLink"/>
                <w:rtl w:val="true"/>
              </w:rPr>
              <w:t xml:space="preserve">: </w:t>
            </w:r>
            <w:r>
              <w:rPr>
                <w:rStyle w:val="IndexLink"/>
                <w:rtl w:val="true"/>
              </w:rPr>
              <w:t>لو كان في يوم الشكّ بانياً على الإفطار</w:t>
            </w:r>
            <w:r>
              <w:rPr>
                <w:rStyle w:val="IndexLink"/>
                <w:rtl w:val="true"/>
              </w:rPr>
              <w:t>]</w:t>
              <w:tab/>
            </w:r>
            <w:r>
              <w:rPr>
                <w:rStyle w:val="IndexLink"/>
              </w:rPr>
              <w:t>223</w:t>
            </w:r>
          </w:hyperlink>
        </w:p>
        <w:p>
          <w:pPr>
            <w:pStyle w:val="Contents4"/>
            <w:tabs>
              <w:tab w:val="clear" w:pos="8176"/>
              <w:tab w:val="right" w:pos="9026" w:leader="dot"/>
            </w:tabs>
            <w:rPr/>
          </w:pPr>
          <w:hyperlink w:anchor="__RefHeading___Toc8896023_417432637">
            <w:r>
              <w:rPr>
                <w:webHidden/>
                <w:rStyle w:val="IndexLink"/>
                <w:rtl w:val="true"/>
              </w:rPr>
              <w:t>[</w:t>
            </w:r>
            <w:r>
              <w:rPr>
                <w:rStyle w:val="IndexLink"/>
                <w:rtl w:val="true"/>
              </w:rPr>
              <w:t xml:space="preserve">مسألة </w:t>
            </w:r>
            <w:r>
              <w:rPr>
                <w:rStyle w:val="IndexLink"/>
              </w:rPr>
              <w:t>7</w:t>
            </w:r>
            <w:r>
              <w:rPr>
                <w:rStyle w:val="IndexLink"/>
                <w:rtl w:val="true"/>
              </w:rPr>
              <w:t xml:space="preserve">: </w:t>
            </w:r>
            <w:r>
              <w:rPr>
                <w:rStyle w:val="IndexLink"/>
                <w:rtl w:val="true"/>
              </w:rPr>
              <w:t>لو صام يوم الشكّ بنيّة أنّه من شعبان، ثمّ تناول المفطر نسياناً</w:t>
            </w:r>
            <w:r>
              <w:rPr>
                <w:rStyle w:val="IndexLink"/>
                <w:rtl w:val="true"/>
              </w:rPr>
              <w:t>]</w:t>
              <w:tab/>
            </w:r>
            <w:r>
              <w:rPr>
                <w:rStyle w:val="IndexLink"/>
              </w:rPr>
              <w:t>226</w:t>
            </w:r>
          </w:hyperlink>
        </w:p>
        <w:p>
          <w:pPr>
            <w:pStyle w:val="Contents4"/>
            <w:tabs>
              <w:tab w:val="clear" w:pos="8176"/>
              <w:tab w:val="right" w:pos="9026" w:leader="dot"/>
            </w:tabs>
            <w:rPr/>
          </w:pPr>
          <w:hyperlink w:anchor="__RefHeading___Toc8896025_417432637">
            <w:r>
              <w:rPr>
                <w:webHidden/>
                <w:rStyle w:val="IndexLink"/>
                <w:rtl w:val="true"/>
              </w:rPr>
              <w:t>[</w:t>
            </w:r>
            <w:r>
              <w:rPr>
                <w:rStyle w:val="IndexLink"/>
                <w:rtl w:val="true"/>
              </w:rPr>
              <w:t xml:space="preserve">مسألة </w:t>
            </w:r>
            <w:r>
              <w:rPr>
                <w:rStyle w:val="IndexLink"/>
              </w:rPr>
              <w:t>8</w:t>
            </w:r>
            <w:r>
              <w:rPr>
                <w:rStyle w:val="IndexLink"/>
                <w:rtl w:val="true"/>
              </w:rPr>
              <w:t xml:space="preserve">: </w:t>
            </w:r>
            <w:r>
              <w:rPr>
                <w:rStyle w:val="IndexLink"/>
                <w:rtl w:val="true"/>
              </w:rPr>
              <w:t>كما تجب النيّة في ابتداء الصوم، تجب الاستدامة عليها في أثنائه</w:t>
            </w:r>
            <w:r>
              <w:rPr>
                <w:rStyle w:val="IndexLink"/>
                <w:rtl w:val="true"/>
              </w:rPr>
              <w:t>]</w:t>
              <w:tab/>
            </w:r>
            <w:r>
              <w:rPr>
                <w:rStyle w:val="IndexLink"/>
              </w:rPr>
              <w:t>228</w:t>
            </w:r>
          </w:hyperlink>
        </w:p>
        <w:p>
          <w:pPr>
            <w:pStyle w:val="Contents3"/>
            <w:tabs>
              <w:tab w:val="clear" w:pos="8459"/>
              <w:tab w:val="right" w:pos="9026" w:leader="dot"/>
            </w:tabs>
            <w:rPr/>
          </w:pPr>
          <w:hyperlink w:anchor="__RefHeading___Toc8896027_417432637">
            <w:r>
              <w:rPr>
                <w:webHidden/>
                <w:rStyle w:val="IndexLink"/>
                <w:rtl w:val="true"/>
              </w:rPr>
              <w:t>[</w:t>
            </w:r>
            <w:r>
              <w:rPr>
                <w:rStyle w:val="IndexLink"/>
                <w:rtl w:val="true"/>
              </w:rPr>
              <w:t>القول فيما يجب الإمساك عنه</w:t>
            </w:r>
            <w:r>
              <w:rPr>
                <w:rStyle w:val="IndexLink"/>
                <w:rtl w:val="true"/>
              </w:rPr>
              <w:t>]</w:t>
              <w:tab/>
            </w:r>
            <w:r>
              <w:rPr>
                <w:rStyle w:val="IndexLink"/>
              </w:rPr>
              <w:t>236</w:t>
            </w:r>
          </w:hyperlink>
        </w:p>
        <w:p>
          <w:pPr>
            <w:pStyle w:val="Contents4"/>
            <w:tabs>
              <w:tab w:val="clear" w:pos="8176"/>
              <w:tab w:val="right" w:pos="9026" w:leader="dot"/>
            </w:tabs>
            <w:rPr/>
          </w:pPr>
          <w:hyperlink w:anchor="__RefHeading___Toc8896029_417432637">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8896031_417432637">
            <w:r>
              <w:rPr>
                <w:webHidden/>
                <w:rStyle w:val="IndexLink"/>
                <w:rtl w:val="true"/>
              </w:rPr>
              <w:t>[</w:t>
            </w:r>
            <w:r>
              <w:rPr>
                <w:rStyle w:val="IndexLink"/>
                <w:rtl w:val="true"/>
              </w:rPr>
              <w:t>الأوّل و الثاني</w:t>
            </w:r>
            <w:r>
              <w:rPr>
                <w:rStyle w:val="IndexLink"/>
                <w:rtl w:val="true"/>
              </w:rPr>
              <w:t xml:space="preserve">: </w:t>
            </w:r>
            <w:r>
              <w:rPr>
                <w:rStyle w:val="IndexLink"/>
                <w:rtl w:val="true"/>
              </w:rPr>
              <w:t>الأكل و الشرب</w:t>
            </w:r>
            <w:r>
              <w:rPr>
                <w:rStyle w:val="IndexLink"/>
                <w:rtl w:val="true"/>
              </w:rPr>
              <w:t>]</w:t>
              <w:tab/>
            </w:r>
            <w:r>
              <w:rPr>
                <w:rStyle w:val="IndexLink"/>
              </w:rPr>
              <w:t>236</w:t>
            </w:r>
          </w:hyperlink>
        </w:p>
        <w:p>
          <w:pPr>
            <w:pStyle w:val="Contents5"/>
            <w:tabs>
              <w:tab w:val="clear" w:pos="7892"/>
              <w:tab w:val="right" w:pos="9026" w:leader="dot"/>
            </w:tabs>
            <w:rPr/>
          </w:pPr>
          <w:hyperlink w:anchor="__RefHeading___Toc8896033_417432637">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8896035_417432637">
            <w:r>
              <w:rPr>
                <w:webHidden/>
                <w:rStyle w:val="IndexLink"/>
                <w:rtl w:val="true"/>
              </w:rPr>
              <w:t>[</w:t>
            </w:r>
            <w:r>
              <w:rPr>
                <w:rStyle w:val="IndexLink"/>
                <w:rtl w:val="true"/>
              </w:rPr>
              <w:t xml:space="preserve">مسألة </w:t>
            </w:r>
            <w:r>
              <w:rPr>
                <w:rStyle w:val="IndexLink"/>
              </w:rPr>
              <w:t>2</w:t>
            </w:r>
            <w:r>
              <w:rPr>
                <w:rStyle w:val="IndexLink"/>
                <w:rtl w:val="true"/>
              </w:rPr>
              <w:t xml:space="preserve">: </w:t>
            </w:r>
            <w:r>
              <w:rPr>
                <w:rStyle w:val="IndexLink"/>
                <w:rtl w:val="true"/>
              </w:rPr>
              <w:t>المدار على صدق الأكل و الشرب و لو كانا على النحو غير المتعارف</w:t>
            </w:r>
            <w:r>
              <w:rPr>
                <w:rStyle w:val="IndexLink"/>
                <w:rtl w:val="true"/>
              </w:rPr>
              <w:t>]</w:t>
              <w:tab/>
            </w:r>
            <w:r>
              <w:rPr>
                <w:rStyle w:val="IndexLink"/>
              </w:rPr>
              <w:t>243</w:t>
            </w:r>
          </w:hyperlink>
        </w:p>
        <w:p>
          <w:pPr>
            <w:pStyle w:val="Contents4"/>
            <w:tabs>
              <w:tab w:val="clear" w:pos="8176"/>
              <w:tab w:val="right" w:pos="9026" w:leader="dot"/>
            </w:tabs>
            <w:rPr/>
          </w:pPr>
          <w:hyperlink w:anchor="__RefHeading___Toc8896037_417432637">
            <w:r>
              <w:rPr>
                <w:webHidden/>
                <w:rStyle w:val="IndexLink"/>
                <w:rtl w:val="true"/>
              </w:rPr>
              <w:t>[</w:t>
            </w:r>
            <w:r>
              <w:rPr>
                <w:rStyle w:val="IndexLink"/>
                <w:rtl w:val="true"/>
              </w:rPr>
              <w:t>الثالث</w:t>
            </w:r>
            <w:r>
              <w:rPr>
                <w:rStyle w:val="IndexLink"/>
                <w:rtl w:val="true"/>
              </w:rPr>
              <w:t xml:space="preserve">: </w:t>
            </w:r>
            <w:r>
              <w:rPr>
                <w:rStyle w:val="IndexLink"/>
                <w:rtl w:val="true"/>
              </w:rPr>
              <w:t>الجماع</w:t>
            </w:r>
            <w:r>
              <w:rPr>
                <w:rStyle w:val="IndexLink"/>
                <w:rtl w:val="true"/>
              </w:rPr>
              <w:t>]</w:t>
              <w:tab/>
            </w:r>
            <w:r>
              <w:rPr>
                <w:rStyle w:val="IndexLink"/>
              </w:rPr>
              <w:t>244</w:t>
            </w:r>
          </w:hyperlink>
        </w:p>
        <w:p>
          <w:pPr>
            <w:pStyle w:val="Contents4"/>
            <w:tabs>
              <w:tab w:val="clear" w:pos="8176"/>
              <w:tab w:val="right" w:pos="9026" w:leader="dot"/>
            </w:tabs>
            <w:rPr/>
          </w:pPr>
          <w:hyperlink w:anchor="__RefHeading___Toc8896039_417432637">
            <w:r>
              <w:rPr>
                <w:webHidden/>
                <w:rStyle w:val="IndexLink"/>
                <w:rtl w:val="true"/>
              </w:rPr>
              <w:t>[</w:t>
            </w:r>
            <w:r>
              <w:rPr>
                <w:rStyle w:val="IndexLink"/>
                <w:rtl w:val="true"/>
              </w:rPr>
              <w:t>الرابع</w:t>
            </w:r>
            <w:r>
              <w:rPr>
                <w:rStyle w:val="IndexLink"/>
                <w:rtl w:val="true"/>
              </w:rPr>
              <w:t xml:space="preserve">: </w:t>
            </w:r>
            <w:r>
              <w:rPr>
                <w:rStyle w:val="IndexLink"/>
                <w:rtl w:val="true"/>
              </w:rPr>
              <w:t>إنزال المني</w:t>
            </w:r>
            <w:r>
              <w:rPr>
                <w:rStyle w:val="IndexLink"/>
                <w:rtl w:val="true"/>
              </w:rPr>
              <w:t>]</w:t>
              <w:tab/>
            </w:r>
            <w:r>
              <w:rPr>
                <w:rStyle w:val="IndexLink"/>
              </w:rPr>
              <w:t>252</w:t>
            </w:r>
          </w:hyperlink>
        </w:p>
        <w:p>
          <w:pPr>
            <w:pStyle w:val="Contents5"/>
            <w:tabs>
              <w:tab w:val="clear" w:pos="7892"/>
              <w:tab w:val="right" w:pos="9026" w:leader="dot"/>
            </w:tabs>
            <w:rPr/>
          </w:pPr>
          <w:hyperlink w:anchor="__RefHeading___Toc8896041_417432637">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8896043_417432637">
            <w:r>
              <w:rPr>
                <w:webHidden/>
                <w:rStyle w:val="IndexLink"/>
                <w:rtl w:val="true"/>
              </w:rPr>
              <w:t>[</w:t>
            </w:r>
            <w:r>
              <w:rPr>
                <w:rStyle w:val="IndexLink"/>
                <w:rtl w:val="true"/>
              </w:rPr>
              <w:t xml:space="preserve">مسألة </w:t>
            </w:r>
            <w:r>
              <w:rPr>
                <w:rStyle w:val="IndexLink"/>
              </w:rPr>
              <w:t>3</w:t>
            </w:r>
            <w:r>
              <w:rPr>
                <w:rStyle w:val="IndexLink"/>
                <w:rtl w:val="true"/>
              </w:rPr>
              <w:t xml:space="preserve">: </w:t>
            </w:r>
            <w:r>
              <w:rPr>
                <w:rStyle w:val="IndexLink"/>
                <w:rtl w:val="true"/>
              </w:rPr>
              <w:t>لا بأس بالاستبراء بالبول أو الخرطات لمن احتلم في النهار</w:t>
            </w:r>
            <w:r>
              <w:rPr>
                <w:rStyle w:val="IndexLink"/>
                <w:rtl w:val="true"/>
              </w:rPr>
              <w:t>]</w:t>
              <w:tab/>
            </w:r>
            <w:r>
              <w:rPr>
                <w:rStyle w:val="IndexLink"/>
              </w:rPr>
              <w:t>259</w:t>
            </w:r>
          </w:hyperlink>
        </w:p>
        <w:p>
          <w:pPr>
            <w:pStyle w:val="Contents4"/>
            <w:tabs>
              <w:tab w:val="clear" w:pos="8176"/>
              <w:tab w:val="right" w:pos="9026" w:leader="dot"/>
            </w:tabs>
            <w:rPr/>
          </w:pPr>
          <w:hyperlink w:anchor="__RefHeading___Toc8896045_417432637">
            <w:r>
              <w:rPr>
                <w:webHidden/>
                <w:rStyle w:val="IndexLink"/>
                <w:rtl w:val="true"/>
              </w:rPr>
              <w:t>[</w:t>
            </w:r>
            <w:r>
              <w:rPr>
                <w:rStyle w:val="IndexLink"/>
                <w:rtl w:val="true"/>
              </w:rPr>
              <w:t>السادس</w:t>
            </w:r>
            <w:r>
              <w:rPr>
                <w:rStyle w:val="IndexLink"/>
                <w:rtl w:val="true"/>
              </w:rPr>
              <w:t xml:space="preserve">: </w:t>
            </w:r>
            <w:r>
              <w:rPr>
                <w:rStyle w:val="IndexLink"/>
                <w:rtl w:val="true"/>
              </w:rPr>
              <w:t>تعمّد الكذب على اللَّه تعالى و رسوله</w:t>
            </w:r>
            <w:r>
              <w:rPr>
                <w:rStyle w:val="IndexLink"/>
                <w:rtl w:val="true"/>
              </w:rPr>
              <w:t>]</w:t>
              <w:tab/>
            </w:r>
            <w:r>
              <w:rPr>
                <w:rStyle w:val="IndexLink"/>
              </w:rPr>
              <w:t>261</w:t>
            </w:r>
          </w:hyperlink>
        </w:p>
        <w:p>
          <w:pPr>
            <w:pStyle w:val="Contents5"/>
            <w:tabs>
              <w:tab w:val="clear" w:pos="7892"/>
              <w:tab w:val="right" w:pos="9026" w:leader="dot"/>
            </w:tabs>
            <w:rPr/>
          </w:pPr>
          <w:hyperlink w:anchor="__RefHeading___Toc8896047_417432637">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8896049_417432637">
            <w:r>
              <w:rPr>
                <w:webHidden/>
                <w:rStyle w:val="IndexLink"/>
                <w:rtl w:val="true"/>
              </w:rPr>
              <w:t>[</w:t>
            </w:r>
            <w:r>
              <w:rPr>
                <w:rStyle w:val="IndexLink"/>
                <w:rtl w:val="true"/>
              </w:rPr>
              <w:t xml:space="preserve">مسألة </w:t>
            </w:r>
            <w:r>
              <w:rPr>
                <w:rStyle w:val="IndexLink"/>
              </w:rPr>
              <w:t>4</w:t>
            </w:r>
            <w:r>
              <w:rPr>
                <w:rStyle w:val="IndexLink"/>
                <w:rtl w:val="true"/>
              </w:rPr>
              <w:t xml:space="preserve">: </w:t>
            </w:r>
            <w:r>
              <w:rPr>
                <w:rStyle w:val="IndexLink"/>
                <w:rtl w:val="true"/>
              </w:rPr>
              <w:t>لا فرق بين أن يكون الكذب مجعولًا له أو لغيره</w:t>
            </w:r>
            <w:r>
              <w:rPr>
                <w:rStyle w:val="IndexLink"/>
                <w:rtl w:val="true"/>
              </w:rPr>
              <w:t>]</w:t>
              <w:tab/>
            </w:r>
            <w:r>
              <w:rPr>
                <w:rStyle w:val="IndexLink"/>
              </w:rPr>
              <w:t>269</w:t>
            </w:r>
          </w:hyperlink>
        </w:p>
        <w:p>
          <w:pPr>
            <w:pStyle w:val="Contents4"/>
            <w:tabs>
              <w:tab w:val="clear" w:pos="8176"/>
              <w:tab w:val="right" w:pos="9026" w:leader="dot"/>
            </w:tabs>
            <w:rPr/>
          </w:pPr>
          <w:hyperlink w:anchor="__RefHeading___Toc8896051_417432637">
            <w:r>
              <w:rPr>
                <w:webHidden/>
                <w:rStyle w:val="IndexLink"/>
                <w:rtl w:val="true"/>
              </w:rPr>
              <w:t>[</w:t>
            </w:r>
            <w:r>
              <w:rPr>
                <w:rStyle w:val="IndexLink"/>
                <w:rtl w:val="true"/>
              </w:rPr>
              <w:t>السابع</w:t>
            </w:r>
            <w:r>
              <w:rPr>
                <w:rStyle w:val="IndexLink"/>
                <w:rtl w:val="true"/>
              </w:rPr>
              <w:t xml:space="preserve">: </w:t>
            </w:r>
            <w:r>
              <w:rPr>
                <w:rStyle w:val="IndexLink"/>
                <w:rtl w:val="true"/>
              </w:rPr>
              <w:t>رمس الرأس في الماء على الأحوط</w:t>
            </w:r>
            <w:r>
              <w:rPr>
                <w:rStyle w:val="IndexLink"/>
                <w:rtl w:val="true"/>
              </w:rPr>
              <w:t>]</w:t>
              <w:tab/>
            </w:r>
            <w:r>
              <w:rPr>
                <w:rStyle w:val="IndexLink"/>
              </w:rPr>
              <w:t>269</w:t>
            </w:r>
          </w:hyperlink>
        </w:p>
        <w:p>
          <w:pPr>
            <w:pStyle w:val="Contents5"/>
            <w:tabs>
              <w:tab w:val="clear" w:pos="7892"/>
              <w:tab w:val="right" w:pos="9026" w:leader="dot"/>
            </w:tabs>
            <w:rPr/>
          </w:pPr>
          <w:hyperlink w:anchor="__RefHeading___Toc8896053_417432637">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8896055_417432637">
            <w:r>
              <w:rPr>
                <w:webHidden/>
                <w:rStyle w:val="IndexLink"/>
                <w:rtl w:val="true"/>
              </w:rPr>
              <w:t>[</w:t>
            </w:r>
            <w:r>
              <w:rPr>
                <w:rStyle w:val="IndexLink"/>
                <w:rtl w:val="true"/>
              </w:rPr>
              <w:t xml:space="preserve">مسألة </w:t>
            </w:r>
            <w:r>
              <w:rPr>
                <w:rStyle w:val="IndexLink"/>
              </w:rPr>
              <w:t>5</w:t>
            </w:r>
            <w:r>
              <w:rPr>
                <w:rStyle w:val="IndexLink"/>
                <w:rtl w:val="true"/>
              </w:rPr>
              <w:t xml:space="preserve">: </w:t>
            </w:r>
            <w:r>
              <w:rPr>
                <w:rStyle w:val="IndexLink"/>
                <w:rtl w:val="true"/>
              </w:rPr>
              <w:t>لو ارتمس الصائم مغتسلًا</w:t>
            </w:r>
            <w:r>
              <w:rPr>
                <w:rStyle w:val="IndexLink"/>
                <w:rtl w:val="true"/>
              </w:rPr>
              <w:t>]</w:t>
              <w:tab/>
            </w:r>
            <w:r>
              <w:rPr>
                <w:rStyle w:val="IndexLink"/>
              </w:rPr>
              <w:t>276</w:t>
            </w:r>
          </w:hyperlink>
        </w:p>
        <w:p>
          <w:pPr>
            <w:pStyle w:val="Contents4"/>
            <w:tabs>
              <w:tab w:val="clear" w:pos="8176"/>
              <w:tab w:val="right" w:pos="9026" w:leader="dot"/>
            </w:tabs>
            <w:rPr/>
          </w:pPr>
          <w:hyperlink w:anchor="__RefHeading___Toc8896057_417432637">
            <w:r>
              <w:rPr>
                <w:webHidden/>
                <w:rStyle w:val="IndexLink"/>
                <w:rtl w:val="true"/>
              </w:rPr>
              <w:t>[</w:t>
            </w:r>
            <w:r>
              <w:rPr>
                <w:rStyle w:val="IndexLink"/>
                <w:rtl w:val="true"/>
              </w:rPr>
              <w:t>الثامن</w:t>
            </w:r>
            <w:r>
              <w:rPr>
                <w:rStyle w:val="IndexLink"/>
                <w:rtl w:val="true"/>
              </w:rPr>
              <w:t xml:space="preserve">: </w:t>
            </w:r>
            <w:r>
              <w:rPr>
                <w:rStyle w:val="IndexLink"/>
                <w:rtl w:val="true"/>
              </w:rPr>
              <w:t>إيصال الغبار الغليظ إلى الحلق</w:t>
            </w:r>
            <w:r>
              <w:rPr>
                <w:rStyle w:val="IndexLink"/>
                <w:rtl w:val="true"/>
              </w:rPr>
              <w:t>]</w:t>
              <w:tab/>
            </w:r>
            <w:r>
              <w:rPr>
                <w:rStyle w:val="IndexLink"/>
              </w:rPr>
              <w:t>280</w:t>
            </w:r>
          </w:hyperlink>
        </w:p>
        <w:p>
          <w:pPr>
            <w:pStyle w:val="Contents3"/>
            <w:tabs>
              <w:tab w:val="clear" w:pos="8459"/>
              <w:tab w:val="right" w:pos="9026" w:leader="dot"/>
            </w:tabs>
            <w:rPr/>
          </w:pPr>
          <w:hyperlink w:anchor="__RefHeading___Toc8896059_417432637">
            <w:r>
              <w:rPr>
                <w:webHidden/>
                <w:rStyle w:val="IndexLink"/>
                <w:rtl w:val="true"/>
              </w:rPr>
              <w:t>[</w:t>
            </w:r>
            <w:r>
              <w:rPr>
                <w:rStyle w:val="IndexLink"/>
                <w:rtl w:val="true"/>
              </w:rPr>
              <w:t>التاسع</w:t>
            </w:r>
            <w:r>
              <w:rPr>
                <w:rStyle w:val="IndexLink"/>
                <w:rtl w:val="true"/>
              </w:rPr>
              <w:t xml:space="preserve">: </w:t>
            </w:r>
            <w:r>
              <w:rPr>
                <w:rStyle w:val="IndexLink"/>
                <w:rtl w:val="true"/>
              </w:rPr>
              <w:t>الحقنة</w:t>
            </w:r>
            <w:r>
              <w:rPr>
                <w:rStyle w:val="IndexLink"/>
                <w:rtl w:val="true"/>
              </w:rPr>
              <w:t>]</w:t>
              <w:tab/>
            </w:r>
            <w:r>
              <w:rPr>
                <w:rStyle w:val="IndexLink"/>
              </w:rPr>
              <w:t>287</w:t>
            </w:r>
          </w:hyperlink>
        </w:p>
        <w:p>
          <w:pPr>
            <w:pStyle w:val="Contents2"/>
            <w:tabs>
              <w:tab w:val="clear" w:pos="8743"/>
              <w:tab w:val="right" w:pos="9026" w:leader="dot"/>
            </w:tabs>
            <w:rPr/>
          </w:pPr>
          <w:hyperlink w:anchor="__RefHeading___Toc8896061_417432637">
            <w:r>
              <w:rPr>
                <w:webHidden/>
                <w:rStyle w:val="IndexLink"/>
                <w:rtl w:val="true"/>
              </w:rPr>
              <w:t>[</w:t>
            </w:r>
            <w:r>
              <w:rPr>
                <w:rStyle w:val="IndexLink"/>
                <w:rtl w:val="true"/>
              </w:rPr>
              <w:t>كتاب المكاسب و المتاجر</w:t>
            </w:r>
            <w:r>
              <w:rPr>
                <w:rStyle w:val="IndexLink"/>
                <w:rtl w:val="true"/>
              </w:rPr>
              <w:t>]</w:t>
              <w:tab/>
            </w:r>
            <w:r>
              <w:rPr>
                <w:rStyle w:val="IndexLink"/>
              </w:rPr>
              <w:t>289</w:t>
            </w:r>
          </w:hyperlink>
        </w:p>
        <w:p>
          <w:pPr>
            <w:pStyle w:val="Contents3"/>
            <w:tabs>
              <w:tab w:val="clear" w:pos="8459"/>
              <w:tab w:val="right" w:pos="9026" w:leader="dot"/>
            </w:tabs>
            <w:rPr/>
          </w:pPr>
          <w:hyperlink w:anchor="__RefHeading___Toc8896063_417432637">
            <w:r>
              <w:rPr>
                <w:webHidden/>
                <w:rStyle w:val="IndexLink"/>
                <w:rtl w:val="true"/>
              </w:rPr>
              <w:t>اشارة</w:t>
            </w:r>
            <w:r>
              <w:rPr>
                <w:rStyle w:val="IndexLink"/>
                <w:rtl w:val="true"/>
              </w:rPr>
              <w:tab/>
            </w:r>
            <w:r>
              <w:rPr>
                <w:rStyle w:val="IndexLink"/>
              </w:rPr>
              <w:t>289</w:t>
            </w:r>
          </w:hyperlink>
        </w:p>
        <w:p>
          <w:pPr>
            <w:pStyle w:val="Contents3"/>
            <w:tabs>
              <w:tab w:val="clear" w:pos="8459"/>
              <w:tab w:val="right" w:pos="9026" w:leader="dot"/>
            </w:tabs>
            <w:rPr/>
          </w:pPr>
          <w:hyperlink w:anchor="__RefHeading___Toc8896065_417432637">
            <w:r>
              <w:rPr>
                <w:webHidden/>
                <w:rStyle w:val="IndexLink"/>
                <w:rtl w:val="true"/>
              </w:rPr>
              <w:t>[</w:t>
            </w:r>
            <w:r>
              <w:rPr>
                <w:rStyle w:val="IndexLink"/>
                <w:rtl w:val="true"/>
              </w:rPr>
              <w:t>مقدمة تشتمل على مسائل</w:t>
            </w:r>
            <w:r>
              <w:rPr>
                <w:rStyle w:val="IndexLink"/>
                <w:rtl w:val="true"/>
              </w:rPr>
              <w:t>]</w:t>
              <w:tab/>
            </w:r>
            <w:r>
              <w:rPr>
                <w:rStyle w:val="IndexLink"/>
              </w:rPr>
              <w:t>290</w:t>
            </w:r>
          </w:hyperlink>
        </w:p>
        <w:p>
          <w:pPr>
            <w:pStyle w:val="Contents4"/>
            <w:tabs>
              <w:tab w:val="clear" w:pos="8176"/>
              <w:tab w:val="right" w:pos="9026" w:leader="dot"/>
            </w:tabs>
            <w:rPr/>
          </w:pPr>
          <w:hyperlink w:anchor="__RefHeading___Toc8896067_417432637">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8896069_417432637">
            <w:r>
              <w:rPr>
                <w:webHidden/>
                <w:rStyle w:val="IndexLink"/>
                <w:rtl w:val="true"/>
              </w:rPr>
              <w:t>[</w:t>
            </w:r>
            <w:r>
              <w:rPr>
                <w:rStyle w:val="IndexLink"/>
                <w:rtl w:val="true"/>
              </w:rPr>
              <w:t xml:space="preserve">مسألة </w:t>
            </w:r>
            <w:r>
              <w:rPr>
                <w:rStyle w:val="IndexLink"/>
              </w:rPr>
              <w:t>1</w:t>
            </w:r>
            <w:r>
              <w:rPr>
                <w:rStyle w:val="IndexLink"/>
                <w:rtl w:val="true"/>
              </w:rPr>
              <w:t xml:space="preserve"> </w:t>
            </w:r>
            <w:r>
              <w:rPr>
                <w:rStyle w:val="IndexLink"/>
                <w:rtl w:val="true"/>
              </w:rPr>
              <w:t>حرمة الاكتساب بالأعيان النجسة</w:t>
            </w:r>
            <w:r>
              <w:rPr>
                <w:rStyle w:val="IndexLink"/>
                <w:rtl w:val="true"/>
              </w:rPr>
              <w:t>]</w:t>
              <w:tab/>
            </w:r>
            <w:r>
              <w:rPr>
                <w:rStyle w:val="IndexLink"/>
              </w:rPr>
              <w:t>290</w:t>
            </w:r>
          </w:hyperlink>
        </w:p>
        <w:p>
          <w:pPr>
            <w:pStyle w:val="Contents5"/>
            <w:tabs>
              <w:tab w:val="clear" w:pos="7892"/>
              <w:tab w:val="right" w:pos="9026" w:leader="dot"/>
            </w:tabs>
            <w:rPr/>
          </w:pPr>
          <w:hyperlink w:anchor="__RefHeading___Toc8896071_417432637">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8896073_417432637">
            <w:r>
              <w:rPr>
                <w:webHidden/>
                <w:rStyle w:val="IndexLink"/>
                <w:rtl w:val="true"/>
              </w:rPr>
              <w:t>[</w:t>
            </w:r>
            <w:r>
              <w:rPr>
                <w:rStyle w:val="IndexLink"/>
                <w:rtl w:val="true"/>
              </w:rPr>
              <w:t>و يستثنى من ذلك العصير المغلي قبل ذهاب ثلثيه</w:t>
            </w:r>
            <w:r>
              <w:rPr>
                <w:rStyle w:val="IndexLink"/>
                <w:rtl w:val="true"/>
              </w:rPr>
              <w:t>]</w:t>
              <w:tab/>
            </w:r>
            <w:r>
              <w:rPr>
                <w:rStyle w:val="IndexLink"/>
              </w:rPr>
              <w:t>322</w:t>
            </w:r>
          </w:hyperlink>
        </w:p>
        <w:p>
          <w:pPr>
            <w:pStyle w:val="Contents5"/>
            <w:tabs>
              <w:tab w:val="clear" w:pos="7892"/>
              <w:tab w:val="right" w:pos="9026" w:leader="dot"/>
            </w:tabs>
            <w:rPr/>
          </w:pPr>
          <w:hyperlink w:anchor="__RefHeading___Toc8896075_417432637">
            <w:r>
              <w:rPr>
                <w:webHidden/>
                <w:rStyle w:val="IndexLink"/>
                <w:rtl w:val="true"/>
              </w:rPr>
              <w:t>[</w:t>
            </w:r>
            <w:r>
              <w:rPr>
                <w:rStyle w:val="IndexLink"/>
                <w:rtl w:val="true"/>
              </w:rPr>
              <w:t>حكم التكسّب بالكافر</w:t>
            </w:r>
            <w:r>
              <w:rPr>
                <w:rStyle w:val="IndexLink"/>
                <w:rtl w:val="true"/>
              </w:rPr>
              <w:t>]</w:t>
              <w:tab/>
            </w:r>
            <w:r>
              <w:rPr>
                <w:rStyle w:val="IndexLink"/>
              </w:rPr>
              <w:t>324</w:t>
            </w:r>
          </w:hyperlink>
        </w:p>
        <w:p>
          <w:pPr>
            <w:pStyle w:val="Contents4"/>
            <w:tabs>
              <w:tab w:val="clear" w:pos="8176"/>
              <w:tab w:val="right" w:pos="9026" w:leader="dot"/>
            </w:tabs>
            <w:rPr/>
          </w:pPr>
          <w:hyperlink w:anchor="__RefHeading___Toc8896077_417432637">
            <w:r>
              <w:rPr>
                <w:webHidden/>
                <w:rStyle w:val="IndexLink"/>
                <w:rtl w:val="true"/>
              </w:rPr>
              <w:t>[</w:t>
            </w:r>
            <w:r>
              <w:rPr>
                <w:rStyle w:val="IndexLink"/>
                <w:rtl w:val="true"/>
              </w:rPr>
              <w:t xml:space="preserve">مسألة </w:t>
            </w:r>
            <w:r>
              <w:rPr>
                <w:rStyle w:val="IndexLink"/>
              </w:rPr>
              <w:t>2</w:t>
            </w:r>
            <w:r>
              <w:rPr>
                <w:rStyle w:val="IndexLink"/>
                <w:rtl w:val="true"/>
              </w:rPr>
              <w:t xml:space="preserve">: </w:t>
            </w:r>
            <w:r>
              <w:rPr>
                <w:rStyle w:val="IndexLink"/>
                <w:rtl w:val="true"/>
              </w:rPr>
              <w:t>الأعيان النجسة لا يجوز الاكتساب بها</w:t>
            </w:r>
            <w:r>
              <w:rPr>
                <w:rStyle w:val="IndexLink"/>
                <w:rtl w:val="true"/>
              </w:rPr>
              <w:t>]</w:t>
              <w:tab/>
            </w:r>
            <w:r>
              <w:rPr>
                <w:rStyle w:val="IndexLink"/>
              </w:rPr>
              <w:t>328</w:t>
            </w:r>
          </w:hyperlink>
        </w:p>
        <w:p>
          <w:pPr>
            <w:pStyle w:val="Contents4"/>
            <w:tabs>
              <w:tab w:val="clear" w:pos="8176"/>
              <w:tab w:val="right" w:pos="9026" w:leader="dot"/>
            </w:tabs>
            <w:rPr/>
          </w:pPr>
          <w:hyperlink w:anchor="__RefHeading___Toc8896079_417432637">
            <w:r>
              <w:rPr>
                <w:webHidden/>
                <w:rStyle w:val="IndexLink"/>
                <w:rtl w:val="true"/>
              </w:rPr>
              <w:t>[</w:t>
            </w:r>
            <w:r>
              <w:rPr>
                <w:rStyle w:val="IndexLink"/>
                <w:rtl w:val="true"/>
              </w:rPr>
              <w:t xml:space="preserve">مسألة </w:t>
            </w:r>
            <w:r>
              <w:rPr>
                <w:rStyle w:val="IndexLink"/>
              </w:rPr>
              <w:t>3</w:t>
            </w:r>
            <w:r>
              <w:rPr>
                <w:rStyle w:val="IndexLink"/>
                <w:rtl w:val="true"/>
              </w:rPr>
              <w:t xml:space="preserve">: </w:t>
            </w:r>
            <w:r>
              <w:rPr>
                <w:rStyle w:val="IndexLink"/>
                <w:rtl w:val="true"/>
              </w:rPr>
              <w:t>لا إشكال في جواز بيع ما لا تحلّه الحياة من أجزاء الميتة، ممّا كانت له منفعة محلّلة مقصودة</w:t>
            </w:r>
            <w:r>
              <w:rPr>
                <w:rStyle w:val="IndexLink"/>
                <w:rtl w:val="true"/>
              </w:rPr>
              <w:t>]</w:t>
              <w:tab/>
            </w:r>
            <w:r>
              <w:rPr>
                <w:rStyle w:val="IndexLink"/>
              </w:rPr>
              <w:t>333</w:t>
            </w:r>
          </w:hyperlink>
        </w:p>
        <w:p>
          <w:pPr>
            <w:pStyle w:val="Contents4"/>
            <w:tabs>
              <w:tab w:val="clear" w:pos="8176"/>
              <w:tab w:val="right" w:pos="9026" w:leader="dot"/>
            </w:tabs>
            <w:rPr/>
          </w:pPr>
          <w:hyperlink w:anchor="__RefHeading___Toc8896081_417432637">
            <w:r>
              <w:rPr>
                <w:webHidden/>
                <w:rStyle w:val="IndexLink"/>
                <w:rtl w:val="true"/>
              </w:rPr>
              <w:t>[</w:t>
            </w:r>
            <w:r>
              <w:rPr>
                <w:rStyle w:val="IndexLink"/>
                <w:rtl w:val="true"/>
              </w:rPr>
              <w:t xml:space="preserve">مسألة </w:t>
            </w:r>
            <w:r>
              <w:rPr>
                <w:rStyle w:val="IndexLink"/>
              </w:rPr>
              <w:t>4</w:t>
            </w:r>
            <w:r>
              <w:rPr>
                <w:rStyle w:val="IndexLink"/>
                <w:rtl w:val="true"/>
              </w:rPr>
              <w:t xml:space="preserve">: </w:t>
            </w:r>
            <w:r>
              <w:rPr>
                <w:rStyle w:val="IndexLink"/>
                <w:rtl w:val="true"/>
              </w:rPr>
              <w:t>لا إشكال في جواز بيع الأرواث الطاهرة إذا كانت لها منفعة</w:t>
            </w:r>
            <w:r>
              <w:rPr>
                <w:rStyle w:val="IndexLink"/>
                <w:rtl w:val="true"/>
              </w:rPr>
              <w:t>]</w:t>
              <w:tab/>
            </w:r>
            <w:r>
              <w:rPr>
                <w:rStyle w:val="IndexLink"/>
              </w:rPr>
              <w:t>336</w:t>
            </w:r>
          </w:hyperlink>
        </w:p>
        <w:p>
          <w:pPr>
            <w:pStyle w:val="Contents4"/>
            <w:tabs>
              <w:tab w:val="clear" w:pos="8176"/>
              <w:tab w:val="right" w:pos="9026" w:leader="dot"/>
            </w:tabs>
            <w:rPr/>
          </w:pPr>
          <w:hyperlink w:anchor="__RefHeading___Toc8896083_417432637">
            <w:r>
              <w:rPr>
                <w:webHidden/>
                <w:rStyle w:val="IndexLink"/>
                <w:rtl w:val="true"/>
              </w:rPr>
              <w:t>[</w:t>
            </w:r>
            <w:r>
              <w:rPr>
                <w:rStyle w:val="IndexLink"/>
                <w:rtl w:val="true"/>
              </w:rPr>
              <w:t xml:space="preserve">مسألة </w:t>
            </w:r>
            <w:r>
              <w:rPr>
                <w:rStyle w:val="IndexLink"/>
              </w:rPr>
              <w:t>5</w:t>
            </w:r>
            <w:r>
              <w:rPr>
                <w:rStyle w:val="IndexLink"/>
                <w:rtl w:val="true"/>
              </w:rPr>
              <w:t xml:space="preserve">: </w:t>
            </w:r>
            <w:r>
              <w:rPr>
                <w:rStyle w:val="IndexLink"/>
                <w:rtl w:val="true"/>
              </w:rPr>
              <w:t>لا إشكال في جواز بيع المتنجّس الذي يقبل التطهير</w:t>
            </w:r>
            <w:r>
              <w:rPr>
                <w:rStyle w:val="IndexLink"/>
                <w:rtl w:val="true"/>
              </w:rPr>
              <w:t>]</w:t>
              <w:tab/>
            </w:r>
            <w:r>
              <w:rPr>
                <w:rStyle w:val="IndexLink"/>
              </w:rPr>
              <w:t>339</w:t>
            </w:r>
          </w:hyperlink>
        </w:p>
        <w:p>
          <w:pPr>
            <w:pStyle w:val="Contents4"/>
            <w:tabs>
              <w:tab w:val="clear" w:pos="8176"/>
              <w:tab w:val="right" w:pos="9026" w:leader="dot"/>
            </w:tabs>
            <w:rPr/>
          </w:pPr>
          <w:hyperlink w:anchor="__RefHeading___Toc8896085_417432637">
            <w:r>
              <w:rPr>
                <w:webHidden/>
                <w:rStyle w:val="IndexLink"/>
                <w:rtl w:val="true"/>
              </w:rPr>
              <w:t>[</w:t>
            </w:r>
            <w:r>
              <w:rPr>
                <w:rStyle w:val="IndexLink"/>
                <w:rtl w:val="true"/>
              </w:rPr>
              <w:t xml:space="preserve">مسألة </w:t>
            </w:r>
            <w:r>
              <w:rPr>
                <w:rStyle w:val="IndexLink"/>
              </w:rPr>
              <w:t>6</w:t>
            </w:r>
            <w:r>
              <w:rPr>
                <w:rStyle w:val="IndexLink"/>
                <w:rtl w:val="true"/>
              </w:rPr>
              <w:t xml:space="preserve">: </w:t>
            </w:r>
            <w:r>
              <w:rPr>
                <w:rStyle w:val="IndexLink"/>
                <w:rtl w:val="true"/>
              </w:rPr>
              <w:t>لا بأس ببيع الترياق المشتمل على لحوم الأفاعي</w:t>
            </w:r>
            <w:r>
              <w:rPr>
                <w:rStyle w:val="IndexLink"/>
                <w:rtl w:val="true"/>
              </w:rPr>
              <w:t>]</w:t>
              <w:tab/>
            </w:r>
            <w:r>
              <w:rPr>
                <w:rStyle w:val="IndexLink"/>
              </w:rPr>
              <w:t>341</w:t>
            </w:r>
          </w:hyperlink>
        </w:p>
        <w:p>
          <w:pPr>
            <w:pStyle w:val="Contents4"/>
            <w:tabs>
              <w:tab w:val="clear" w:pos="8176"/>
              <w:tab w:val="right" w:pos="9026" w:leader="dot"/>
            </w:tabs>
            <w:rPr/>
          </w:pPr>
          <w:hyperlink w:anchor="__RefHeading___Toc8896087_417432637">
            <w:r>
              <w:rPr>
                <w:webHidden/>
                <w:rStyle w:val="IndexLink"/>
                <w:rtl w:val="true"/>
              </w:rPr>
              <w:t>[</w:t>
            </w:r>
            <w:r>
              <w:rPr>
                <w:rStyle w:val="IndexLink"/>
                <w:rtl w:val="true"/>
              </w:rPr>
              <w:t xml:space="preserve">مسألة </w:t>
            </w:r>
            <w:r>
              <w:rPr>
                <w:rStyle w:val="IndexLink"/>
              </w:rPr>
              <w:t>7</w:t>
            </w:r>
            <w:r>
              <w:rPr>
                <w:rStyle w:val="IndexLink"/>
                <w:rtl w:val="true"/>
              </w:rPr>
              <w:t xml:space="preserve">: </w:t>
            </w:r>
            <w:r>
              <w:rPr>
                <w:rStyle w:val="IndexLink"/>
                <w:rtl w:val="true"/>
              </w:rPr>
              <w:t>يجوز بيع الهرّة و يحلّ ثمنها</w:t>
            </w:r>
            <w:r>
              <w:rPr>
                <w:rStyle w:val="IndexLink"/>
                <w:rtl w:val="true"/>
              </w:rPr>
              <w:t>]</w:t>
              <w:tab/>
            </w:r>
            <w:r>
              <w:rPr>
                <w:rStyle w:val="IndexLink"/>
              </w:rPr>
              <w:t>343</w:t>
            </w:r>
          </w:hyperlink>
        </w:p>
        <w:p>
          <w:pPr>
            <w:pStyle w:val="Contents4"/>
            <w:tabs>
              <w:tab w:val="clear" w:pos="8176"/>
              <w:tab w:val="right" w:pos="9026" w:leader="dot"/>
            </w:tabs>
            <w:rPr/>
          </w:pPr>
          <w:hyperlink w:anchor="__RefHeading___Toc8896089_417432637">
            <w:r>
              <w:rPr>
                <w:webHidden/>
                <w:rStyle w:val="IndexLink"/>
                <w:rtl w:val="true"/>
              </w:rPr>
              <w:t>[</w:t>
            </w:r>
            <w:r>
              <w:rPr>
                <w:rStyle w:val="IndexLink"/>
                <w:rtl w:val="true"/>
              </w:rPr>
              <w:t xml:space="preserve">مسألة </w:t>
            </w:r>
            <w:r>
              <w:rPr>
                <w:rStyle w:val="IndexLink"/>
              </w:rPr>
              <w:t>8</w:t>
            </w:r>
            <w:r>
              <w:rPr>
                <w:rStyle w:val="IndexLink"/>
                <w:rtl w:val="true"/>
              </w:rPr>
              <w:t xml:space="preserve">: </w:t>
            </w:r>
            <w:r>
              <w:rPr>
                <w:rStyle w:val="IndexLink"/>
                <w:rtl w:val="true"/>
              </w:rPr>
              <w:t>يحرم بيع كلّ ما كان آلة للحرام</w:t>
            </w:r>
            <w:r>
              <w:rPr>
                <w:rStyle w:val="IndexLink"/>
                <w:rtl w:val="true"/>
              </w:rPr>
              <w:t>]</w:t>
              <w:tab/>
            </w:r>
            <w:r>
              <w:rPr>
                <w:rStyle w:val="IndexLink"/>
              </w:rPr>
              <w:t>346</w:t>
            </w:r>
          </w:hyperlink>
        </w:p>
        <w:p>
          <w:pPr>
            <w:pStyle w:val="Contents4"/>
            <w:tabs>
              <w:tab w:val="clear" w:pos="8176"/>
              <w:tab w:val="right" w:pos="9026" w:leader="dot"/>
            </w:tabs>
            <w:rPr/>
          </w:pPr>
          <w:hyperlink w:anchor="__RefHeading___Toc8896091_417432637">
            <w:r>
              <w:rPr>
                <w:webHidden/>
                <w:rStyle w:val="IndexLink"/>
                <w:rtl w:val="true"/>
              </w:rPr>
              <w:t>[</w:t>
            </w:r>
            <w:r>
              <w:rPr>
                <w:rStyle w:val="IndexLink"/>
                <w:rtl w:val="true"/>
              </w:rPr>
              <w:t xml:space="preserve">مسألة </w:t>
            </w:r>
            <w:r>
              <w:rPr>
                <w:rStyle w:val="IndexLink"/>
              </w:rPr>
              <w:t>9</w:t>
            </w:r>
            <w:r>
              <w:rPr>
                <w:rStyle w:val="IndexLink"/>
                <w:rtl w:val="true"/>
              </w:rPr>
              <w:t xml:space="preserve">: </w:t>
            </w:r>
            <w:r>
              <w:rPr>
                <w:rStyle w:val="IndexLink"/>
                <w:rtl w:val="true"/>
              </w:rPr>
              <w:t>الدراهم الخارجة أو المغشوشة، المعمولة لأجل غشّ الناس، تحرم المعاملة بها</w:t>
            </w:r>
            <w:r>
              <w:rPr>
                <w:rStyle w:val="IndexLink"/>
                <w:rtl w:val="true"/>
              </w:rPr>
              <w:t>]</w:t>
              <w:tab/>
            </w:r>
            <w:r>
              <w:rPr>
                <w:rStyle w:val="IndexLink"/>
              </w:rPr>
              <w:t>354</w:t>
            </w:r>
          </w:hyperlink>
        </w:p>
        <w:p>
          <w:pPr>
            <w:pStyle w:val="Contents4"/>
            <w:tabs>
              <w:tab w:val="clear" w:pos="8176"/>
              <w:tab w:val="right" w:pos="9026" w:leader="dot"/>
            </w:tabs>
            <w:rPr/>
          </w:pPr>
          <w:hyperlink w:anchor="__RefHeading___Toc8896093_417432637">
            <w:r>
              <w:rPr>
                <w:webHidden/>
                <w:rStyle w:val="IndexLink"/>
                <w:rtl w:val="true"/>
              </w:rPr>
              <w:t>[</w:t>
            </w:r>
            <w:r>
              <w:rPr>
                <w:rStyle w:val="IndexLink"/>
                <w:rtl w:val="true"/>
              </w:rPr>
              <w:t xml:space="preserve">مسألة </w:t>
            </w:r>
            <w:r>
              <w:rPr>
                <w:rStyle w:val="IndexLink"/>
              </w:rPr>
              <w:t>10</w:t>
            </w:r>
            <w:r>
              <w:rPr>
                <w:rStyle w:val="IndexLink"/>
                <w:rtl w:val="true"/>
              </w:rPr>
              <w:t xml:space="preserve">: </w:t>
            </w:r>
            <w:r>
              <w:rPr>
                <w:rStyle w:val="IndexLink"/>
                <w:rtl w:val="true"/>
              </w:rPr>
              <w:t>يحرم بيع العنب أو التمر ليعمل خمراً، و الخشب مثلًا ليعمل صنماً</w:t>
            </w:r>
            <w:r>
              <w:rPr>
                <w:rStyle w:val="IndexLink"/>
                <w:rtl w:val="true"/>
              </w:rPr>
              <w:t>]</w:t>
              <w:tab/>
            </w:r>
            <w:r>
              <w:rPr>
                <w:rStyle w:val="IndexLink"/>
              </w:rPr>
              <w:t>359</w:t>
            </w:r>
          </w:hyperlink>
        </w:p>
        <w:p>
          <w:pPr>
            <w:pStyle w:val="Contents4"/>
            <w:tabs>
              <w:tab w:val="clear" w:pos="8176"/>
              <w:tab w:val="right" w:pos="9026" w:leader="dot"/>
            </w:tabs>
            <w:rPr/>
          </w:pPr>
          <w:hyperlink w:anchor="__RefHeading___Toc8896095_417432637">
            <w:r>
              <w:rPr>
                <w:webHidden/>
                <w:rStyle w:val="IndexLink"/>
                <w:rtl w:val="true"/>
              </w:rPr>
              <w:t>[</w:t>
            </w:r>
            <w:r>
              <w:rPr>
                <w:rStyle w:val="IndexLink"/>
                <w:rtl w:val="true"/>
              </w:rPr>
              <w:t xml:space="preserve">مسألة </w:t>
            </w:r>
            <w:r>
              <w:rPr>
                <w:rStyle w:val="IndexLink"/>
              </w:rPr>
              <w:t>11</w:t>
            </w:r>
            <w:r>
              <w:rPr>
                <w:rStyle w:val="IndexLink"/>
                <w:rtl w:val="true"/>
              </w:rPr>
              <w:t xml:space="preserve">: </w:t>
            </w:r>
            <w:r>
              <w:rPr>
                <w:rStyle w:val="IndexLink"/>
                <w:rtl w:val="true"/>
              </w:rPr>
              <w:t>يحرم بيع السلاح من أعداء الدين</w:t>
            </w:r>
            <w:r>
              <w:rPr>
                <w:rStyle w:val="IndexLink"/>
                <w:rtl w:val="true"/>
              </w:rPr>
              <w:t>]</w:t>
              <w:tab/>
            </w:r>
            <w:r>
              <w:rPr>
                <w:rStyle w:val="IndexLink"/>
              </w:rPr>
              <w:t>367</w:t>
            </w:r>
          </w:hyperlink>
        </w:p>
        <w:p>
          <w:pPr>
            <w:pStyle w:val="Contents4"/>
            <w:tabs>
              <w:tab w:val="clear" w:pos="8176"/>
              <w:tab w:val="right" w:pos="9026" w:leader="dot"/>
            </w:tabs>
            <w:rPr/>
          </w:pPr>
          <w:hyperlink w:anchor="__RefHeading___Toc8896097_417432637">
            <w:r>
              <w:rPr>
                <w:webHidden/>
                <w:rStyle w:val="IndexLink"/>
                <w:rtl w:val="true"/>
              </w:rPr>
              <w:t>[</w:t>
            </w:r>
            <w:r>
              <w:rPr>
                <w:rStyle w:val="IndexLink"/>
                <w:rtl w:val="true"/>
              </w:rPr>
              <w:t xml:space="preserve">مسألة </w:t>
            </w:r>
            <w:r>
              <w:rPr>
                <w:rStyle w:val="IndexLink"/>
              </w:rPr>
              <w:t>12</w:t>
            </w:r>
            <w:r>
              <w:rPr>
                <w:rStyle w:val="IndexLink"/>
                <w:rtl w:val="true"/>
              </w:rPr>
              <w:t xml:space="preserve">: </w:t>
            </w:r>
            <w:r>
              <w:rPr>
                <w:rStyle w:val="IndexLink"/>
                <w:rtl w:val="true"/>
              </w:rPr>
              <w:t>يحرم تصوير ذوات الأرواح من الإنسان، و الحيوان إذا كانت الصورة مجسّمة</w:t>
            </w:r>
            <w:r>
              <w:rPr>
                <w:rStyle w:val="IndexLink"/>
                <w:rtl w:val="true"/>
              </w:rPr>
              <w:t>]</w:t>
              <w:tab/>
            </w:r>
            <w:r>
              <w:rPr>
                <w:rStyle w:val="IndexLink"/>
              </w:rPr>
              <w:t>373</w:t>
            </w:r>
          </w:hyperlink>
        </w:p>
        <w:p>
          <w:pPr>
            <w:pStyle w:val="Contents4"/>
            <w:tabs>
              <w:tab w:val="clear" w:pos="8176"/>
              <w:tab w:val="right" w:pos="9026" w:leader="dot"/>
            </w:tabs>
            <w:rPr/>
          </w:pPr>
          <w:hyperlink w:anchor="__RefHeading___Toc8896099_417432637">
            <w:r>
              <w:rPr>
                <w:webHidden/>
                <w:rStyle w:val="IndexLink"/>
                <w:rtl w:val="true"/>
              </w:rPr>
              <w:t>[</w:t>
            </w:r>
            <w:r>
              <w:rPr>
                <w:rStyle w:val="IndexLink"/>
                <w:rtl w:val="true"/>
              </w:rPr>
              <w:t xml:space="preserve">مسألة </w:t>
            </w:r>
            <w:r>
              <w:rPr>
                <w:rStyle w:val="IndexLink"/>
              </w:rPr>
              <w:t>13</w:t>
            </w:r>
            <w:r>
              <w:rPr>
                <w:rStyle w:val="IndexLink"/>
                <w:rtl w:val="true"/>
              </w:rPr>
              <w:t xml:space="preserve">: </w:t>
            </w:r>
            <w:r>
              <w:rPr>
                <w:rStyle w:val="IndexLink"/>
                <w:rtl w:val="true"/>
              </w:rPr>
              <w:t>الغناء حرام فعله</w:t>
            </w:r>
            <w:r>
              <w:rPr>
                <w:rStyle w:val="IndexLink"/>
                <w:rtl w:val="true"/>
              </w:rPr>
              <w:t>]</w:t>
              <w:tab/>
            </w:r>
            <w:r>
              <w:rPr>
                <w:rStyle w:val="IndexLink"/>
              </w:rPr>
              <w:t>385</w:t>
            </w:r>
          </w:hyperlink>
        </w:p>
        <w:p>
          <w:pPr>
            <w:pStyle w:val="Contents4"/>
            <w:tabs>
              <w:tab w:val="clear" w:pos="8176"/>
              <w:tab w:val="right" w:pos="9026" w:leader="dot"/>
            </w:tabs>
            <w:rPr/>
          </w:pPr>
          <w:hyperlink w:anchor="__RefHeading___Toc8896101_417432637">
            <w:r>
              <w:rPr>
                <w:webHidden/>
                <w:rStyle w:val="IndexLink"/>
                <w:rtl w:val="true"/>
              </w:rPr>
              <w:t>[</w:t>
            </w:r>
            <w:r>
              <w:rPr>
                <w:rStyle w:val="IndexLink"/>
                <w:rtl w:val="true"/>
              </w:rPr>
              <w:t xml:space="preserve">مسألة </w:t>
            </w:r>
            <w:r>
              <w:rPr>
                <w:rStyle w:val="IndexLink"/>
              </w:rPr>
              <w:t>14</w:t>
            </w:r>
            <w:r>
              <w:rPr>
                <w:rStyle w:val="IndexLink"/>
                <w:rtl w:val="true"/>
              </w:rPr>
              <w:t xml:space="preserve">: </w:t>
            </w:r>
            <w:r>
              <w:rPr>
                <w:rStyle w:val="IndexLink"/>
                <w:rtl w:val="true"/>
              </w:rPr>
              <w:t>معونة الظالمين في ظلمهم، بل في كلّ محرّم، حرام</w:t>
            </w:r>
            <w:r>
              <w:rPr>
                <w:rStyle w:val="IndexLink"/>
                <w:rtl w:val="true"/>
              </w:rPr>
              <w:t>]</w:t>
              <w:tab/>
            </w:r>
            <w:r>
              <w:rPr>
                <w:rStyle w:val="IndexLink"/>
              </w:rPr>
              <w:t>402</w:t>
            </w:r>
          </w:hyperlink>
        </w:p>
        <w:p>
          <w:pPr>
            <w:pStyle w:val="Contents4"/>
            <w:tabs>
              <w:tab w:val="clear" w:pos="8176"/>
              <w:tab w:val="right" w:pos="9026" w:leader="dot"/>
            </w:tabs>
            <w:rPr/>
          </w:pPr>
          <w:hyperlink w:anchor="__RefHeading___Toc8896103_417432637">
            <w:r>
              <w:rPr>
                <w:webHidden/>
                <w:rStyle w:val="IndexLink"/>
                <w:rtl w:val="true"/>
              </w:rPr>
              <w:t>[</w:t>
            </w:r>
            <w:r>
              <w:rPr>
                <w:rStyle w:val="IndexLink"/>
                <w:rtl w:val="true"/>
              </w:rPr>
              <w:t xml:space="preserve">مسألة </w:t>
            </w:r>
            <w:r>
              <w:rPr>
                <w:rStyle w:val="IndexLink"/>
              </w:rPr>
              <w:t>15</w:t>
            </w:r>
            <w:r>
              <w:rPr>
                <w:rStyle w:val="IndexLink"/>
                <w:rtl w:val="true"/>
              </w:rPr>
              <w:t xml:space="preserve">: </w:t>
            </w:r>
            <w:r>
              <w:rPr>
                <w:rStyle w:val="IndexLink"/>
                <w:rtl w:val="true"/>
              </w:rPr>
              <w:t>يحرم حفظ كتب الضلال</w:t>
            </w:r>
            <w:r>
              <w:rPr>
                <w:rStyle w:val="IndexLink"/>
                <w:rtl w:val="true"/>
              </w:rPr>
              <w:t>]</w:t>
              <w:tab/>
            </w:r>
            <w:r>
              <w:rPr>
                <w:rStyle w:val="IndexLink"/>
              </w:rPr>
              <w:t>410</w:t>
            </w:r>
          </w:hyperlink>
        </w:p>
        <w:p>
          <w:pPr>
            <w:pStyle w:val="Contents4"/>
            <w:tabs>
              <w:tab w:val="clear" w:pos="8176"/>
              <w:tab w:val="right" w:pos="9026" w:leader="dot"/>
            </w:tabs>
            <w:rPr/>
          </w:pPr>
          <w:hyperlink w:anchor="__RefHeading___Toc8896105_417432637">
            <w:r>
              <w:rPr>
                <w:webHidden/>
                <w:rStyle w:val="IndexLink"/>
                <w:rtl w:val="true"/>
              </w:rPr>
              <w:t>[</w:t>
            </w:r>
            <w:r>
              <w:rPr>
                <w:rStyle w:val="IndexLink"/>
                <w:rtl w:val="true"/>
              </w:rPr>
              <w:t xml:space="preserve">مسألة </w:t>
            </w:r>
            <w:r>
              <w:rPr>
                <w:rStyle w:val="IndexLink"/>
              </w:rPr>
              <w:t>16</w:t>
            </w:r>
            <w:r>
              <w:rPr>
                <w:rStyle w:val="IndexLink"/>
                <w:rtl w:val="true"/>
              </w:rPr>
              <w:t xml:space="preserve">: </w:t>
            </w:r>
            <w:r>
              <w:rPr>
                <w:rStyle w:val="IndexLink"/>
                <w:rtl w:val="true"/>
              </w:rPr>
              <w:t>عمل السحر و تعليمه و تعلّمه و التكسّب به حرام</w:t>
            </w:r>
            <w:r>
              <w:rPr>
                <w:rStyle w:val="IndexLink"/>
                <w:rtl w:val="true"/>
              </w:rPr>
              <w:t>]</w:t>
              <w:tab/>
            </w:r>
            <w:r>
              <w:rPr>
                <w:rStyle w:val="IndexLink"/>
              </w:rPr>
              <w:t>414</w:t>
            </w:r>
          </w:hyperlink>
        </w:p>
        <w:p>
          <w:pPr>
            <w:pStyle w:val="Contents4"/>
            <w:tabs>
              <w:tab w:val="clear" w:pos="8176"/>
              <w:tab w:val="right" w:pos="9026" w:leader="dot"/>
            </w:tabs>
            <w:rPr/>
          </w:pPr>
          <w:hyperlink w:anchor="__RefHeading___Toc8896107_417432637">
            <w:r>
              <w:rPr>
                <w:webHidden/>
                <w:rStyle w:val="IndexLink"/>
                <w:rtl w:val="true"/>
              </w:rPr>
              <w:t>[</w:t>
            </w:r>
            <w:r>
              <w:rPr>
                <w:rStyle w:val="IndexLink"/>
                <w:rtl w:val="true"/>
              </w:rPr>
              <w:t xml:space="preserve">مسألة </w:t>
            </w:r>
            <w:r>
              <w:rPr>
                <w:rStyle w:val="IndexLink"/>
              </w:rPr>
              <w:t>17</w:t>
            </w:r>
            <w:r>
              <w:rPr>
                <w:rStyle w:val="IndexLink"/>
                <w:rtl w:val="true"/>
              </w:rPr>
              <w:t xml:space="preserve">: </w:t>
            </w:r>
            <w:r>
              <w:rPr>
                <w:rStyle w:val="IndexLink"/>
                <w:rtl w:val="true"/>
              </w:rPr>
              <w:t>يحرم الغشّ</w:t>
            </w:r>
            <w:r>
              <w:rPr>
                <w:rStyle w:val="IndexLink"/>
                <w:rtl w:val="true"/>
              </w:rPr>
              <w:t>]</w:t>
              <w:tab/>
            </w:r>
            <w:r>
              <w:rPr>
                <w:rStyle w:val="IndexLink"/>
              </w:rPr>
              <w:t>431</w:t>
            </w:r>
          </w:hyperlink>
        </w:p>
        <w:p>
          <w:pPr>
            <w:pStyle w:val="Contents4"/>
            <w:tabs>
              <w:tab w:val="clear" w:pos="8176"/>
              <w:tab w:val="right" w:pos="9026" w:leader="dot"/>
            </w:tabs>
            <w:rPr/>
          </w:pPr>
          <w:hyperlink w:anchor="__RefHeading___Toc8896109_417432637">
            <w:r>
              <w:rPr>
                <w:webHidden/>
                <w:rStyle w:val="IndexLink"/>
                <w:rtl w:val="true"/>
              </w:rPr>
              <w:t>[</w:t>
            </w:r>
            <w:r>
              <w:rPr>
                <w:rStyle w:val="IndexLink"/>
                <w:rtl w:val="true"/>
              </w:rPr>
              <w:t xml:space="preserve">مسألة </w:t>
            </w:r>
            <w:r>
              <w:rPr>
                <w:rStyle w:val="IndexLink"/>
              </w:rPr>
              <w:t>18</w:t>
            </w:r>
            <w:r>
              <w:rPr>
                <w:rStyle w:val="IndexLink"/>
                <w:rtl w:val="true"/>
              </w:rPr>
              <w:t xml:space="preserve">: </w:t>
            </w:r>
            <w:r>
              <w:rPr>
                <w:rStyle w:val="IndexLink"/>
                <w:rtl w:val="true"/>
              </w:rPr>
              <w:t>يحرم أخذ الأُجرة على ما يجب عليه فعله</w:t>
            </w:r>
            <w:r>
              <w:rPr>
                <w:rStyle w:val="IndexLink"/>
                <w:rtl w:val="true"/>
              </w:rPr>
              <w:t>]</w:t>
              <w:tab/>
            </w:r>
            <w:r>
              <w:rPr>
                <w:rStyle w:val="IndexLink"/>
              </w:rPr>
              <w:t>435</w:t>
            </w:r>
          </w:hyperlink>
        </w:p>
        <w:p>
          <w:pPr>
            <w:pStyle w:val="Contents4"/>
            <w:tabs>
              <w:tab w:val="clear" w:pos="8176"/>
              <w:tab w:val="right" w:pos="9026" w:leader="dot"/>
            </w:tabs>
            <w:rPr/>
          </w:pPr>
          <w:hyperlink w:anchor="__RefHeading___Toc8896111_417432637">
            <w:r>
              <w:rPr>
                <w:webHidden/>
                <w:rStyle w:val="IndexLink"/>
                <w:rtl w:val="true"/>
              </w:rPr>
              <w:t>[</w:t>
            </w:r>
            <w:r>
              <w:rPr>
                <w:rStyle w:val="IndexLink"/>
                <w:rtl w:val="true"/>
              </w:rPr>
              <w:t xml:space="preserve">مسألة </w:t>
            </w:r>
            <w:r>
              <w:rPr>
                <w:rStyle w:val="IndexLink"/>
              </w:rPr>
              <w:t>19</w:t>
            </w:r>
            <w:r>
              <w:rPr>
                <w:rStyle w:val="IndexLink"/>
                <w:rtl w:val="true"/>
              </w:rPr>
              <w:t xml:space="preserve">: </w:t>
            </w:r>
            <w:r>
              <w:rPr>
                <w:rStyle w:val="IndexLink"/>
                <w:rtl w:val="true"/>
              </w:rPr>
              <w:t>يكره اتّخاذ بيع الصرف</w:t>
            </w:r>
            <w:r>
              <w:rPr>
                <w:rStyle w:val="IndexLink"/>
                <w:rtl w:val="true"/>
              </w:rPr>
              <w:t>]</w:t>
              <w:tab/>
            </w:r>
            <w:r>
              <w:rPr>
                <w:rStyle w:val="IndexLink"/>
              </w:rPr>
              <w:t>451</w:t>
            </w:r>
          </w:hyperlink>
        </w:p>
        <w:p>
          <w:pPr>
            <w:pStyle w:val="Contents4"/>
            <w:tabs>
              <w:tab w:val="clear" w:pos="8176"/>
              <w:tab w:val="right" w:pos="9026" w:leader="dot"/>
            </w:tabs>
            <w:rPr/>
          </w:pPr>
          <w:hyperlink w:anchor="__RefHeading___Toc8896113_417432637">
            <w:r>
              <w:rPr>
                <w:webHidden/>
                <w:rStyle w:val="IndexLink"/>
                <w:rtl w:val="true"/>
              </w:rPr>
              <w:t>[</w:t>
            </w:r>
            <w:r>
              <w:rPr>
                <w:rStyle w:val="IndexLink"/>
                <w:rtl w:val="true"/>
              </w:rPr>
              <w:t xml:space="preserve">مسألة </w:t>
            </w:r>
            <w:r>
              <w:rPr>
                <w:rStyle w:val="IndexLink"/>
              </w:rPr>
              <w:t>20</w:t>
            </w:r>
            <w:r>
              <w:rPr>
                <w:rStyle w:val="IndexLink"/>
                <w:rtl w:val="true"/>
              </w:rPr>
              <w:t xml:space="preserve">: </w:t>
            </w:r>
            <w:r>
              <w:rPr>
                <w:rStyle w:val="IndexLink"/>
                <w:rtl w:val="true"/>
              </w:rPr>
              <w:t>لا ريب أنّ التكسّب و تحصيل المعيشة بالكدّ و التعب محبوب عند اللَّه تعالى</w:t>
            </w:r>
            <w:r>
              <w:rPr>
                <w:rStyle w:val="IndexLink"/>
                <w:rtl w:val="true"/>
              </w:rPr>
              <w:t>]</w:t>
              <w:tab/>
            </w:r>
            <w:r>
              <w:rPr>
                <w:rStyle w:val="IndexLink"/>
              </w:rPr>
              <w:t>454</w:t>
            </w:r>
          </w:hyperlink>
        </w:p>
        <w:p>
          <w:pPr>
            <w:pStyle w:val="Contents4"/>
            <w:tabs>
              <w:tab w:val="clear" w:pos="8176"/>
              <w:tab w:val="right" w:pos="9026" w:leader="dot"/>
            </w:tabs>
            <w:rPr/>
          </w:pPr>
          <w:hyperlink w:anchor="__RefHeading___Toc8896115_417432637">
            <w:r>
              <w:rPr>
                <w:webHidden/>
                <w:rStyle w:val="IndexLink"/>
                <w:rtl w:val="true"/>
              </w:rPr>
              <w:t>[</w:t>
            </w:r>
            <w:r>
              <w:rPr>
                <w:rStyle w:val="IndexLink"/>
                <w:rtl w:val="true"/>
              </w:rPr>
              <w:t xml:space="preserve">مسألة </w:t>
            </w:r>
            <w:r>
              <w:rPr>
                <w:rStyle w:val="IndexLink"/>
              </w:rPr>
              <w:t>21</w:t>
            </w:r>
            <w:r>
              <w:rPr>
                <w:rStyle w:val="IndexLink"/>
                <w:rtl w:val="true"/>
              </w:rPr>
              <w:t xml:space="preserve">: </w:t>
            </w:r>
            <w:r>
              <w:rPr>
                <w:rStyle w:val="IndexLink"/>
                <w:rtl w:val="true"/>
              </w:rPr>
              <w:t>يجب على كلّ من يباشر التجارة، و سائر أنواع التكسّب، تعلّم أحكامها</w:t>
            </w:r>
            <w:r>
              <w:rPr>
                <w:rStyle w:val="IndexLink"/>
                <w:rtl w:val="true"/>
              </w:rPr>
              <w:t>]</w:t>
              <w:tab/>
            </w:r>
            <w:r>
              <w:rPr>
                <w:rStyle w:val="IndexLink"/>
              </w:rPr>
              <w:t>454</w:t>
            </w:r>
          </w:hyperlink>
        </w:p>
        <w:p>
          <w:pPr>
            <w:pStyle w:val="Contents4"/>
            <w:tabs>
              <w:tab w:val="clear" w:pos="8176"/>
              <w:tab w:val="right" w:pos="9026" w:leader="dot"/>
            </w:tabs>
            <w:rPr/>
          </w:pPr>
          <w:hyperlink w:anchor="__RefHeading___Toc8896117_417432637">
            <w:r>
              <w:rPr>
                <w:webHidden/>
                <w:rStyle w:val="IndexLink"/>
                <w:rtl w:val="true"/>
              </w:rPr>
              <w:t>[</w:t>
            </w:r>
            <w:r>
              <w:rPr>
                <w:rStyle w:val="IndexLink"/>
                <w:rtl w:val="true"/>
              </w:rPr>
              <w:t xml:space="preserve">مسألة </w:t>
            </w:r>
            <w:r>
              <w:rPr>
                <w:rStyle w:val="IndexLink"/>
              </w:rPr>
              <w:t>22</w:t>
            </w:r>
            <w:r>
              <w:rPr>
                <w:rStyle w:val="IndexLink"/>
                <w:rtl w:val="true"/>
              </w:rPr>
              <w:t xml:space="preserve">: </w:t>
            </w:r>
            <w:r>
              <w:rPr>
                <w:rStyle w:val="IndexLink"/>
                <w:rtl w:val="true"/>
              </w:rPr>
              <w:t>للتجارة و التكسّب آداب مستحبّة و مكروهة</w:t>
            </w:r>
            <w:r>
              <w:rPr>
                <w:rStyle w:val="IndexLink"/>
                <w:rtl w:val="true"/>
              </w:rPr>
              <w:t>]</w:t>
              <w:tab/>
            </w:r>
            <w:r>
              <w:rPr>
                <w:rStyle w:val="IndexLink"/>
              </w:rPr>
              <w:t>460</w:t>
            </w:r>
          </w:hyperlink>
        </w:p>
        <w:p>
          <w:pPr>
            <w:pStyle w:val="Contents4"/>
            <w:tabs>
              <w:tab w:val="clear" w:pos="8176"/>
              <w:tab w:val="right" w:pos="9026" w:leader="dot"/>
            </w:tabs>
            <w:rPr/>
          </w:pPr>
          <w:hyperlink w:anchor="__RefHeading___Toc8896119_417432637">
            <w:r>
              <w:rPr>
                <w:webHidden/>
                <w:rStyle w:val="IndexLink"/>
                <w:rtl w:val="true"/>
              </w:rPr>
              <w:t>[</w:t>
            </w:r>
            <w:r>
              <w:rPr>
                <w:rStyle w:val="IndexLink"/>
                <w:rtl w:val="true"/>
              </w:rPr>
              <w:t xml:space="preserve">مسألة </w:t>
            </w:r>
            <w:r>
              <w:rPr>
                <w:rStyle w:val="IndexLink"/>
              </w:rPr>
              <w:t>23</w:t>
            </w:r>
            <w:r>
              <w:rPr>
                <w:rStyle w:val="IndexLink"/>
                <w:rtl w:val="true"/>
              </w:rPr>
              <w:t xml:space="preserve">: </w:t>
            </w:r>
            <w:r>
              <w:rPr>
                <w:rStyle w:val="IndexLink"/>
                <w:rtl w:val="true"/>
              </w:rPr>
              <w:t>يحرم الاحتكار</w:t>
            </w:r>
            <w:r>
              <w:rPr>
                <w:rStyle w:val="IndexLink"/>
                <w:rtl w:val="true"/>
              </w:rPr>
              <w:t>]</w:t>
              <w:tab/>
            </w:r>
            <w:r>
              <w:rPr>
                <w:rStyle w:val="IndexLink"/>
              </w:rPr>
              <w:t>474</w:t>
            </w:r>
          </w:hyperlink>
        </w:p>
        <w:p>
          <w:pPr>
            <w:pStyle w:val="Contents4"/>
            <w:tabs>
              <w:tab w:val="clear" w:pos="8176"/>
              <w:tab w:val="right" w:pos="9026" w:leader="dot"/>
            </w:tabs>
            <w:rPr/>
          </w:pPr>
          <w:hyperlink w:anchor="__RefHeading___Toc8896121_417432637">
            <w:r>
              <w:rPr>
                <w:webHidden/>
                <w:rStyle w:val="IndexLink"/>
                <w:rtl w:val="true"/>
              </w:rPr>
              <w:t>[</w:t>
            </w:r>
            <w:r>
              <w:rPr>
                <w:rStyle w:val="IndexLink"/>
                <w:rtl w:val="true"/>
              </w:rPr>
              <w:t xml:space="preserve">مسألة </w:t>
            </w:r>
            <w:r>
              <w:rPr>
                <w:rStyle w:val="IndexLink"/>
              </w:rPr>
              <w:t>24</w:t>
            </w:r>
            <w:r>
              <w:rPr>
                <w:rStyle w:val="IndexLink"/>
                <w:rtl w:val="true"/>
              </w:rPr>
              <w:t xml:space="preserve">: </w:t>
            </w:r>
            <w:r>
              <w:rPr>
                <w:rStyle w:val="IndexLink"/>
                <w:rtl w:val="true"/>
              </w:rPr>
              <w:t>لا يجوز مع الاختيار الدخول في الولايات، و المناصب، و الأشغال من قبل الجائر</w:t>
            </w:r>
            <w:r>
              <w:rPr>
                <w:rStyle w:val="IndexLink"/>
                <w:rtl w:val="true"/>
              </w:rPr>
              <w:t>]</w:t>
              <w:tab/>
            </w:r>
            <w:r>
              <w:rPr>
                <w:rStyle w:val="IndexLink"/>
              </w:rPr>
              <w:t>485</w:t>
            </w:r>
          </w:hyperlink>
        </w:p>
        <w:p>
          <w:pPr>
            <w:pStyle w:val="Contents4"/>
            <w:tabs>
              <w:tab w:val="clear" w:pos="8176"/>
              <w:tab w:val="right" w:pos="9026" w:leader="dot"/>
            </w:tabs>
            <w:rPr/>
          </w:pPr>
          <w:hyperlink w:anchor="__RefHeading___Toc8896123_417432637">
            <w:r>
              <w:rPr>
                <w:webHidden/>
                <w:rStyle w:val="IndexLink"/>
                <w:rtl w:val="true"/>
              </w:rPr>
              <w:t>[</w:t>
            </w:r>
            <w:r>
              <w:rPr>
                <w:rStyle w:val="IndexLink"/>
                <w:rtl w:val="true"/>
              </w:rPr>
              <w:t xml:space="preserve">مسألة </w:t>
            </w:r>
            <w:r>
              <w:rPr>
                <w:rStyle w:val="IndexLink"/>
              </w:rPr>
              <w:t>25</w:t>
            </w:r>
            <w:r>
              <w:rPr>
                <w:rStyle w:val="IndexLink"/>
                <w:rtl w:val="true"/>
              </w:rPr>
              <w:t xml:space="preserve">: </w:t>
            </w:r>
            <w:r>
              <w:rPr>
                <w:rStyle w:val="IndexLink"/>
                <w:rtl w:val="true"/>
              </w:rPr>
              <w:t>ما تأخذه الحكومة من الضريبة على الأراضي</w:t>
            </w:r>
            <w:r>
              <w:rPr>
                <w:rStyle w:val="IndexLink"/>
                <w:rtl w:val="true"/>
              </w:rPr>
              <w:t>]</w:t>
              <w:tab/>
            </w:r>
            <w:r>
              <w:rPr>
                <w:rStyle w:val="IndexLink"/>
              </w:rPr>
              <w:t>500</w:t>
            </w:r>
          </w:hyperlink>
        </w:p>
        <w:p>
          <w:pPr>
            <w:pStyle w:val="Contents4"/>
            <w:tabs>
              <w:tab w:val="clear" w:pos="8176"/>
              <w:tab w:val="right" w:pos="9026" w:leader="dot"/>
            </w:tabs>
            <w:rPr/>
          </w:pPr>
          <w:hyperlink w:anchor="__RefHeading___Toc8896125_417432637">
            <w:r>
              <w:rPr>
                <w:webHidden/>
                <w:rStyle w:val="IndexLink"/>
                <w:rtl w:val="true"/>
              </w:rPr>
              <w:t>[</w:t>
            </w:r>
            <w:r>
              <w:rPr>
                <w:rStyle w:val="IndexLink"/>
                <w:rtl w:val="true"/>
              </w:rPr>
              <w:t xml:space="preserve">مسألة </w:t>
            </w:r>
            <w:r>
              <w:rPr>
                <w:rStyle w:val="IndexLink"/>
              </w:rPr>
              <w:t>26</w:t>
            </w:r>
            <w:r>
              <w:rPr>
                <w:rStyle w:val="IndexLink"/>
                <w:rtl w:val="true"/>
              </w:rPr>
              <w:t xml:space="preserve">: </w:t>
            </w:r>
            <w:r>
              <w:rPr>
                <w:rStyle w:val="IndexLink"/>
                <w:rtl w:val="true"/>
              </w:rPr>
              <w:t>يجوز لكلّ أحد أن يتقبّل الأراضي الخراجيّة</w:t>
            </w:r>
            <w:r>
              <w:rPr>
                <w:rStyle w:val="IndexLink"/>
                <w:rtl w:val="true"/>
              </w:rPr>
              <w:t>]</w:t>
              <w:tab/>
            </w:r>
            <w:r>
              <w:rPr>
                <w:rStyle w:val="IndexLink"/>
              </w:rPr>
              <w:t>513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66_122854"/>
      <w:bookmarkStart w:id="1" w:name="pg12366_122854"/>
      <w:bookmarkEnd w:id="1"/>
    </w:p>
    <w:p>
      <w:pPr>
        <w:pStyle w:val="Heading2"/>
        <w:numPr>
          <w:ilvl w:val="1"/>
          <w:numId w:val="1"/>
        </w:numPr>
        <w:rPr/>
      </w:pPr>
      <w:bookmarkStart w:id="2" w:name="pg12366_122854"/>
      <w:bookmarkStart w:id="3" w:name="__RefHeading___Toc8895915_41743263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مصطفی، </w:t>
      </w:r>
      <w:r>
        <w:rPr>
          <w:rFonts w:ascii="IRNazanin" w:hAnsi="IRNazanin" w:eastAsia="IRNazanin"/>
          <w:color w:val="111111"/>
          <w:sz w:val="28"/>
          <w:sz w:val="28"/>
          <w:szCs w:val="28"/>
          <w:lang w:bidi="fa-IR"/>
        </w:rPr>
        <w:t>۱۳۰۹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تحریر‌الوسیله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تحریر‌الوسیله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مصطفی 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الامام الخمینی،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آبان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تحریر‌الوسیله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تحریر‌الوسیله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۳۰۲۳۳۲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۲۴۷۹۶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895917_417432637"/>
      <w:bookmarkStart w:id="6" w:name="_Toc2"/>
      <w:bookmarkEnd w:id="5"/>
      <w:r>
        <w:rPr>
          <w:rtl w:val="true"/>
        </w:rPr>
        <w:t>اشارة</w:t>
      </w:r>
      <w:bookmarkStart w:id="7" w:name="pg12366_122856"/>
      <w:bookmarkEnd w:id="6"/>
    </w:p>
    <w:p>
      <w:pPr>
        <w:pStyle w:val="Heading2"/>
        <w:numPr>
          <w:ilvl w:val="1"/>
          <w:numId w:val="1"/>
        </w:numPr>
        <w:rPr/>
      </w:pPr>
      <w:bookmarkStart w:id="8" w:name="__RefHeading___Toc8895919_417432637"/>
      <w:bookmarkStart w:id="9" w:name="_Toc3"/>
      <w:bookmarkEnd w:id="7"/>
      <w:bookmarkEnd w:id="8"/>
      <w:r>
        <w:rPr>
          <w:rtl w:val="true"/>
        </w:rPr>
        <w:t>[</w:t>
      </w:r>
      <w:r>
        <w:rPr>
          <w:rtl w:val="true"/>
        </w:rPr>
        <w:t>كتاب الطهارة</w:t>
      </w:r>
      <w:r>
        <w:rPr>
          <w:rtl w:val="true"/>
        </w:rPr>
        <w:t>]</w:t>
      </w:r>
      <w:bookmarkEnd w:id="9"/>
    </w:p>
    <w:p>
      <w:pPr>
        <w:pStyle w:val="Heading3"/>
        <w:numPr>
          <w:ilvl w:val="2"/>
          <w:numId w:val="1"/>
        </w:numPr>
        <w:rPr/>
      </w:pPr>
      <w:bookmarkStart w:id="10" w:name="__RefHeading___Toc8895921_41743263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الصلاة و السلام على سيّدنا محمَّد و آله الطيّبين الطاهرين، و اللّعنة الدائمة الأبديّة على أعدائهم إلى يوم الدين</w:t>
      </w:r>
      <w:r>
        <w:rPr>
          <w:rFonts w:eastAsia="Amiri" w:cs="Amiri" w:ascii="Amiri" w:hAnsi="Amiri"/>
          <w:color w:val="111111"/>
          <w:sz w:val="28"/>
          <w:szCs w:val="28"/>
          <w:rtl w:val="true"/>
          <w:lang w:bidi="ar-SA"/>
        </w:rPr>
        <w:t>.</w:t>
      </w:r>
      <w:bookmarkStart w:id="12" w:name="pg12366_122858"/>
    </w:p>
    <w:p>
      <w:pPr>
        <w:pStyle w:val="Heading3"/>
        <w:numPr>
          <w:ilvl w:val="2"/>
          <w:numId w:val="1"/>
        </w:numPr>
        <w:rPr/>
      </w:pPr>
      <w:bookmarkStart w:id="13" w:name="__RefHeading___Toc8895923_417432637"/>
      <w:bookmarkStart w:id="14" w:name="_Toc5"/>
      <w:bookmarkEnd w:id="12"/>
      <w:bookmarkEnd w:id="13"/>
      <w:r>
        <w:rPr>
          <w:rtl w:val="true"/>
        </w:rPr>
        <w:t>[</w:t>
      </w:r>
      <w:r>
        <w:rPr>
          <w:rtl w:val="true"/>
        </w:rPr>
        <w:t>فصل في المياه</w:t>
      </w:r>
      <w:r>
        <w:rPr>
          <w:rtl w:val="true"/>
        </w:rPr>
        <w:t>]</w:t>
      </w:r>
      <w:bookmarkEnd w:id="14"/>
    </w:p>
    <w:p>
      <w:pPr>
        <w:pStyle w:val="Heading4"/>
        <w:numPr>
          <w:ilvl w:val="3"/>
          <w:numId w:val="1"/>
        </w:numPr>
        <w:rPr/>
      </w:pPr>
      <w:bookmarkStart w:id="15" w:name="__RefHeading___Toc8895925_417432637"/>
      <w:bookmarkStart w:id="16" w:name="_Toc6"/>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فصل في المياه‌</w:t>
      </w:r>
    </w:p>
    <w:p>
      <w:pPr>
        <w:pStyle w:val="Heading4"/>
        <w:numPr>
          <w:ilvl w:val="3"/>
          <w:numId w:val="1"/>
        </w:numPr>
        <w:rPr/>
      </w:pPr>
      <w:bookmarkStart w:id="17" w:name="__RefHeading___Toc8895927_417432637"/>
      <w:bookmarkStart w:id="18" w:name="_Toc7"/>
      <w:bookmarkEnd w:id="17"/>
      <w:r>
        <w:rPr>
          <w:rtl w:val="true"/>
        </w:rPr>
        <w:t>[</w:t>
      </w:r>
      <w:r>
        <w:rPr>
          <w:rtl w:val="true"/>
        </w:rPr>
        <w:t>تقسيم المياه إلى المطلق و المضاف</w:t>
      </w:r>
      <w:r>
        <w:rPr>
          <w:rtl w:val="true"/>
        </w:rPr>
        <w:t>]</w:t>
      </w:r>
      <w:bookmarkEnd w:id="18"/>
    </w:p>
    <w:p>
      <w:pPr>
        <w:pStyle w:val="Heading5"/>
        <w:numPr>
          <w:ilvl w:val="4"/>
          <w:numId w:val="1"/>
        </w:numPr>
        <w:rPr/>
      </w:pPr>
      <w:bookmarkStart w:id="19" w:name="__RefHeading___Toc8895929_417432637"/>
      <w:bookmarkStart w:id="20" w:name="_Toc8"/>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 xml:space="preserve">الماء إمّا مطلق، أو مضاف،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تقسيم المياه إلى المطلق و المضاف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مضاف</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التقسيم مضافاً إلى عدم وفائه بما هو المقصود الأصليّ لا يمكن أن يكون على وجه صحيح؛ ضرورة أنّ التقسيم عُدَّ من الأمارات الدالة على اشتراك المقسم بين الأقسام على نعت الحقيقة</w:t>
      </w:r>
      <w:r>
        <w:rPr>
          <w:rStyle w:val="FootnoteAnchor"/>
          <w:rtl w:val="true"/>
        </w:rPr>
        <w:footnoteReference w:id="2"/>
      </w:r>
      <w:r>
        <w:rPr>
          <w:rFonts w:ascii="Amiri" w:hAnsi="Amiri" w:eastAsia="Amiri" w:cs="Amiri"/>
          <w:color w:val="111111"/>
          <w:sz w:val="28"/>
          <w:sz w:val="28"/>
          <w:szCs w:val="28"/>
          <w:rtl w:val="true"/>
          <w:lang w:bidi="ar-SA"/>
        </w:rPr>
        <w:t xml:space="preserve">، و يكون أحياناً من علائم الحقيقة و المجاز في المحاورات العرفيّة، و ليس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قابلة للصدق على المضاف، حسب الوضع الأوّلي، إلّا إذا استعملت في المعنى المجازيّ، و هو المائع الكذائيّ، ثمّ تقسّم إلى المطلق و هو ما يصحّ إطلاق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غير إضافة و إلى المضاف،</w:t>
      </w:r>
    </w:p>
    <w:p>
      <w:pPr>
        <w:pStyle w:val="BookText"/>
        <w:rPr/>
      </w:pPr>
      <w:r>
        <w:rPr>
          <w:rFonts w:ascii="Amiri" w:hAnsi="Amiri" w:eastAsia="Amiri" w:cs="Amiri"/>
          <w:color w:val="111111"/>
          <w:sz w:val="28"/>
          <w:sz w:val="28"/>
          <w:szCs w:val="28"/>
          <w:rtl w:val="true"/>
          <w:lang w:bidi="ar-SA"/>
        </w:rPr>
        <w:t xml:space="preserve">كالمعتصر من الأجسام، كماء الرقّي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الرمّان، كماء الرمّان و غيره، مراعياً في الاستعمال المذكور، أن يكون الجامع غير صادق على أمثال النفط و غيره،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المضاف، إن أُريد منه الإضافة في مقام اللّفظ، فربّما لا يكون شي‌ء واحد مضافاً بحسب لغةٍ أعجميّة، و يكون مضافاً بحسب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منه ما هو بحسب المسمّى و الطبيعة الخارجيّة مخلوط، فهو ليس من الإضافة، بل هو من الخلط و المزج، و الأمر على كلّ تقدير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ينبغي تقسيم المائع بحسب الأحكام الشرعيّة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طاهراً و مطهّراً، و لا ينفعل على 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لا يكون مطهّراً، كسائر المائعات، و منها اللّبن، و ماء الورد، و الرقّي، و غير ذلك، و يتنجّس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يكون نجساً، كالأبوال ممّا لا يؤكل لحمه،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تقسيم عامّ بلحاظ الأحكام المختلفة الثابتة في الشرع لأفراده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كماء الرقّي</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أُشير آنفاً إلى أنّ اللّغات مختلفة في التعبير عن حقيقة ماء الرقّي، و لا يكون النظر هنا إلّا إلى أنّ الأدلّة المشتملة على كلمة</w:t>
      </w:r>
    </w:p>
    <w:p>
      <w:pPr>
        <w:pStyle w:val="BookText"/>
        <w:rPr/>
      </w:pPr>
      <w:r>
        <w:rPr>
          <w:rFonts w:ascii="Amiri" w:hAnsi="Amiri" w:eastAsia="Amiri" w:cs="Amiri"/>
          <w:color w:val="111111"/>
          <w:sz w:val="28"/>
          <w:sz w:val="28"/>
          <w:szCs w:val="28"/>
          <w:rtl w:val="true"/>
          <w:lang w:bidi="ar-SA"/>
        </w:rPr>
        <w:t xml:space="preserve">و الممتزج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يخرجه عن صدق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كماء السكّر و الملح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الناطقة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 و لا يطهّر</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أو كذا و كذا، لا تشمل أمثال هذه المائعات، التي يطلق في اللّسان العربيّ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عندئذٍ يتوجّه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ربّما تضاف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أيضاً من أغلاط التقسيم المذكور، بعد معلوميّة المقصود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الماء بما أنّه متقيّد بالإطلاق، ليس موضوعاً للحكم، حتّى يشكل جريان الاستصحاب، و سيمرّ عليك تحقيقه في محلّه، إن شاء اللَّه تعالى</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المياه المضافة بحسب الخلقة، مركّبة من الماء الحقيقيّ، و المادّة المنتشرة فيه، فإذا انحلّت بحسب الآلات الحديثة إلى الأجزاء الأصليّة، تترتّب على جزئه المائيّ أحكام الماء المطلق، و لعلّ وجه صحّة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هو ذلك، لا لأجل الميعان المشترك بينه و بين سائر المائعات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الممتزج بغيره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الماء الممتزج بغيره، له مراتب، فربّما يمتزج بالغير، و لا يضرّ ذلك</w:t>
      </w:r>
      <w:bookmarkStart w:id="21" w:name="pg12366_122861"/>
    </w:p>
    <w:p>
      <w:pPr>
        <w:pStyle w:val="Heading5"/>
        <w:numPr>
          <w:ilvl w:val="4"/>
          <w:numId w:val="1"/>
        </w:numPr>
        <w:rPr/>
      </w:pPr>
      <w:bookmarkStart w:id="22" w:name="__RefHeading___Toc8895931_417432637"/>
      <w:bookmarkStart w:id="23" w:name="_Toc9"/>
      <w:bookmarkEnd w:id="21"/>
      <w:bookmarkEnd w:id="22"/>
      <w:r>
        <w:rPr>
          <w:rtl w:val="true"/>
        </w:rPr>
        <w:t>[</w:t>
      </w:r>
      <w:r>
        <w:rPr>
          <w:rtl w:val="true"/>
        </w:rPr>
        <w:t>و المطلق أقسام</w:t>
      </w:r>
      <w:r>
        <w:rPr>
          <w:rtl w:val="true"/>
        </w:rPr>
        <w:t>]</w:t>
      </w:r>
      <w:bookmarkEnd w:id="23"/>
    </w:p>
    <w:p>
      <w:pPr>
        <w:pStyle w:val="BookText"/>
        <w:rPr/>
      </w:pPr>
      <w:r>
        <w:rPr>
          <w:rFonts w:ascii="Amiri" w:hAnsi="Amiri" w:eastAsia="Amiri" w:cs="Amiri"/>
          <w:color w:val="111111"/>
          <w:sz w:val="28"/>
          <w:sz w:val="28"/>
          <w:szCs w:val="28"/>
          <w:rtl w:val="true"/>
          <w:lang w:bidi="ar-SA"/>
        </w:rPr>
        <w:t xml:space="preserve">و المطلق أقسام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 و النابع بغير جريان، و البئر، بصدقه عليه، و في المرتبة الثانية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الصورة، يشكل منع جريان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غلبت المادّة الدخيلة، لا يبقى لصدق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لو كان بالإضافة في الاسم مجال، إلّا إذا كان الوجه المصحّح، ميعانه الأعمّ المشترك فيه سائر المائعات، فلا تخلط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أقسام الماء المطلق قوله مدّ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المطلق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كان النظر إلى ذكر عناوين المياه، فكان ينبغي ذكر ماء الحمّام، بل و المستعمل، و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النظر إلى ما يخصّ بحكم، فلا ينبغي ذكر النابع بغير 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الجريان، أعمّ من الجاري فوق سطح الأرض، و الذي يفور من الأرض إلى الفوق، كما لا يخفى</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عن الوحيد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النابع بغير جريان، بحكم البئر عند الفقهاء</w:t>
      </w:r>
      <w:r>
        <w:rPr>
          <w:rStyle w:val="FootnoteAnchor"/>
          <w:rtl w:val="true"/>
        </w:rPr>
        <w:footnoteReference w:id="5"/>
      </w:r>
      <w:r>
        <w:rPr>
          <w:rFonts w:ascii="Amiri" w:hAnsi="Amiri" w:eastAsia="Amiri" w:cs="Amiri"/>
          <w:color w:val="111111"/>
          <w:sz w:val="28"/>
          <w:sz w:val="28"/>
          <w:szCs w:val="28"/>
          <w:rtl w:val="true"/>
          <w:lang w:bidi="ar-SA"/>
        </w:rPr>
        <w:t>، في غير محلّه؛ فإنّ ماء العين غيرُه بالضرورة، فإنّ قوام ماء</w:t>
      </w:r>
    </w:p>
    <w:p>
      <w:pPr>
        <w:pStyle w:val="BookText"/>
        <w:rPr/>
      </w:pPr>
      <w:r>
        <w:rPr>
          <w:rFonts w:ascii="Amiri" w:hAnsi="Amiri" w:eastAsia="Amiri" w:cs="Amiri"/>
          <w:color w:val="111111"/>
          <w:sz w:val="28"/>
          <w:sz w:val="28"/>
          <w:szCs w:val="28"/>
          <w:rtl w:val="true"/>
          <w:lang w:bidi="ar-SA"/>
        </w:rPr>
        <w:t xml:space="preserve">و المطر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الواقف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العين بالغليان، لا الجريان على سطح الأرض،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يذكر في كلام جماعة ماء المطر هنا</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محلّه؛ لأنّ المقسم ماء الأرض</w:t>
      </w:r>
      <w:r>
        <w:rPr>
          <w:rStyle w:val="FootnoteAnchor"/>
          <w:rtl w:val="true"/>
        </w:rPr>
        <w:footnoteReference w:id="7"/>
      </w:r>
      <w:r>
        <w:rPr>
          <w:rFonts w:ascii="Amiri" w:hAnsi="Amiri" w:eastAsia="Amiri" w:cs="Amiri"/>
          <w:color w:val="111111"/>
          <w:sz w:val="28"/>
          <w:sz w:val="28"/>
          <w:szCs w:val="28"/>
          <w:rtl w:val="true"/>
          <w:lang w:bidi="ar-SA"/>
        </w:rPr>
        <w:t>، غير صحيح؛ لأنّه أيضاً من الأرض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لأخذ الخصوصيّة في المقسم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معنى لعدّ الواقف من المياه، و إن صنعه جماعة</w:t>
      </w:r>
      <w:r>
        <w:rPr>
          <w:rStyle w:val="FootnoteAnchor"/>
          <w:rtl w:val="true"/>
        </w:rPr>
        <w:footnoteReference w:id="8"/>
      </w:r>
      <w:r>
        <w:rPr>
          <w:rFonts w:ascii="Amiri" w:hAnsi="Amiri" w:eastAsia="Amiri" w:cs="Amiri"/>
          <w:color w:val="111111"/>
          <w:sz w:val="28"/>
          <w:sz w:val="28"/>
          <w:szCs w:val="28"/>
          <w:rtl w:val="true"/>
          <w:lang w:bidi="ar-SA"/>
        </w:rPr>
        <w:t>فإنّ المحقون ليس موضوعاً للحكم بما هو هو؛ ضرورة أنّه 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بانفعال القليل، يكون هناك ماءان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و كثير، و 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الانفعال، فهو و بعض المياه الأخر مشترك في الحكم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هو الأوفق بالتقسيم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إمّا أن يكون ذا مادّة طبيعيّة</w:t>
      </w:r>
    </w:p>
    <w:p>
      <w:pPr>
        <w:pStyle w:val="BookText"/>
        <w:rPr/>
      </w:pPr>
      <w:r>
        <w:rPr>
          <w:rFonts w:ascii="Amiri" w:hAnsi="Amiri" w:eastAsia="Amiri" w:cs="Amiri"/>
          <w:color w:val="111111"/>
          <w:sz w:val="28"/>
          <w:sz w:val="28"/>
          <w:szCs w:val="28"/>
          <w:rtl w:val="true"/>
          <w:lang w:bidi="ar-SA"/>
        </w:rPr>
        <w:t>أو جعليّة أو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يكون كثيراً، أو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يكون مستعملًا، أو غير مستعمل، أو يكون مشكوكاً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التقسيم باعتبار الآثار و الأحكام، و إلّا فالماء واحد بالضرورة</w:t>
      </w:r>
      <w:r>
        <w:rPr>
          <w:rFonts w:eastAsia="Amiri" w:cs="Amiri" w:ascii="Amiri" w:hAnsi="Amiri"/>
          <w:color w:val="111111"/>
          <w:sz w:val="28"/>
          <w:szCs w:val="28"/>
          <w:rtl w:val="true"/>
          <w:lang w:bidi="ar-SA"/>
        </w:rPr>
        <w:t>.</w:t>
      </w:r>
      <w:bookmarkStart w:id="24" w:name="pg12366_122864"/>
    </w:p>
    <w:p>
      <w:pPr>
        <w:pStyle w:val="Heading4"/>
        <w:numPr>
          <w:ilvl w:val="3"/>
          <w:numId w:val="1"/>
        </w:numPr>
        <w:rPr/>
      </w:pPr>
      <w:bookmarkStart w:id="25" w:name="__RefHeading___Toc8895933_417432637"/>
      <w:bookmarkStart w:id="26" w:name="_Toc10"/>
      <w:bookmarkEnd w:id="24"/>
      <w:bookmarkEnd w:id="25"/>
      <w:r>
        <w:rPr>
          <w:rtl w:val="true"/>
        </w:rPr>
        <w:t>[</w:t>
      </w:r>
      <w:r>
        <w:rPr>
          <w:rtl w:val="true"/>
        </w:rPr>
        <w:t xml:space="preserve">مسألة </w:t>
      </w:r>
      <w:r>
        <w:rPr/>
        <w:t>1</w:t>
      </w:r>
      <w:r>
        <w:rPr>
          <w:rtl w:val="true"/>
        </w:rPr>
        <w:t xml:space="preserve">: </w:t>
      </w:r>
      <w:r>
        <w:rPr>
          <w:rtl w:val="true"/>
        </w:rPr>
        <w:t>الماء المضاف</w:t>
      </w:r>
      <w:r>
        <w:rPr>
          <w:rtl w:val="true"/>
        </w:rPr>
        <w:t>]</w:t>
      </w:r>
      <w:bookmarkEnd w:id="2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المضاف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حكم الماء المضاف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ليس من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مستندها إن كانت قاعدة الطهارة، فجريانها في الشبهات الحكميّة محلّ منع أو إشكال، في غير محلّه؛ لأنّ المياه المضافة لو كانت من النجاسات لبانت، و على هذا لا وجه لتعرّضهم لذلك، كما لا يتعرّضون لطهارة سائر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تنجّس التفّاح و الرمان، ثمّ أُخذ ماؤهما بالآلات الحديثة، فهل يكون نجساً؟</w:t>
      </w:r>
    </w:p>
    <w:p>
      <w:pPr>
        <w:pStyle w:val="BookText"/>
        <w:rPr/>
      </w:pPr>
      <w:r>
        <w:rPr>
          <w:rFonts w:ascii="Amiri" w:hAnsi="Amiri" w:eastAsia="Amiri" w:cs="Amiri"/>
          <w:color w:val="111111"/>
          <w:sz w:val="28"/>
          <w:sz w:val="28"/>
          <w:szCs w:val="28"/>
          <w:rtl w:val="true"/>
          <w:lang w:bidi="ar-SA"/>
        </w:rPr>
        <w:t>فيه إشكال، ينحلّ بمراجعة أهله، و ربّما تختلف الفواكه، كما تختلف كيفيّة أخذ مائها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اعتبار طهارة هذا الماء و سائر الأشياء، صحيح على أحد المباني في باب الطهارة و النجاسة؛ فإنّه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الطهارة من المجعولات الشرعيّة، فلا دليل على مجعوليّتها لكلّ شي‌ء، و التمسّك بقاعدة الطهارة في غير محلّه، كما تحرّر في الأُصول</w:t>
      </w:r>
      <w:r>
        <w:rPr>
          <w:rStyle w:val="FootnoteAnchor"/>
          <w:rtl w:val="true"/>
        </w:rPr>
        <w:footnoteReference w:id="9"/>
      </w:r>
      <w:r>
        <w:rPr>
          <w:rFonts w:ascii="Amiri" w:hAnsi="Amiri" w:eastAsia="Amiri" w:cs="Amiri"/>
          <w:color w:val="111111"/>
          <w:sz w:val="28"/>
          <w:sz w:val="28"/>
          <w:szCs w:val="28"/>
          <w:rtl w:val="true"/>
          <w:lang w:bidi="ar-SA"/>
        </w:rPr>
        <w:t>، و كون الطهارة العرفيّة ممضاةً شرعاً، ليس معناه إلّا عدم النجاسة،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 مطهّر؛ لا من الحدث،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 الحدث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المشهور</w:t>
      </w:r>
      <w:r>
        <w:rPr>
          <w:rStyle w:val="FootnoteAnchor"/>
          <w:rtl w:val="true"/>
        </w:rPr>
        <w:footnoteReference w:id="10"/>
      </w:r>
      <w:r>
        <w:rPr>
          <w:rFonts w:ascii="Amiri" w:hAnsi="Amiri" w:eastAsia="Amiri" w:cs="Amiri"/>
          <w:color w:val="111111"/>
          <w:sz w:val="28"/>
          <w:sz w:val="28"/>
          <w:szCs w:val="28"/>
          <w:rtl w:val="true"/>
          <w:lang w:bidi="ar-SA"/>
        </w:rPr>
        <w:t>، و هو مقتضى الأصل؛ فإنّ المطهّرية تحتاج إلى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يستدلّ بآيات</w:t>
      </w:r>
      <w:r>
        <w:rPr>
          <w:rStyle w:val="FootnoteAnchor"/>
          <w:rtl w:val="true"/>
        </w:rPr>
        <w:footnoteReference w:id="11"/>
      </w:r>
      <w:r>
        <w:rPr>
          <w:rFonts w:ascii="Amiri" w:hAnsi="Amiri" w:eastAsia="Amiri" w:cs="Amiri"/>
          <w:color w:val="111111"/>
          <w:sz w:val="28"/>
          <w:sz w:val="28"/>
          <w:szCs w:val="28"/>
          <w:rtl w:val="true"/>
          <w:lang w:bidi="ar-SA"/>
        </w:rPr>
        <w:t>، أوضحها قوله تعالى فَلَمْ تَجِدُوا ماءً فَتَيَمَّمُوا صَعِيداً طَيِّباً</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احتمال كون الماء أحد مصاديق المطهّر؛ لعدم كون الآية إلّا لبيان ظرف انتقال الحكم المائيّ إلى الترابيّ، فنفي مطهّرية غير الماء في عَرْض الماء بالآية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نفي مطهّرية غيره، في طول الماء و التراب، أو نفي مطهّريته في عَرْض التراب، غير بعيد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اتفاق المسلمين على عدم مطهّريته للحدث الأكبر ممكنة، و إن نسب إلى ظاهر ابن أبي عقيل تجويزُ الاستعمال عند الضرورة</w:t>
      </w:r>
      <w:r>
        <w:rPr>
          <w:rStyle w:val="FootnoteAnchor"/>
          <w:rtl w:val="true"/>
        </w:rPr>
        <w:footnoteReference w:id="13"/>
      </w:r>
      <w:r>
        <w:rPr>
          <w:rFonts w:ascii="Amiri" w:hAnsi="Amiri" w:eastAsia="Amiri" w:cs="Amiri"/>
          <w:color w:val="111111"/>
          <w:sz w:val="28"/>
          <w:sz w:val="28"/>
          <w:szCs w:val="28"/>
          <w:rtl w:val="true"/>
          <w:lang w:bidi="ar-SA"/>
        </w:rPr>
        <w:t>، و لكن احتمال انصرافه إلى الوضوء 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مطهّريته بالنسبة إلى الأصغر، فهو المحكيّ</w:t>
      </w:r>
      <w:r>
        <w:rPr>
          <w:rStyle w:val="FootnoteAnchor"/>
          <w:rtl w:val="true"/>
        </w:rPr>
        <w:footnoteReference w:id="14"/>
      </w:r>
      <w:r>
        <w:rPr>
          <w:rFonts w:ascii="IRNazanin" w:hAnsi="IRNazanin" w:eastAsia="IRNazanin"/>
          <w:color w:val="111111"/>
          <w:sz w:val="28"/>
          <w:sz w:val="28"/>
          <w:szCs w:val="28"/>
          <w:rtl w:val="true"/>
          <w:lang w:bidi="fa-IR"/>
        </w:rPr>
        <w:t>عن الصدوق</w:t>
      </w:r>
      <w:r>
        <w:rPr>
          <w:rStyle w:val="FootnoteAnchor"/>
          <w:rtl w:val="true"/>
        </w:rPr>
        <w:footnoteReference w:id="15"/>
      </w:r>
      <w:r>
        <w:rPr>
          <w:rFonts w:ascii="Amiri" w:hAnsi="Amiri" w:eastAsia="Amiri" w:cs="Amiri"/>
          <w:color w:val="111111"/>
          <w:sz w:val="28"/>
          <w:sz w:val="28"/>
          <w:szCs w:val="28"/>
          <w:rtl w:val="true"/>
          <w:lang w:bidi="ar-SA"/>
        </w:rPr>
        <w:t>، و إليه مال الكاشانيّ</w:t>
      </w:r>
      <w:r>
        <w:rPr>
          <w:rStyle w:val="FootnoteAnchor"/>
          <w:rtl w:val="true"/>
        </w:rPr>
        <w:footnoteReference w:id="16"/>
      </w:r>
      <w:r>
        <w:rPr>
          <w:rFonts w:ascii="Amiri" w:hAnsi="Amiri" w:eastAsia="Amiri" w:cs="Amiri"/>
          <w:color w:val="111111"/>
          <w:sz w:val="28"/>
          <w:sz w:val="28"/>
          <w:szCs w:val="28"/>
          <w:rtl w:val="true"/>
          <w:lang w:bidi="ar-SA"/>
        </w:rPr>
        <w:t>من أصحابنا و عن أصحاب الحديث</w:t>
      </w:r>
      <w:r>
        <w:rPr>
          <w:rStyle w:val="FootnoteAnchor"/>
          <w:rtl w:val="true"/>
        </w:rPr>
        <w:footnoteReference w:id="17"/>
      </w:r>
      <w:r>
        <w:rPr>
          <w:rFonts w:ascii="Amiri" w:hAnsi="Amiri" w:eastAsia="Amiri" w:cs="Amiri"/>
          <w:color w:val="111111"/>
          <w:sz w:val="28"/>
          <w:sz w:val="28"/>
          <w:szCs w:val="28"/>
          <w:rtl w:val="true"/>
          <w:lang w:bidi="ar-SA"/>
        </w:rPr>
        <w:t>، و هم بمنزلة الأخباريّين منّا، إلّا أنّهم كلّاً خصّوا الحكم بماء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تجويز التوضّي بماء النبيذ و نبيذ التمر عند عدم الماء</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المخالفين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بالترتيب، فجوّزوا التوضّي عند الضرورة بالنبيذ</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بينه و بين التراب</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تنفي الطوليّة و عرضيّة المضاف مع التيمّم، و الأصل ينفي الكلّ، إلّا أنّ عندنا رواية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يغتسل بماء الورد، و يتوضّأ به للصلاة،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مضافاً إلى ضعف سندها لما فيه من سهل بن زياد</w:t>
      </w:r>
      <w:r>
        <w:rPr>
          <w:rStyle w:val="FootnoteAnchor"/>
          <w:rtl w:val="true"/>
        </w:rPr>
        <w:footnoteReference w:id="22"/>
      </w:r>
      <w:r>
        <w:rPr>
          <w:rFonts w:ascii="Amiri" w:hAnsi="Amiri" w:eastAsia="Amiri" w:cs="Amiri"/>
          <w:color w:val="111111"/>
          <w:sz w:val="28"/>
          <w:sz w:val="28"/>
          <w:szCs w:val="28"/>
          <w:rtl w:val="true"/>
          <w:lang w:bidi="ar-SA"/>
        </w:rPr>
        <w:t>، و عليّ بن محمّد المشترك، و محمّد بن عيسى عن يونس</w:t>
      </w:r>
      <w:r>
        <w:rPr>
          <w:rStyle w:val="FootnoteAnchor"/>
          <w:rtl w:val="true"/>
        </w:rPr>
        <w:footnoteReference w:id="23"/>
      </w:r>
      <w:r>
        <w:rPr>
          <w:rFonts w:ascii="Amiri" w:hAnsi="Amiri" w:eastAsia="Amiri" w:cs="Amiri"/>
          <w:color w:val="111111"/>
          <w:sz w:val="28"/>
          <w:sz w:val="28"/>
          <w:szCs w:val="28"/>
          <w:rtl w:val="true"/>
          <w:lang w:bidi="ar-SA"/>
        </w:rPr>
        <w:t>جهة الصدور فيها غير واضحة؛ لمعارضتها لكثير من الأخبار الظاهرة في حصر المطهّر بالماء و التراب</w:t>
      </w:r>
      <w:r>
        <w:rPr>
          <w:rStyle w:val="FootnoteAnchor"/>
          <w:rtl w:val="true"/>
        </w:rPr>
        <w:footnoteReference w:id="24"/>
      </w:r>
      <w:r>
        <w:rPr>
          <w:rFonts w:ascii="Amiri" w:hAnsi="Amiri" w:eastAsia="Amiri" w:cs="Amiri"/>
          <w:color w:val="111111"/>
          <w:sz w:val="28"/>
          <w:sz w:val="28"/>
          <w:szCs w:val="28"/>
          <w:rtl w:val="true"/>
          <w:lang w:bidi="ar-SA"/>
        </w:rPr>
        <w:t>، كما ستمرّ عليك في البحوث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ظاهرها جواز الاغتسال، و هو خلاف اتّفاق المسلمين، و تصريحِ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الرواية ممّا أجمعت العصابة على ترك العمل بها</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كلّ هذه الأُمور، أنّها لا تدلّ على جواز استعمال المضاف؛ لقوّة احتمال تعارف ماء الورد في تلك الأعصار غيرَ مضاف، و غيرَ خارج عن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لقلّة الورد في تلك الأمصار، فالتمسّك بترك</w:t>
      </w:r>
    </w:p>
    <w:p>
      <w:pPr>
        <w:pStyle w:val="BookText"/>
        <w:rPr/>
      </w:pPr>
      <w:r>
        <w:rPr>
          <w:rFonts w:ascii="Amiri" w:hAnsi="Amiri" w:eastAsia="Amiri" w:cs="Amiri"/>
          <w:color w:val="111111"/>
          <w:sz w:val="28"/>
          <w:sz w:val="28"/>
          <w:szCs w:val="28"/>
          <w:rtl w:val="true"/>
          <w:lang w:bidi="ar-SA"/>
        </w:rPr>
        <w:t xml:space="preserve">و لا من الخبث،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الاستفصال، ليس في محلّه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مدّ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من الخبث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المشهور</w:t>
      </w:r>
      <w:r>
        <w:rPr>
          <w:rStyle w:val="FootnoteAnchor"/>
          <w:rtl w:val="true"/>
        </w:rPr>
        <w:footnoteReference w:id="26"/>
      </w:r>
      <w:r>
        <w:rPr>
          <w:rFonts w:ascii="IRNazanin" w:hAnsi="IRNazanin" w:eastAsia="IRNazanin"/>
          <w:color w:val="111111"/>
          <w:sz w:val="28"/>
          <w:sz w:val="28"/>
          <w:szCs w:val="28"/>
          <w:rtl w:val="true"/>
          <w:lang w:bidi="fa-IR"/>
        </w:rPr>
        <w:t>، خلافاً لما نسب</w:t>
      </w:r>
      <w:r>
        <w:rPr>
          <w:rStyle w:val="FootnoteAnchor"/>
          <w:rtl w:val="true"/>
        </w:rPr>
        <w:footnoteReference w:id="27"/>
      </w:r>
      <w:r>
        <w:rPr>
          <w:rFonts w:ascii="IRNazanin" w:hAnsi="IRNazanin" w:eastAsia="IRNazanin"/>
          <w:color w:val="111111"/>
          <w:sz w:val="28"/>
          <w:sz w:val="28"/>
          <w:szCs w:val="28"/>
          <w:rtl w:val="true"/>
          <w:lang w:bidi="fa-IR"/>
        </w:rPr>
        <w:t>إلى المرتضى</w:t>
      </w:r>
      <w:r>
        <w:rPr>
          <w:rStyle w:val="FootnoteAnchor"/>
          <w:rtl w:val="true"/>
        </w:rPr>
        <w:footnoteReference w:id="28"/>
      </w:r>
      <w:r>
        <w:rPr>
          <w:rFonts w:ascii="Amiri" w:hAnsi="Amiri" w:eastAsia="Amiri" w:cs="Amiri"/>
          <w:color w:val="111111"/>
          <w:sz w:val="28"/>
          <w:sz w:val="28"/>
          <w:szCs w:val="28"/>
          <w:rtl w:val="true"/>
          <w:lang w:bidi="ar-SA"/>
        </w:rPr>
        <w:t>و شيخه</w:t>
      </w:r>
      <w:r>
        <w:rPr>
          <w:rStyle w:val="FootnoteAnchor"/>
          <w:rtl w:val="true"/>
        </w:rPr>
        <w:footnoteReference w:id="29"/>
      </w:r>
      <w:r>
        <w:rPr>
          <w:rFonts w:ascii="Amiri" w:hAnsi="Amiri" w:eastAsia="Amiri" w:cs="Amiri"/>
          <w:color w:val="111111"/>
          <w:sz w:val="28"/>
          <w:sz w:val="28"/>
          <w:szCs w:val="28"/>
          <w:rtl w:val="true"/>
          <w:lang w:bidi="ar-SA"/>
        </w:rPr>
        <w:t>، و هو قضيّة الأصل الوجوديّ و العدميّ، و لو كان يكفي المضاف لكان الأمر واضحاً بين المتشرّعة؛ لكثرة الابتلاء، فلا تحتاج المسألة إلى الاستدلال بالأخبار، و يكفي قصور الأدلّة لإثبات مطهّرية المضاف</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مطهّرية ماء البصاق</w:t>
      </w:r>
      <w:r>
        <w:rPr>
          <w:rStyle w:val="FootnoteAnchor"/>
          <w:rtl w:val="true"/>
        </w:rPr>
        <w:footnoteReference w:id="30"/>
      </w:r>
      <w:r>
        <w:rPr>
          <w:rFonts w:ascii="Amiri" w:hAnsi="Amiri" w:eastAsia="Amiri" w:cs="Amiri"/>
          <w:color w:val="111111"/>
          <w:sz w:val="28"/>
          <w:sz w:val="28"/>
          <w:szCs w:val="28"/>
          <w:rtl w:val="true"/>
          <w:lang w:bidi="ar-SA"/>
        </w:rPr>
        <w:t>، و لو كان نقيّ الإسناد و الدلالة، إلّا أنّه مضافاً إلى اختصاص الحكم بالدّم فيه كما في خبري غياث، ففي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يُغسل بالبزاق شي‌ءٌ غير الدّم</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و في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يغسل الدّم بالبصاق</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ربّما يكشف عن عدم نجاسة الدم شرعاً، إلّا بمرتبة ضعيفة تزول به، فيكون من الأخبار المعارضة لأخبار نجاسته</w:t>
      </w:r>
      <w:r>
        <w:rPr>
          <w:rStyle w:val="FootnoteAnchor"/>
          <w:rtl w:val="true"/>
        </w:rPr>
        <w:footnoteReference w:id="33"/>
      </w:r>
      <w:r>
        <w:rPr>
          <w:rFonts w:ascii="Amiri" w:hAnsi="Amiri" w:eastAsia="Amiri" w:cs="Amiri"/>
          <w:color w:val="111111"/>
          <w:sz w:val="28"/>
          <w:sz w:val="28"/>
          <w:szCs w:val="28"/>
          <w:rtl w:val="true"/>
          <w:lang w:bidi="ar-SA"/>
        </w:rPr>
        <w:t>، و لعلّه كان في عصر صدور الخبرين، قول من أبناء المخالفين بطهارته</w:t>
      </w:r>
      <w:r>
        <w:rPr>
          <w:rStyle w:val="FootnoteAnchor"/>
          <w:rtl w:val="true"/>
        </w:rPr>
        <w:footnoteReference w:id="34"/>
      </w:r>
      <w:r>
        <w:rPr>
          <w:rFonts w:ascii="Amiri" w:hAnsi="Amiri" w:eastAsia="Amiri" w:cs="Amiri"/>
          <w:color w:val="111111"/>
          <w:sz w:val="28"/>
          <w:sz w:val="28"/>
          <w:szCs w:val="28"/>
          <w:rtl w:val="true"/>
          <w:lang w:bidi="ar-SA"/>
        </w:rPr>
        <w:t>، فتكون الأخبار الموافقة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تضعيف التمسّك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الصادقين في مورد المضاف و سائر المائعات كالنفط و الكحول الصناعيّ بناءً على طهارته، بالإجمال أو التقييد بالأخبار الآمرة بالغسل بالماء</w:t>
      </w:r>
      <w:r>
        <w:rPr>
          <w:rStyle w:val="FootnoteAnchor"/>
          <w:rtl w:val="true"/>
        </w:rPr>
        <w:footnoteReference w:id="35"/>
      </w:r>
      <w:r>
        <w:rPr>
          <w:rFonts w:ascii="Amiri" w:hAnsi="Amiri" w:eastAsia="Amiri" w:cs="Amiri"/>
          <w:color w:val="111111"/>
          <w:sz w:val="28"/>
          <w:sz w:val="28"/>
          <w:szCs w:val="28"/>
          <w:rtl w:val="true"/>
          <w:lang w:bidi="ar-SA"/>
        </w:rPr>
        <w:t>، فهو قابل للمناقشة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الصدق قويّ جدّاً، و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لغلبة وجوده جائز عرفاً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التمسّك بالإطلاقات أيضاً ممنوع؛ لكثرة القيد وجوداً، و لالتزام الناس بإزالة النجاسة بالماء خارجاً عادةً و تعارفاً،</w:t>
      </w:r>
    </w:p>
    <w:p>
      <w:pPr>
        <w:pStyle w:val="BookText"/>
        <w:rPr/>
      </w:pPr>
      <w:r>
        <w:rPr>
          <w:rFonts w:ascii="Amiri" w:hAnsi="Amiri" w:eastAsia="Amiri" w:cs="Amiri"/>
          <w:color w:val="111111"/>
          <w:sz w:val="28"/>
          <w:sz w:val="28"/>
          <w:szCs w:val="28"/>
          <w:rtl w:val="true"/>
          <w:lang w:bidi="ar-SA"/>
        </w:rPr>
        <w:t>و لا ينبغي الخلط بين مسألة عدم تنجّس الأشياء بالأعيان النجسة، و بين مسألة التوسعة فيما يتطهّر به، و لو كان من قبيل المائعات، بل و الحكّ و نحوه، و فيما نحن فيه لا تثبت التوسعة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لأحد التفصيل بين النجاسات؛ لاختلاف الأخبار فيها، ففي مثل البول لا يجزي فيه إلّا الماء، كما في بعض النصوص</w:t>
      </w:r>
      <w:r>
        <w:rPr>
          <w:rStyle w:val="FootnoteAnchor"/>
          <w:rtl w:val="true"/>
        </w:rPr>
        <w:footnoteReference w:id="36"/>
      </w:r>
      <w:r>
        <w:rPr>
          <w:rFonts w:ascii="Amiri" w:hAnsi="Amiri" w:eastAsia="Amiri" w:cs="Amiri"/>
          <w:color w:val="111111"/>
          <w:sz w:val="28"/>
          <w:sz w:val="28"/>
          <w:szCs w:val="28"/>
          <w:rtl w:val="true"/>
          <w:lang w:bidi="ar-SA"/>
        </w:rPr>
        <w:t xml:space="preserve">، و في مثل الدّم يجزي حتّى البزاق دون غيره، و أمّا في غيرهما فيجزي مطلق كلّ شي‌ء يصدق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و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يجوز التفصيل بين حالتي الاضطرار و الاختيار، و هو المنسوب إلى الحسن بن أبي عقيل</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التفصيل بين الأشياء؛ فما منها يستعمل في الأكل و الشرب، يختلف مع ما يستعمل في غسل الثوب و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تحصّل أنّ قضيّة أدلّة مطهّرية المياه المضافة، مطهّرية جميع المائعات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الأخبار المستدلّ بها لمطهريّة الماء المضاف، أجنبيّة عنها</w:t>
      </w:r>
    </w:p>
    <w:p>
      <w:pPr>
        <w:pStyle w:val="BookText"/>
        <w:rPr/>
      </w:pPr>
      <w:r>
        <w:rPr>
          <w:rFonts w:ascii="Amiri" w:hAnsi="Amiri" w:eastAsia="Amiri" w:cs="Amiri"/>
          <w:color w:val="111111"/>
          <w:sz w:val="28"/>
          <w:sz w:val="28"/>
          <w:szCs w:val="28"/>
          <w:rtl w:val="true"/>
          <w:lang w:bidi="ar-SA"/>
        </w:rPr>
        <w:t xml:space="preserve">و لو لاقى نجساً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ينجس جميعه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اصطلحوا عليه؛ لأنّ البزاق و النبيذ ليسا منه، و هكذا العرق الوارد في خبر ابن حكيم</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منجّسية النجاسات، أو متنجّساً بناءً على المسألة المعروفة الّتي يأتي تفصيلها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المشهور المعروف المدّعى عليه الإجماعات المحكيّة</w:t>
      </w:r>
      <w:r>
        <w:rPr>
          <w:rStyle w:val="FootnoteAnchor"/>
          <w:rtl w:val="true"/>
        </w:rPr>
        <w:footnoteReference w:id="39"/>
      </w:r>
      <w:r>
        <w:rPr>
          <w:rFonts w:ascii="Amiri" w:hAnsi="Amiri" w:eastAsia="Amiri" w:cs="Amiri"/>
          <w:color w:val="111111"/>
          <w:sz w:val="28"/>
          <w:sz w:val="28"/>
          <w:szCs w:val="28"/>
          <w:rtl w:val="true"/>
          <w:lang w:bidi="ar-SA"/>
        </w:rPr>
        <w:t>عن جماعة، كالفاضلين</w:t>
      </w:r>
      <w:r>
        <w:rPr>
          <w:rStyle w:val="FootnoteAnchor"/>
          <w:rtl w:val="true"/>
        </w:rPr>
        <w:footnoteReference w:id="40"/>
      </w:r>
      <w:r>
        <w:rPr>
          <w:rFonts w:ascii="Amiri" w:hAnsi="Amiri" w:eastAsia="Amiri" w:cs="Amiri"/>
          <w:color w:val="111111"/>
          <w:sz w:val="28"/>
          <w:sz w:val="28"/>
          <w:szCs w:val="28"/>
          <w:rtl w:val="true"/>
          <w:lang w:bidi="ar-SA"/>
        </w:rPr>
        <w:t>، و الشهيدين</w:t>
      </w:r>
      <w:r>
        <w:rPr>
          <w:rStyle w:val="FootnoteAnchor"/>
          <w:rtl w:val="true"/>
        </w:rPr>
        <w:footnoteReference w:id="41"/>
      </w:r>
      <w:r>
        <w:rPr>
          <w:rFonts w:ascii="Amiri" w:hAnsi="Amiri" w:eastAsia="Amiri" w:cs="Amiri"/>
          <w:color w:val="111111"/>
          <w:sz w:val="28"/>
          <w:sz w:val="28"/>
          <w:szCs w:val="28"/>
          <w:rtl w:val="true"/>
          <w:lang w:bidi="ar-SA"/>
        </w:rPr>
        <w:t>، و غيرهم</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المقصود بالبحث هنا أعمّ من المضاف الاصطلاحيّ، و إلّا فالاستدلال بأخبار تنجّس الزيت و نحوه</w:t>
      </w:r>
      <w:r>
        <w:rPr>
          <w:rStyle w:val="FootnoteAnchor"/>
          <w:rtl w:val="true"/>
        </w:rPr>
        <w:footnoteReference w:id="43"/>
      </w:r>
      <w:r>
        <w:rPr>
          <w:rFonts w:ascii="Amiri" w:hAnsi="Amiri" w:eastAsia="Amiri" w:cs="Amiri"/>
          <w:color w:val="111111"/>
          <w:sz w:val="28"/>
          <w:sz w:val="28"/>
          <w:szCs w:val="28"/>
          <w:rtl w:val="true"/>
          <w:lang w:bidi="ar-SA"/>
        </w:rPr>
        <w:t>، في غير محلّه،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نحتاج إلى إلغاء الخصوصيّة، بالنسبة إلى سريان الحكم إلى كلّ مائع من كلّ نجس، بعد كون الأصل طهارة المضاف، بعد الملاقاة عند الشكّ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التمسّك لنجاسته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الملاقاة توجب كون الملاقي بالكسر مصداقاً للرجز و النجس، عند العرف و العقلاء، فيلزم من الاجتناب عنهما، الاجتناب عن جميع ملاقياتهما، في غير محلّه،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كان القليل من الماء تنجّس، فالمضاف ينجس قليله و كثيره؛ ضرورة أنّ الكريّة و كثرة الماء تمنع عن السراية، و لا شقّ آخر كما تحرّر</w:t>
      </w:r>
      <w:r>
        <w:rPr>
          <w:rStyle w:val="FootnoteAnchor"/>
          <w:rtl w:val="true"/>
        </w:rPr>
        <w:footnoteReference w:id="44"/>
      </w:r>
      <w:r>
        <w:rPr>
          <w:rFonts w:ascii="Amiri" w:hAnsi="Amiri" w:eastAsia="Amiri" w:cs="Amiri"/>
          <w:color w:val="111111"/>
          <w:sz w:val="28"/>
          <w:sz w:val="28"/>
          <w:szCs w:val="28"/>
          <w:rtl w:val="true"/>
          <w:lang w:bidi="ar-SA"/>
        </w:rPr>
        <w:t>، فهو لا يبعد، إلّا أنّه استدلال لا يناسب التعبّديات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الوحيد الأخبار المتفرّقة</w:t>
      </w:r>
      <w:r>
        <w:rPr>
          <w:rStyle w:val="FootnoteAnchor"/>
          <w:rtl w:val="true"/>
        </w:rPr>
        <w:footnoteReference w:id="45"/>
      </w:r>
      <w:r>
        <w:rPr>
          <w:rFonts w:ascii="Amiri" w:hAnsi="Amiri" w:eastAsia="Amiri" w:cs="Amiri"/>
          <w:color w:val="111111"/>
          <w:sz w:val="28"/>
          <w:sz w:val="28"/>
          <w:szCs w:val="28"/>
          <w:rtl w:val="true"/>
          <w:lang w:bidi="ar-SA"/>
        </w:rPr>
        <w:t>المشار إليها، الظاهرة في أنّ الأمر بالإراقة و غيرها؛ لأجل النجاسة، دون الجهات الأُخر، كالخباثة أو الحرمة أو غيرهما، ممّا يرجع إلى الطبابة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معارضتها بمرويّ الكلينيّ، عن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p>
    <w:p>
      <w:pPr>
        <w:pStyle w:val="BookText"/>
        <w:rPr/>
      </w:pPr>
      <w:r>
        <w:rPr>
          <w:rFonts w:ascii="Amiri" w:hAnsi="Amiri" w:eastAsia="Amiri" w:cs="Amiri"/>
          <w:color w:val="111111"/>
          <w:sz w:val="28"/>
          <w:sz w:val="28"/>
          <w:szCs w:val="28"/>
          <w:rtl w:val="true"/>
          <w:lang w:bidi="ar-SA"/>
        </w:rPr>
        <w:t xml:space="preserve">و لو كان ألف 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جارياً من العالي إلى السافل و لو بنحو الانحدار مع الدفع بقوّة، و لاقى أسفله النجاسة،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الفأرة و الكلب يقع في السمن و الزيت يخرج منه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بأكله</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في غير محلّه؛ لضعفه سنداً، و عدم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w:t>
      </w:r>
      <w:r>
        <w:rPr>
          <w:rStyle w:val="FootnoteAnchor"/>
          <w:rtl w:val="true"/>
        </w:rPr>
        <w:footnoteReference w:id="47"/>
      </w:r>
      <w:r>
        <w:rPr>
          <w:rFonts w:ascii="Amiri" w:hAnsi="Amiri" w:eastAsia="Amiri" w:cs="Amiri"/>
          <w:color w:val="111111"/>
          <w:sz w:val="28"/>
          <w:sz w:val="28"/>
          <w:szCs w:val="28"/>
          <w:rtl w:val="true"/>
          <w:lang w:bidi="ar-SA"/>
        </w:rPr>
        <w:t>، و لإمكان التفكيك بين النجاسة و حرمة الأكل، فلا تخلط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ألف 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نظراً إلى إطلاق معاقد الإجماعات، و هي غير نافعة في أصل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السراية المعلوم وجودها في المقام، و هو ممنوع مطلقاً، و ليس من مذهبنا السراية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لزومُ وجود الرطوبة في محلّ اللّقاء، لا يستدعي القول بالسراية، المتوقّفة على وجود الساري و الانتقال، غير القابل للتصديق في ملاقاة الكافر و المتنجّس و غيره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إطلاق الأخبار السابقة</w:t>
      </w:r>
      <w:r>
        <w:rPr>
          <w:rStyle w:val="FootnoteAnchor"/>
          <w:rtl w:val="true"/>
        </w:rPr>
        <w:footnoteReference w:id="48"/>
      </w:r>
      <w:r>
        <w:rPr>
          <w:rFonts w:ascii="Amiri" w:hAnsi="Amiri" w:eastAsia="Amiri" w:cs="Amiri"/>
          <w:color w:val="111111"/>
          <w:sz w:val="28"/>
          <w:sz w:val="28"/>
          <w:szCs w:val="28"/>
          <w:rtl w:val="true"/>
          <w:lang w:bidi="ar-SA"/>
        </w:rPr>
        <w:t>، القابلة للمنع جدّاً، و لا سيّما في الكثير كالاوقِيانوس من المائع بالقياس إلى رأس الإبرة النجسة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بعض الأخبار، كمعتبر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بفضل السِّنَّوْر بأس أن يتوضّأ منه و يشرب، و لا يشرب سؤر الكلب إلّا أن يكون حوضاً كبيراً يستقى منه</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المستثنى منه أعمّ من الماء، فيشمل المضاف، و المستثنى مخصوص بالماء؛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فالأصل هو المتّبع إلّا ما خرج منه بدليل، و المسألة بوجه تصير من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النفط و عيونه</w:t>
      </w:r>
      <w:r>
        <w:rPr>
          <w:rStyle w:val="FootnoteAnchor"/>
          <w:rtl w:val="true"/>
        </w:rPr>
        <w:footnoteReference w:id="50"/>
      </w:r>
      <w:r>
        <w:rPr>
          <w:rFonts w:ascii="Amiri" w:hAnsi="Amiri" w:eastAsia="Amiri" w:cs="Amiri"/>
          <w:color w:val="111111"/>
          <w:sz w:val="28"/>
          <w:sz w:val="28"/>
          <w:szCs w:val="28"/>
          <w:rtl w:val="true"/>
          <w:lang w:bidi="ar-SA"/>
        </w:rPr>
        <w:t>، فهو في غير محلّه؛ لأنّ دعوى العلم بالملاقاة مع النفط في البحيرة منه، غير تامّة حسب العادة، و فيما يتمّ القول بالعلم باللّقاء يكون قليلًا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صورة الكثرة، المنع عن النجاسة يرجع إلى إنكار تنجّسه حتّى في محلّ الملاقاة، لا في الطرف البعيد عن محلّ اللّقاء فقط، و إلّا فتلزم الشبهة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تختصّ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بموضع الملاقاة و ما دونه، و لا تسري إلى الفوق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تختصّ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نظراً إلى قصور الأدلّة المذكورة، و إلى أنّ النجاسة تمنع عن السريان إلى الفوق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سيمرّ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السراية، لا أصل له، و إلّا يلزم تنجّس الماء القليل في الانبوب الطويل تدريجاً، أو إنكار نجاسته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مشرِّفيهما السلام أُنبوب على سطح الأرض المستوي، و كان ماؤه أقلّ من الكرّ، و لاقى النجس طرفَه الذي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الماء في الطرف الآخر في الآن نجساً؛ لعدم مساعدة الارتكاز على نجاسته، أو يصير الماء في الطرف الحائريّ نجساً بعد يوم مثلًا؛ لأنّ السراية تحتاج إلى الزمان، و التقديران ممنوعان، فالسراية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فحديث عدم تنجّس العالي بملاقاة السافل للنجس، إذا كان الجريان بقوّة، أو عدم نجاسة السافل كما في الفوّارة بملاقاة العالي، و عدم نجاسة ما في الإبريق بإراقة مائة على يد الكافر، أجنبيّ عن بحث السراية التي شوهدت في كلمات جملة منهم</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ذهاب الكلّ إلى طهارة العالي و السافل في الصورتين،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مثل الإبريق خلافاً 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المناهل</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يحتاج إلى دعوى أنّ في هذه المواقف، يكون الماء متعدّداً عرفاً، أو يشكّ في الوحدة العرفيّة اللّازمة في الحكم بالنجاسة، و نتيجة ذلك طهارة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الانبوب المذكور، فلاحظ و اغتنم</w:t>
      </w:r>
      <w:r>
        <w:rPr>
          <w:rFonts w:eastAsia="Amiri" w:cs="Amiri" w:ascii="Amiri" w:hAnsi="Amiri"/>
          <w:color w:val="111111"/>
          <w:sz w:val="28"/>
          <w:szCs w:val="28"/>
          <w:rtl w:val="true"/>
          <w:lang w:bidi="ar-SA"/>
        </w:rPr>
        <w:t>.</w:t>
      </w:r>
      <w:bookmarkStart w:id="27" w:name="pg12366_122877"/>
    </w:p>
    <w:p>
      <w:pPr>
        <w:pStyle w:val="Heading4"/>
        <w:numPr>
          <w:ilvl w:val="3"/>
          <w:numId w:val="1"/>
        </w:numPr>
        <w:rPr/>
      </w:pPr>
      <w:bookmarkStart w:id="28" w:name="__RefHeading___Toc8895935_417432637"/>
      <w:bookmarkStart w:id="29" w:name="_Toc11"/>
      <w:bookmarkEnd w:id="27"/>
      <w:bookmarkEnd w:id="28"/>
      <w:r>
        <w:rPr>
          <w:rtl w:val="true"/>
        </w:rPr>
        <w:t>[</w:t>
      </w:r>
      <w:r>
        <w:rPr>
          <w:rtl w:val="true"/>
        </w:rPr>
        <w:t xml:space="preserve">مسألة </w:t>
      </w:r>
      <w:r>
        <w:rPr/>
        <w:t>2</w:t>
      </w:r>
      <w:r>
        <w:rPr>
          <w:rtl w:val="true"/>
        </w:rPr>
        <w:t xml:space="preserve">: </w:t>
      </w:r>
      <w:r>
        <w:rPr>
          <w:rtl w:val="true"/>
        </w:rPr>
        <w:t>الماء المطلق لا يخرج بالتصعيد عن الإطلاق</w:t>
      </w:r>
      <w:r>
        <w:rPr>
          <w:rtl w:val="true"/>
        </w:rPr>
        <w:t>]</w:t>
      </w:r>
      <w:bookmarkEnd w:id="2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المطلق لا يخرج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بالتصعيد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مزج معه غيره و صعّد ربّما يصير مضافاً، كماء الورد و نحوه، كما أنّ المضاف المصعّد، قد يكون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المناط هو حال الاجتماع بعد التصعيد، فربّما يكون المصعّد الأجزاء المائيّة، و بعد الاجتماع يكون ماءً مطلقاً، و ربّما يكون مضافاً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الماء المصعَّد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تحرّر منّا ممنوعيّة تدخّل الفقيه في تشخيص المصاديق و الصغريات، بعد كون الأمر موكولًا إلى العرف</w:t>
      </w:r>
      <w:r>
        <w:rPr>
          <w:rStyle w:val="FootnoteAnchor"/>
          <w:rtl w:val="true"/>
        </w:rPr>
        <w:footnoteReference w:id="53"/>
      </w:r>
      <w:r>
        <w:rPr>
          <w:rFonts w:ascii="Amiri" w:hAnsi="Amiri" w:eastAsia="Amiri" w:cs="Amiri"/>
          <w:color w:val="111111"/>
          <w:sz w:val="28"/>
          <w:sz w:val="28"/>
          <w:szCs w:val="28"/>
          <w:rtl w:val="true"/>
          <w:lang w:bidi="ar-SA"/>
        </w:rPr>
        <w:t>ضرورة أنّه ربّما يتوهّم العرف أن تشخيصه مورد للاتكاء شرعاً، فيتّبعه على خلاف ما تشخّصه أنفسهم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فأمثال هذه المسائل و البحث حولها من اللّغو المنهيّ عنه؛ لعدم حجّية نظر الفقيه فيها، و يستتبع أحياناً إيقاعهم في خلاف ما هو المتّبع عند الفقهاء، كما هو واضح</w:t>
      </w:r>
      <w:r>
        <w:rPr>
          <w:rFonts w:eastAsia="Amiri" w:cs="Amiri" w:ascii="Amiri" w:hAnsi="Amiri"/>
          <w:color w:val="111111"/>
          <w:sz w:val="28"/>
          <w:szCs w:val="28"/>
          <w:rtl w:val="true"/>
          <w:lang w:bidi="ar-SA"/>
        </w:rPr>
        <w:t>.</w:t>
      </w:r>
      <w:bookmarkStart w:id="30" w:name="pg12366_122878"/>
    </w:p>
    <w:p>
      <w:pPr>
        <w:pStyle w:val="Heading4"/>
        <w:numPr>
          <w:ilvl w:val="3"/>
          <w:numId w:val="1"/>
        </w:numPr>
        <w:rPr/>
      </w:pPr>
      <w:bookmarkStart w:id="31" w:name="__RefHeading___Toc8895937_417432637"/>
      <w:bookmarkStart w:id="32" w:name="_Toc12"/>
      <w:bookmarkEnd w:id="30"/>
      <w:bookmarkEnd w:id="31"/>
      <w:r>
        <w:rPr>
          <w:rtl w:val="true"/>
        </w:rPr>
        <w:t>[</w:t>
      </w:r>
      <w:r>
        <w:rPr>
          <w:rtl w:val="true"/>
        </w:rPr>
        <w:t xml:space="preserve">مسألة </w:t>
      </w:r>
      <w:r>
        <w:rPr/>
        <w:t>3</w:t>
      </w:r>
      <w:r>
        <w:rPr>
          <w:rtl w:val="true"/>
        </w:rPr>
        <w:t xml:space="preserve">: </w:t>
      </w:r>
      <w:r>
        <w:rPr>
          <w:rtl w:val="true"/>
        </w:rPr>
        <w:t>إذا شكّ في مائع أنّه مطلق أو مضاف</w:t>
      </w:r>
      <w:r>
        <w:rPr>
          <w:rtl w:val="true"/>
        </w:rPr>
        <w:t>]</w:t>
      </w:r>
      <w:bookmarkEnd w:id="3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مائع أنّه مطلق أو مضاف، فإن علم حالته السابقة يبنى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في بعض الفروع، كالشبهة المفهوميّة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الشكّ في بقاء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الماء المشكوك إطلاقه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يبنى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المعروف بين الأصحاب؛ نظراً إلى الاستصحاب المفروغ عن اعتباره في الشبهة الموضوعيّة الناشئة عن الجهات الخارجيّة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يتوجّه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كون الإطلاق و الإضافة، منتزعين عن الأوصاف النوعيّة، و أنّ الماء المطلق هو الماء، و غيرَه ليس بماء، لا معنى لجريان الاستصحاب؛ للشكّ في الموضوع، و في اتحاد القضيّتين؛ ضرورة أنّه لا يجوز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ما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المشار إليه مبايناً له و مضافاً؛ أي غير ماء في صورته النوعيّة، فلا تخلط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الأمر في استصحاب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المفهوميّة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جريانه في الشبهة الموضوعيّة الناشئة عن الشبهة المفهوميّة، مفروغ عنه، و سيمرّ عليك وجهه، بما لا تبقى فيه شبهة، إن شاء</w:t>
      </w:r>
    </w:p>
    <w:p>
      <w:pPr>
        <w:pStyle w:val="BookText"/>
        <w:rPr/>
      </w:pPr>
      <w:r>
        <w:rPr>
          <w:rFonts w:ascii="Amiri" w:hAnsi="Amiri" w:eastAsia="Amiri" w:cs="Amiri"/>
          <w:color w:val="111111"/>
          <w:sz w:val="28"/>
          <w:sz w:val="28"/>
          <w:szCs w:val="28"/>
          <w:rtl w:val="true"/>
          <w:lang w:bidi="ar-SA"/>
        </w:rPr>
        <w:t xml:space="preserve">و إن لم يعلم حالته السابقة فلا يرفع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حدثاً و لا خبثاً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لاقى النجاسة فإن كان قليلًا ينجس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كثيراً فالظاهر أنّه يحكم بطهارته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تعالى، و أمّا في المقام فالأمر واضح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الشكِّ في بقاء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مورد له إلّا في الموضوعيّة،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مطلقاً، ثمّ أخذنا في خلطه بالتراب تدريجاً، يقع الشكّ في بقاء إطلاقه في إحدى مراتب الخلط، فيستصحب، و يقع الشكّ في بقاء الموضوع في المرتبة الأُخرى، كما لا يبقى شكّ في المرتبة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لا معنى للشكّ في إطلاقه، إلّا برجوعه إلى الشكّ في أنّه ماء، فلا محلّ للاستصحاب، فلا تذهل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وجه لإسناد عدم الرفع إليه، نعم لا يترتّب عليه شي‌ء في مرحلة الإثبات، فيستصحب الحدث و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بطهارته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بنجاسته</w:t>
      </w:r>
      <w:r>
        <w:rPr>
          <w:rStyle w:val="FootnoteAnchor"/>
          <w:rtl w:val="true"/>
        </w:rPr>
        <w:footnoteReference w:id="55"/>
      </w:r>
      <w:r>
        <w:rPr>
          <w:rFonts w:ascii="Amiri" w:hAnsi="Amiri" w:eastAsia="Amiri" w:cs="Amiri"/>
          <w:color w:val="111111"/>
          <w:sz w:val="28"/>
          <w:sz w:val="28"/>
          <w:szCs w:val="28"/>
          <w:rtl w:val="true"/>
          <w:lang w:bidi="ar-SA"/>
        </w:rPr>
        <w:t>نظراً إلى استصحاب العدم الأزليّ، و حيث هو غير جارٍ في مثل المقام، فأصل الطهارة سالم عن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يتوهّم الحكم بالنجاسة؛ لأجل قاعدة المقتضي و المانع المعتبرة هنا</w:t>
      </w:r>
      <w:r>
        <w:rPr>
          <w:rStyle w:val="FootnoteAnchor"/>
          <w:rtl w:val="true"/>
        </w:rPr>
        <w:footnoteReference w:id="56"/>
      </w:r>
      <w:r>
        <w:rPr>
          <w:rFonts w:ascii="Amiri" w:hAnsi="Amiri" w:eastAsia="Amiri" w:cs="Amiri"/>
          <w:color w:val="111111"/>
          <w:sz w:val="28"/>
          <w:sz w:val="28"/>
          <w:szCs w:val="28"/>
          <w:rtl w:val="true"/>
          <w:lang w:bidi="ar-SA"/>
        </w:rPr>
        <w:t>، و لكنّه بمعزل عن التحقيق</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كفاية استصحاب عدم كونه ماءً؛ لمعارضته باستصحاب عدم كونه مضافاً، فهي قابلة للدفع بعدم الأثر للثاني، بخلاف الأوّل فتأمّل</w:t>
      </w:r>
      <w:r>
        <w:rPr>
          <w:rFonts w:eastAsia="Amiri" w:cs="Amiri" w:ascii="Amiri" w:hAnsi="Amiri"/>
          <w:color w:val="111111"/>
          <w:sz w:val="28"/>
          <w:szCs w:val="28"/>
          <w:rtl w:val="true"/>
          <w:lang w:bidi="ar-SA"/>
        </w:rPr>
        <w:t>.</w:t>
      </w:r>
      <w:bookmarkStart w:id="33" w:name="pg12366_122881"/>
    </w:p>
    <w:p>
      <w:pPr>
        <w:pStyle w:val="Heading4"/>
        <w:numPr>
          <w:ilvl w:val="3"/>
          <w:numId w:val="1"/>
        </w:numPr>
        <w:rPr/>
      </w:pPr>
      <w:bookmarkStart w:id="34" w:name="__RefHeading___Toc8895939_417432637"/>
      <w:bookmarkStart w:id="35" w:name="_Toc13"/>
      <w:bookmarkEnd w:id="33"/>
      <w:bookmarkEnd w:id="34"/>
      <w:r>
        <w:rPr>
          <w:rtl w:val="true"/>
        </w:rPr>
        <w:t>[</w:t>
      </w:r>
      <w:r>
        <w:rPr>
          <w:rtl w:val="true"/>
        </w:rPr>
        <w:t xml:space="preserve">مسألة </w:t>
      </w:r>
      <w:r>
        <w:rPr/>
        <w:t>4</w:t>
      </w:r>
      <w:r>
        <w:rPr>
          <w:rtl w:val="true"/>
        </w:rPr>
        <w:t xml:space="preserve">: </w:t>
      </w:r>
      <w:r>
        <w:rPr>
          <w:rtl w:val="true"/>
        </w:rPr>
        <w:t>الماء المطلق بجميع أقسامه، يتنجّس فيما إذا تغيّر</w:t>
      </w:r>
      <w:r>
        <w:rPr>
          <w:rtl w:val="true"/>
        </w:rPr>
        <w:t>]</w:t>
      </w:r>
      <w:bookmarkEnd w:id="3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المطلق بجميع أقسامه، يتنجّس فيما إذا تغيّر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ملاقاة النجاسة أحدُ أوصافه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اللّون، و الطعم، و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تنجّس الماء المطلق بالتغيّر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قول من يُحفظ عنه العلم،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محصّلًا، و منقولًا كاد يكون متواتراً</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قبل هذه الإجماعات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الناهية عن التوضّي و الشرب</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في محلّ المنع؛ للأعمّية، و لما في 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الماء الآجن يتوضّأ منه، إلّا أن تجد ماءً غيره فتنزّه منه</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الماء النقيع تبول فيه الدوابّ</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تغيّر الماء فلا تتوضّأ منه، و إن لم تغيّره أبوالها فتوضّأ منه</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فاستفادة النجاسة من نفي الأحكام في غير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النبويّ المشهور المتّفق على روايته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و المتواتر</w:t>
      </w:r>
      <w:r>
        <w:rPr>
          <w:rStyle w:val="FootnoteAnchor"/>
          <w:rtl w:val="true"/>
        </w:rPr>
        <w:footnoteReference w:id="6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منجبراً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 لا ينجّسه شي‌ء، إلّا ما غيّر لونه، أو طعمه، أو ريحه</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طعن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و نحن قد استقصينا البحث حوله في كتابنا الكبير</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يكون بصدد أمر آخر؛ و هو أنّ الماء غير المتغيّر لا يتنجّس بشي‌ء؛ لما فيه من صفة الاعتصام، و أمّا إذا تغيّر في أحد أوصافه، فتسلب عنه هذه الصفة، و يصلح للتنجّس بملاقاة النجس، كما يساعده الاعتبار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الظاهر منه؛ لقوله في الاستثناء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غيّر لونه، أو طعمه، أو 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أنّه استثناء من ابتداء الكلام، فيقرأ مجهولًا؛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الماء طهوراً، إلّا ما غُيِّر لونُه و ريحُه و طعمُه، فإنّه ليس طهوراً،</w:t>
      </w:r>
    </w:p>
    <w:p>
      <w:pPr>
        <w:pStyle w:val="BookText"/>
        <w:rPr/>
      </w:pPr>
      <w:r>
        <w:rPr>
          <w:rFonts w:ascii="Amiri" w:hAnsi="Amiri" w:eastAsia="Amiri" w:cs="Amiri"/>
          <w:color w:val="111111"/>
          <w:sz w:val="28"/>
          <w:sz w:val="28"/>
          <w:szCs w:val="28"/>
          <w:rtl w:val="true"/>
          <w:lang w:bidi="ar-SA"/>
        </w:rPr>
        <w:t xml:space="preserve">و لا يتنجّس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تغيّر بالمجاورة، كما إذا كان قريباً من جيفة، فصار جائفاً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وقعت الجيفة خارج الماء، و وقع جزء منها فيه، و تغيّر بسبب المجموع من الداخل و الخارج، يتنجّس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ينجّسه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أجنبيّ عمّا فهموه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انجباره فهماً بفهمهم، غير مسموعة؛ لاستنادهم قويّاً إلى القرائن الموجودة الأُخر الواصلة، فالمسألة عندي مشكلة جدّاً، و مخالفةُ الأصحاب و الإجماع أكثر إشكالًا، فالاحتياط لا يترك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ما احتملناه، ذيل خبر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أكثر من راوية لم ينجّسه شي‌ء؛ تفسّخ فيه أو لم يتفسّخ، إلّا أن يجي‌ء له ريح تغلب على ريح الماء</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 فاغتنم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يتنجّس</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خلاف</w:t>
      </w:r>
      <w:r>
        <w:rPr>
          <w:rStyle w:val="FootnoteAnchor"/>
          <w:rtl w:val="true"/>
        </w:rPr>
        <w:footnoteReference w:id="68"/>
      </w:r>
      <w:r>
        <w:rPr>
          <w:rFonts w:ascii="Amiri" w:hAnsi="Amiri" w:eastAsia="Amiri" w:cs="Amiri"/>
          <w:color w:val="111111"/>
          <w:sz w:val="28"/>
          <w:sz w:val="28"/>
          <w:szCs w:val="28"/>
          <w:rtl w:val="true"/>
          <w:lang w:bidi="ar-SA"/>
        </w:rPr>
        <w:t>، و معناه أنّه إذا تغيّر ماء في أوصافه الثلاثة بالنجس المجاور، و أثّر فيه أشدّ التأثير لا ينجس، و لكنّه إذا تغيّر في إحداها و لو لم يكن من سنخ النجس يتنجّس و لو كان ضعيفاً في التغيّر، فهل ترى من</w:t>
      </w:r>
    </w:p>
    <w:p>
      <w:pPr>
        <w:pStyle w:val="BookText"/>
        <w:rPr/>
      </w:pPr>
      <w:r>
        <w:rPr>
          <w:rFonts w:ascii="Amiri" w:hAnsi="Amiri" w:eastAsia="Amiri" w:cs="Amiri"/>
          <w:color w:val="111111"/>
          <w:sz w:val="28"/>
          <w:sz w:val="28"/>
          <w:szCs w:val="28"/>
          <w:rtl w:val="true"/>
          <w:lang w:bidi="ar-SA"/>
        </w:rPr>
        <w:t>نفسك صحّة نسبته إلى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تجد أنّ المطلقات محكّمة، و الموارد الخاصّة غالبيّة، بل لو لم يكن هناك إطلاق، لا تستفاد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ما أبدعناه تعتبر الملاقاة؛ لأنّ الماء بالتغيّر يسلب عنه نعت الاعتصام، فتؤثّر فيه النجاسة بالملاقاة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اللّقاء ممنوع جدّاً</w:t>
      </w:r>
      <w:r>
        <w:rPr>
          <w:rFonts w:eastAsia="Amiri" w:cs="Amiri" w:ascii="Amiri" w:hAnsi="Amiri"/>
          <w:color w:val="111111"/>
          <w:sz w:val="28"/>
          <w:szCs w:val="28"/>
          <w:rtl w:val="true"/>
          <w:lang w:bidi="ar-SA"/>
        </w:rPr>
        <w:t>.</w:t>
      </w:r>
      <w:bookmarkStart w:id="36" w:name="pg12366_122885"/>
    </w:p>
    <w:p>
      <w:pPr>
        <w:pStyle w:val="Heading4"/>
        <w:numPr>
          <w:ilvl w:val="3"/>
          <w:numId w:val="1"/>
        </w:numPr>
        <w:rPr/>
      </w:pPr>
      <w:bookmarkStart w:id="37" w:name="__RefHeading___Toc8895941_417432637"/>
      <w:bookmarkStart w:id="38" w:name="_Toc14"/>
      <w:bookmarkEnd w:id="36"/>
      <w:bookmarkEnd w:id="37"/>
      <w:r>
        <w:rPr>
          <w:rtl w:val="true"/>
        </w:rPr>
        <w:t>[</w:t>
      </w:r>
      <w:r>
        <w:rPr>
          <w:rtl w:val="true"/>
        </w:rPr>
        <w:t xml:space="preserve">مسألة </w:t>
      </w:r>
      <w:r>
        <w:rPr/>
        <w:t>5</w:t>
      </w:r>
      <w:r>
        <w:rPr>
          <w:rtl w:val="true"/>
        </w:rPr>
        <w:t xml:space="preserve">: </w:t>
      </w:r>
      <w:r>
        <w:rPr>
          <w:rtl w:val="true"/>
        </w:rPr>
        <w:t>المعتبر تأثّر الماء بأوصاف النجاسة، لا المتنجّس</w:t>
      </w:r>
      <w:r>
        <w:rPr>
          <w:rtl w:val="true"/>
        </w:rPr>
        <w:t>]</w:t>
      </w:r>
      <w:bookmarkEnd w:id="3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تأثّر الماء بأوصاف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المتنجّس، فإذا احمرّ الماء بالبقم المتنجّس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ينجس إذا كان كرّاً، أو جارياً،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بأوصاف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يعتبر أزيد من التغيّر بالنجاسة و إن لم يكن من أوصافها، كما يأتي في المسألة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عندهم التغيّر بالنجاسة في الأوصاف الثلاثة، فالعبارتان متناقضتان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المعروف المشهور الذي كاد أن يكون إجماعيّاً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إدخال المسألة في حديث الاستقذار الطبعي</w:t>
      </w:r>
      <w:r>
        <w:rPr>
          <w:rStyle w:val="FootnoteAnchor"/>
          <w:rtl w:val="true"/>
        </w:rPr>
        <w:footnoteReference w:id="69"/>
      </w:r>
      <w:r>
        <w:rPr>
          <w:rFonts w:ascii="Amiri" w:hAnsi="Amiri" w:eastAsia="Amiri" w:cs="Amiri"/>
          <w:color w:val="111111"/>
          <w:sz w:val="28"/>
          <w:sz w:val="28"/>
          <w:szCs w:val="28"/>
          <w:rtl w:val="true"/>
          <w:lang w:bidi="ar-SA"/>
        </w:rPr>
        <w:t>، ينافي تصريحهم بعدم تنجّسه في صورة تأثّره في الثقل و الوزن، فإنّه يوجب الاستقذار جدّاً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قصور الأدلّة لعدم تنجّسه، و الاستصحابُ</w:t>
      </w:r>
      <w:r>
        <w:rPr>
          <w:rFonts w:eastAsia="Amiri" w:cs="Amiri" w:ascii="Amiri" w:hAnsi="Amiri"/>
          <w:color w:val="111111"/>
          <w:sz w:val="28"/>
          <w:szCs w:val="28"/>
          <w:rtl w:val="true"/>
          <w:lang w:bidi="ar-SA"/>
        </w:rPr>
        <w:t>.</w:t>
      </w:r>
      <w:bookmarkStart w:id="39" w:name="pg12366_122886"/>
    </w:p>
    <w:p>
      <w:pPr>
        <w:pStyle w:val="Heading4"/>
        <w:numPr>
          <w:ilvl w:val="3"/>
          <w:numId w:val="1"/>
        </w:numPr>
        <w:rPr/>
      </w:pPr>
      <w:bookmarkStart w:id="40" w:name="__RefHeading___Toc8895943_417432637"/>
      <w:bookmarkStart w:id="41" w:name="_Toc15"/>
      <w:bookmarkEnd w:id="39"/>
      <w:bookmarkEnd w:id="40"/>
      <w:r>
        <w:rPr>
          <w:rtl w:val="true"/>
        </w:rPr>
        <w:t>[</w:t>
      </w:r>
      <w:r>
        <w:rPr>
          <w:rtl w:val="true"/>
        </w:rPr>
        <w:t xml:space="preserve">مسألة </w:t>
      </w:r>
      <w:r>
        <w:rPr/>
        <w:t>6</w:t>
      </w:r>
      <w:r>
        <w:rPr>
          <w:rtl w:val="true"/>
        </w:rPr>
        <w:t xml:space="preserve">: </w:t>
      </w:r>
      <w:r>
        <w:rPr>
          <w:rtl w:val="true"/>
        </w:rPr>
        <w:t>المناط تغيّر أحد الأوصاف الثلاثة</w:t>
      </w:r>
      <w:r>
        <w:rPr>
          <w:rtl w:val="true"/>
        </w:rPr>
        <w:t>]</w:t>
      </w:r>
      <w:bookmarkEnd w:id="4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تغيّر أحد الأوصاف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مدّ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الأوصاف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 خلاف، فلا تعتبر الثلاثة مجموعةً، و هو مقتضى كثير من الأخبار</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في الروايات صحيح حَريز بن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الماء على ريح الجيفة، فتوضّأ من الماء و اشرب، فإذا تغيّر الماء و تغيّر الطعم، فلا توضّأ منه، و لا تشرب</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خبر أبي خالد القمّاط</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أمكن عرفاً الجمع بينهما فهو، و إلّا فالخبران معرض عنهما، مع ما في سند الخبر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موهنيّة هذا الإعراض الواضح الاستناد، و سند الثاني يصحّ عندهم بحمّاد بن عيسى؛ فإنّه من أصحاب الإجماع</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الترجيح مع الطائفة الأُولى، و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الواو و لو كان في الكتاب الإلهيّ لا يكفي،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المشهور كفاية التغيّر باللّون</w:t>
      </w:r>
      <w:r>
        <w:rPr>
          <w:rStyle w:val="FootnoteAnchor"/>
          <w:rtl w:val="true"/>
        </w:rPr>
        <w:footnoteReference w:id="73"/>
      </w:r>
      <w:r>
        <w:rPr>
          <w:rFonts w:ascii="Amiri" w:hAnsi="Amiri" w:eastAsia="Amiri" w:cs="Amiri"/>
          <w:color w:val="111111"/>
          <w:sz w:val="28"/>
          <w:sz w:val="28"/>
          <w:szCs w:val="28"/>
          <w:rtl w:val="true"/>
          <w:lang w:bidi="ar-SA"/>
        </w:rPr>
        <w:t>، و ربّما يناقش فيه بخلوّ الأخبار منه، و هو في محلّ المنع؛ لاشتمال النبويّ</w:t>
      </w:r>
      <w:r>
        <w:rPr>
          <w:rStyle w:val="FootnoteAnchor"/>
          <w:rtl w:val="true"/>
        </w:rPr>
        <w:footnoteReference w:id="74"/>
      </w:r>
      <w:r>
        <w:rPr>
          <w:rFonts w:ascii="Amiri" w:hAnsi="Amiri" w:eastAsia="Amiri" w:cs="Amiri"/>
          <w:color w:val="111111"/>
          <w:sz w:val="28"/>
          <w:sz w:val="28"/>
          <w:szCs w:val="28"/>
          <w:rtl w:val="true"/>
          <w:lang w:bidi="ar-SA"/>
        </w:rPr>
        <w:t>و حديثي العلاء بن الفضيل</w:t>
      </w:r>
      <w:r>
        <w:rPr>
          <w:rStyle w:val="FootnoteAnchor"/>
          <w:rtl w:val="true"/>
        </w:rPr>
        <w:footnoteReference w:id="75"/>
      </w:r>
      <w:r>
        <w:rPr>
          <w:rFonts w:ascii="IRNazanin" w:hAnsi="IRNazanin" w:eastAsia="IRNazanin"/>
          <w:color w:val="111111"/>
          <w:sz w:val="28"/>
          <w:sz w:val="28"/>
          <w:szCs w:val="28"/>
          <w:rtl w:val="true"/>
          <w:lang w:bidi="fa-IR"/>
        </w:rPr>
        <w:t>و شهاب بن عبد ربّه</w:t>
      </w:r>
      <w:r>
        <w:rPr>
          <w:rStyle w:val="FootnoteAnchor"/>
          <w:rtl w:val="true"/>
        </w:rPr>
        <w:footnoteReference w:id="76"/>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النبوي بما مرّ</w:t>
      </w:r>
      <w:r>
        <w:rPr>
          <w:rStyle w:val="FootnoteAnchor"/>
          <w:rtl w:val="true"/>
        </w:rPr>
        <w:footnoteReference w:id="77"/>
      </w:r>
      <w:r>
        <w:rPr>
          <w:rFonts w:ascii="Amiri" w:hAnsi="Amiri" w:eastAsia="Amiri" w:cs="Amiri"/>
          <w:color w:val="111111"/>
          <w:sz w:val="28"/>
          <w:sz w:val="28"/>
          <w:szCs w:val="28"/>
          <w:rtl w:val="true"/>
          <w:lang w:bidi="ar-SA"/>
        </w:rPr>
        <w:t>، و في الثاني بوجود محمّد بن سِنان فيه، و في الثالث من جهات كثيرة، قابلةٌ للدفع، بعد صراحة كلمات الأقدمين</w:t>
      </w:r>
      <w:r>
        <w:rPr>
          <w:rStyle w:val="FootnoteAnchor"/>
          <w:rtl w:val="true"/>
        </w:rPr>
        <w:footnoteReference w:id="78"/>
      </w:r>
      <w:r>
        <w:rPr>
          <w:rFonts w:ascii="Amiri" w:hAnsi="Amiri" w:eastAsia="Amiri" w:cs="Amiri"/>
          <w:color w:val="111111"/>
          <w:sz w:val="28"/>
          <w:sz w:val="28"/>
          <w:szCs w:val="28"/>
          <w:rtl w:val="true"/>
          <w:lang w:bidi="ar-SA"/>
        </w:rPr>
        <w:t>فيه، مع مساعدة الاعتبار 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الإشكال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بسبق الطعم و الريح على اللّون</w:t>
      </w:r>
      <w:r>
        <w:rPr>
          <w:rStyle w:val="FootnoteAnchor"/>
          <w:rtl w:val="true"/>
        </w:rPr>
        <w:footnoteReference w:id="79"/>
      </w:r>
      <w:r>
        <w:rPr>
          <w:rFonts w:ascii="Amiri" w:hAnsi="Amiri" w:eastAsia="Amiri" w:cs="Amiri"/>
          <w:color w:val="111111"/>
          <w:sz w:val="28"/>
          <w:sz w:val="28"/>
          <w:szCs w:val="28"/>
          <w:rtl w:val="true"/>
          <w:lang w:bidi="ar-SA"/>
        </w:rPr>
        <w:t xml:space="preserve">، فلا وجه لعدّه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أو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اللّون غير موجود إلّا في النهار،</w:t>
      </w:r>
    </w:p>
    <w:p>
      <w:pPr>
        <w:pStyle w:val="BookText"/>
        <w:rPr/>
      </w:pPr>
      <w:r>
        <w:rPr>
          <w:rFonts w:ascii="Amiri" w:hAnsi="Amiri" w:eastAsia="Amiri" w:cs="Amiri"/>
          <w:color w:val="111111"/>
          <w:sz w:val="28"/>
          <w:sz w:val="28"/>
          <w:szCs w:val="28"/>
          <w:rtl w:val="true"/>
          <w:lang w:bidi="ar-SA"/>
        </w:rPr>
        <w:t xml:space="preserve">بسبب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 غير سنخ النجس، فلو اصفرّ الماء مثلًا بوقوع الدم فيه 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 اللّيالي، أو في حال وجود الأنوار، دون صورة فقدها؛ لأنّ الألوان من الأنوار، و لعلّ إهمال الأخبار بالنسبة إليه كثيراً؛ للإشارة إلى هذه النكتة، قابل للدفع بحسب الفهم العرفيّ و المسامحة العقلائيّة،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بسبب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للإطلاق المعتضد بالاعتبار؛ بناءً 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بنجاسة الماء المتغيّر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الانصراف لأجل قلّة الوجود و الاتفاق، أو لأجل انس الذهن بالمسانخة بين العلّة و المعلول، لا يرجع إلى محصّل</w:t>
      </w:r>
      <w:r>
        <w:rPr>
          <w:rFonts w:eastAsia="Amiri" w:cs="Amiri" w:ascii="Amiri" w:hAnsi="Amiri"/>
          <w:color w:val="111111"/>
          <w:sz w:val="28"/>
          <w:szCs w:val="28"/>
          <w:rtl w:val="true"/>
          <w:lang w:bidi="ar-SA"/>
        </w:rPr>
        <w:t>.</w:t>
      </w:r>
      <w:bookmarkStart w:id="42" w:name="pg12366_122889"/>
    </w:p>
    <w:p>
      <w:pPr>
        <w:pStyle w:val="Heading4"/>
        <w:numPr>
          <w:ilvl w:val="3"/>
          <w:numId w:val="1"/>
        </w:numPr>
        <w:rPr/>
      </w:pPr>
      <w:bookmarkStart w:id="43" w:name="__RefHeading___Toc8895945_417432637"/>
      <w:bookmarkStart w:id="44" w:name="_Toc16"/>
      <w:bookmarkEnd w:id="42"/>
      <w:bookmarkEnd w:id="43"/>
      <w:r>
        <w:rPr>
          <w:rtl w:val="true"/>
        </w:rPr>
        <w:t>[</w:t>
      </w:r>
      <w:r>
        <w:rPr>
          <w:rtl w:val="true"/>
        </w:rPr>
        <w:t xml:space="preserve">مسألة </w:t>
      </w:r>
      <w:r>
        <w:rPr/>
        <w:t>7</w:t>
      </w:r>
      <w:r>
        <w:rPr>
          <w:rtl w:val="true"/>
        </w:rPr>
        <w:t xml:space="preserve">: </w:t>
      </w:r>
      <w:r>
        <w:rPr>
          <w:rtl w:val="true"/>
        </w:rPr>
        <w:t>لو وقع في الماء المعتصم، متنجّس حامل لوصف النجس</w:t>
      </w:r>
      <w:r>
        <w:rPr>
          <w:rtl w:val="true"/>
        </w:rPr>
        <w:t>]</w:t>
      </w:r>
      <w:bookmarkEnd w:id="4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في الماء المعتصم، متنجّس حامل لوصف النجس بوقوعه فيه، فغيّره بوصف النجس، لم يتنجّس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وقعت ميتة في ماء، فغيّرت ريحه، ثمّ أُخرجت منه، و صبّ ذلك الماء في كرّ، فغيّر 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حمل المتنجّس أجزاء النجس، فتغيّر المعتصم بها، 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يتنجّس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لجماعة، و منشأ الاختلاف اختلاف فهمهم من النبويّ أوّلًا، و اختلاف نظرهم في مناسبات الحكم و الموضوع ثانياً؛ ضرورة أنّ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نجس العين، فالتنجّس لا يورث نجاسة الماء بالتغيّر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أعمّ كما هو قضيّة النكرة في سياق النفي هنا و في أخبار الكرّ</w:t>
      </w:r>
      <w:r>
        <w:rPr>
          <w:rStyle w:val="FootnoteAnchor"/>
          <w:rtl w:val="true"/>
        </w:rPr>
        <w:footnoteReference w:id="81"/>
      </w:r>
      <w:r>
        <w:rPr>
          <w:rFonts w:ascii="Amiri" w:hAnsi="Amiri" w:eastAsia="Amiri" w:cs="Amiri"/>
          <w:color w:val="111111"/>
          <w:sz w:val="28"/>
          <w:sz w:val="28"/>
          <w:szCs w:val="28"/>
          <w:rtl w:val="true"/>
          <w:lang w:bidi="ar-SA"/>
        </w:rPr>
        <w:t>فلازمه نجاسة الكرّ 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يسهّل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النبويّ، نجاسة الماء المتغيّر بعنوانه، و مقتضى الأخبار أنّ الماء المتغيّر بالنجس، من النجاسات الذاتيّة، كنجاسة بدن الميّت، و العصير على القول به، و ليس 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الاصطلاحيّ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المراد أخصّ، تصير النتيجة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الماء المذكور، فلو وقع في الماء المعتصم مقدارٌ من الماء المتغيّر، فهو كوقوع البول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ما احتملناه في النبويّ، يسقط البحث كما مرّ، هذا فيما إذا كان المتنجّس ماءً متغيّراً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وقع في الماء المعتصم، جامدٌ متنجّس فغيّر الماء، فالنزاع المذكور يأتي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الخصوصيّة ملغاة من موارد الأخبار الخاصّة، فلو كان حجر كبير فيه رائحة الميتة و غيرها، فوقع في الماء، فغيّره إلى ريح الميتة، ينجس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التفصيل بين حمل الأجزاء و غيره؛ فإنّ العرف غير مساعد، و العقل لا يفرّق بين الفروض؛ في كون التغيّر مستنداً إلى الأجزاء، فهنا اتفق مقتضى العقل و العرف، و إن خالفهما جماعة آخرون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يعتبر أن يكون الحامل متنجّساً، كما يظهر من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حمل المتنجّس أجزاء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فإنّ الميزان حمل الأجزاء، سواء كان الحامل متنجّساً، أو غير متنجّس</w:t>
      </w:r>
      <w:r>
        <w:rPr>
          <w:rFonts w:eastAsia="Amiri" w:cs="Amiri" w:ascii="Amiri" w:hAnsi="Amiri"/>
          <w:color w:val="111111"/>
          <w:sz w:val="28"/>
          <w:szCs w:val="28"/>
          <w:rtl w:val="true"/>
          <w:lang w:bidi="ar-SA"/>
        </w:rPr>
        <w:t>.</w:t>
      </w:r>
      <w:bookmarkStart w:id="45" w:name="pg12366_122891"/>
    </w:p>
    <w:p>
      <w:pPr>
        <w:pStyle w:val="Heading4"/>
        <w:numPr>
          <w:ilvl w:val="3"/>
          <w:numId w:val="1"/>
        </w:numPr>
        <w:rPr/>
      </w:pPr>
      <w:bookmarkStart w:id="46" w:name="__RefHeading___Toc8895947_417432637"/>
      <w:bookmarkStart w:id="47" w:name="_Toc17"/>
      <w:bookmarkEnd w:id="45"/>
      <w:bookmarkEnd w:id="46"/>
      <w:r>
        <w:rPr>
          <w:rtl w:val="true"/>
        </w:rPr>
        <w:t>[</w:t>
      </w:r>
      <w:r>
        <w:rPr>
          <w:rtl w:val="true"/>
        </w:rPr>
        <w:t xml:space="preserve">مسألة </w:t>
      </w:r>
      <w:r>
        <w:rPr/>
        <w:t>8</w:t>
      </w:r>
      <w:r>
        <w:rPr>
          <w:rtl w:val="true"/>
        </w:rPr>
        <w:t xml:space="preserve">: </w:t>
      </w:r>
      <w:r>
        <w:rPr>
          <w:rtl w:val="true"/>
        </w:rPr>
        <w:t>الماء الجاري</w:t>
      </w:r>
      <w:r>
        <w:rPr>
          <w:rtl w:val="true"/>
        </w:rPr>
        <w:t>]</w:t>
      </w:r>
      <w:bookmarkEnd w:id="4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الماء الجاري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النابع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المشهور المدّعى عليه الإجماعات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الأصحاب على أنّ الجاري لا عن نبع، من أقسام الراكد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اعتبار النبع</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ظاهر المنسوب إلى المصنّف 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تبدّل الأبخرة إلى الماء 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و لا حاجة إلى وجود المخازن الأرضيّة في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النبع معتبراً لكفى كونه من المخازن الأرضيّة، و ليكفِ كونه مستنداً إلى تسبيب البشر، كما هو جائز في هذه الأزمنة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من اللّغة و العرف، على دخالة النبع في صدقه،</w:t>
      </w:r>
    </w:p>
    <w:p>
      <w:pPr>
        <w:pStyle w:val="BookText"/>
        <w:rPr/>
      </w:pPr>
      <w:r>
        <w:rPr>
          <w:rFonts w:ascii="Amiri" w:hAnsi="Amiri" w:eastAsia="Amiri" w:cs="Amiri"/>
          <w:color w:val="111111"/>
          <w:sz w:val="28"/>
          <w:sz w:val="28"/>
          <w:szCs w:val="28"/>
          <w:rtl w:val="true"/>
          <w:lang w:bidi="ar-SA"/>
        </w:rPr>
        <w:t xml:space="preserve">السائل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كشف ذلك بالإجماع</w:t>
      </w:r>
      <w:r>
        <w:rPr>
          <w:rStyle w:val="FootnoteAnchor"/>
          <w:rtl w:val="true"/>
        </w:rPr>
        <w:footnoteReference w:id="86"/>
      </w:r>
      <w:r>
        <w:rPr>
          <w:rFonts w:ascii="Amiri" w:hAnsi="Amiri" w:eastAsia="Amiri" w:cs="Amiri"/>
          <w:color w:val="111111"/>
          <w:sz w:val="28"/>
          <w:sz w:val="28"/>
          <w:szCs w:val="28"/>
          <w:rtl w:val="true"/>
          <w:lang w:bidi="ar-SA"/>
        </w:rPr>
        <w:t>،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دعوى انصرافه إلى ذلك في محيط الأخبار و لا سيّما في تلك الأمصار و الأعصار غير بعيدة، إلّا أنّها غير مستقرّة؛ لكفاية المخازن و المتصيّر تحت الأرض في صدقه، إذا اتفق سريانه منها إلى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وجود مادّة تكون مبدءً لوجوده، و لو كانت هي الثلوج و البَرَد، و إلّا يلزم عدم كون الفرات و دجلة و الكارون من المياه الجارية، و تفصيله في كتابنا الكبير</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المعروف بينهم</w:t>
      </w:r>
      <w:r>
        <w:rPr>
          <w:rStyle w:val="FootnoteAnchor"/>
          <w:rtl w:val="true"/>
        </w:rPr>
        <w:footnoteReference w:id="88"/>
      </w:r>
      <w:r>
        <w:rPr>
          <w:rFonts w:ascii="Amiri" w:hAnsi="Amiri" w:eastAsia="Amiri" w:cs="Amiri"/>
          <w:color w:val="111111"/>
          <w:sz w:val="28"/>
          <w:sz w:val="28"/>
          <w:szCs w:val="28"/>
          <w:rtl w:val="true"/>
          <w:lang w:bidi="ar-SA"/>
        </w:rPr>
        <w:t xml:space="preserve">، خلافاً لما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السيلان معتبر، لا بمعنى الجريان على وجه الأرض، فلو كانت فوّارة نابعة من الأرض إلى السماء، و لكنّها لا تجري عليها، بل ترجع إلى نفس المخزن فهي من الجاري، كما أنّه لا يعتبر السريان و السيلان دائماً في صدقه، بل تكفي الشأنيّة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ينجس بملاقاة النجس، كثيراً كان أو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الدوام غير بعيد اعتباره في الجملة، فلو حدث النابع السائل ساعة و انقطع، فلا يكون من ذاك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خلاف يعتدّ به، و عليه حكاية الإجماعات المنقولة، و الشهرات المحقّقة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خالفهم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و العلّامة في أكثر كتبه</w:t>
      </w:r>
      <w:r>
        <w:rPr>
          <w:rStyle w:val="FootnoteAnchor"/>
          <w:rtl w:val="true"/>
        </w:rPr>
        <w:footnoteReference w:id="92"/>
      </w:r>
      <w:r>
        <w:rPr>
          <w:rFonts w:ascii="Amiri" w:hAnsi="Amiri" w:eastAsia="Amiri" w:cs="Amiri"/>
          <w:color w:val="111111"/>
          <w:sz w:val="28"/>
          <w:sz w:val="28"/>
          <w:szCs w:val="28"/>
          <w:rtl w:val="true"/>
          <w:lang w:bidi="ar-SA"/>
        </w:rPr>
        <w:t xml:space="preserve">إلّا فيما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و ثاني الشهيدين في كتبه الثلاثة</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تماميّة الإجماع التعبّدي في المسألة</w:t>
      </w:r>
      <w:r>
        <w:rPr>
          <w:rStyle w:val="FootnoteAnchor"/>
          <w:rtl w:val="true"/>
        </w:rPr>
        <w:footnoteReference w:id="95"/>
      </w:r>
      <w:r>
        <w:rPr>
          <w:rFonts w:ascii="Amiri" w:hAnsi="Amiri" w:eastAsia="Amiri" w:cs="Amiri"/>
          <w:color w:val="111111"/>
          <w:sz w:val="28"/>
          <w:sz w:val="28"/>
          <w:szCs w:val="28"/>
          <w:rtl w:val="true"/>
          <w:lang w:bidi="ar-SA"/>
        </w:rPr>
        <w:t>، غير تامّ، لأنّ المستند أخبارها، مع إهماله في كلام جمع من القدماء</w:t>
      </w:r>
      <w:r>
        <w:rPr>
          <w:rStyle w:val="FootnoteAnchor"/>
          <w:rtl w:val="true"/>
        </w:rPr>
        <w:footnoteReference w:id="96"/>
      </w:r>
      <w:r>
        <w:rPr>
          <w:rFonts w:ascii="Amiri" w:hAnsi="Amiri" w:eastAsia="Amiri" w:cs="Amiri"/>
          <w:color w:val="111111"/>
          <w:sz w:val="28"/>
          <w:sz w:val="28"/>
          <w:szCs w:val="28"/>
          <w:rtl w:val="true"/>
          <w:lang w:bidi="ar-SA"/>
        </w:rPr>
        <w:t>، و لو صرّح به</w:t>
      </w:r>
    </w:p>
    <w:p>
      <w:pPr>
        <w:pStyle w:val="BookText"/>
        <w:rPr/>
      </w:pPr>
      <w:r>
        <w:rPr>
          <w:rFonts w:ascii="Amiri" w:hAnsi="Amiri" w:eastAsia="Amiri" w:cs="Amiri"/>
          <w:color w:val="111111"/>
          <w:sz w:val="28"/>
          <w:sz w:val="28"/>
          <w:szCs w:val="28"/>
          <w:rtl w:val="true"/>
          <w:lang w:bidi="ar-SA"/>
        </w:rPr>
        <w:t>ابن البرّاج</w:t>
      </w:r>
      <w:r>
        <w:rPr>
          <w:rStyle w:val="FootnoteAnchor"/>
          <w:rtl w:val="true"/>
        </w:rPr>
        <w:footnoteReference w:id="97"/>
      </w:r>
      <w:r>
        <w:rPr>
          <w:rFonts w:ascii="IRNazanin" w:hAnsi="IRNazanin" w:eastAsia="IRNazanin"/>
          <w:color w:val="111111"/>
          <w:sz w:val="28"/>
          <w:sz w:val="28"/>
          <w:szCs w:val="28"/>
          <w:rtl w:val="true"/>
          <w:lang w:bidi="fa-IR"/>
        </w:rPr>
        <w:t>و بعض أقرانه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التمسّك بإطلاق النبويّ، في غير محلّه؛ لأنّ المفروض فيه ليس هو الماء القليل و لو قطرةً، فإذا كان المفروض فيه الكثرة فهو مجمل من تلك الجهة، بل الظاهر من المستثنى هو الكثير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مضمرة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يمرّ بالميتة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يتوضّأ من الناحية التي ليس فيها الميتة</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التمسّك</w:t>
      </w:r>
      <w:r>
        <w:rPr>
          <w:rStyle w:val="FootnoteAnchor"/>
          <w:rtl w:val="true"/>
        </w:rPr>
        <w:footnoteReference w:id="100"/>
      </w:r>
      <w:r>
        <w:rPr>
          <w:rFonts w:ascii="Amiri" w:hAnsi="Amiri" w:eastAsia="Amiri" w:cs="Amiri"/>
          <w:color w:val="111111"/>
          <w:sz w:val="28"/>
          <w:sz w:val="28"/>
          <w:szCs w:val="28"/>
          <w:rtl w:val="true"/>
          <w:lang w:bidi="ar-SA"/>
        </w:rPr>
        <w:t xml:space="preserve">بما في الباب الخامس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فهو في غير محلّه؛ لأنّها أخبار ناظرة إلى نفي البأس عن البول فيه تكليفاً، و فيه معتبر ابن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الماء الجاري يبال فيه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ظاهر في السؤال عن الماء الكذائيّ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الإطلاق هنا و في سائر الأخبار المستدلّ بها، غير واضح؛ لانصرافها إلى المياه الجارية البالغة كرّاً، و قليلٌ وجود القليل منها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عدم تماميّة الاستدلال بما ورد في ماء الحمّام</w:t>
      </w:r>
      <w:r>
        <w:rPr>
          <w:rStyle w:val="FootnoteAnchor"/>
          <w:rtl w:val="true"/>
        </w:rPr>
        <w:footnoteReference w:id="103"/>
      </w:r>
      <w:r>
        <w:rPr>
          <w:rFonts w:ascii="Amiri" w:hAnsi="Amiri" w:eastAsia="Amiri" w:cs="Amiri"/>
          <w:color w:val="111111"/>
          <w:sz w:val="28"/>
          <w:sz w:val="28"/>
          <w:szCs w:val="28"/>
          <w:rtl w:val="true"/>
          <w:lang w:bidi="ar-SA"/>
        </w:rPr>
        <w:t>بتوهّم أنّ الكرّية لو كانت شرطاً في الجاري، لما كان وجه للتنزيل</w:t>
      </w:r>
      <w:r>
        <w:rPr>
          <w:rStyle w:val="FootnoteAnchor"/>
          <w:rtl w:val="true"/>
        </w:rPr>
        <w:footnoteReference w:id="104"/>
      </w:r>
      <w:r>
        <w:rPr>
          <w:rFonts w:ascii="Amiri" w:hAnsi="Amiri" w:eastAsia="Amiri" w:cs="Amiri"/>
          <w:color w:val="111111"/>
          <w:sz w:val="28"/>
          <w:sz w:val="28"/>
          <w:szCs w:val="28"/>
          <w:rtl w:val="true"/>
          <w:lang w:bidi="ar-SA"/>
        </w:rPr>
        <w:t xml:space="preserve">و أنّ ماء الحمّام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الماء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معتبر ابن مسلم</w:t>
      </w:r>
      <w:r>
        <w:rPr>
          <w:rStyle w:val="FootnoteAnchor"/>
          <w:rtl w:val="true"/>
        </w:rPr>
        <w:footnoteReference w:id="105"/>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ماء الحمّام كماء النهر؛ يطهّر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ابن أبي يعفور</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خبير بجواز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الحمّام بمنزلة الكرّ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تبعد استفادة كفاية الجريان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بكر بن حبيب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له مادّة</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موثّقة حنان بن سَدير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هو 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المتفاهم منه، أنّ المناط كون الماء ذا مادّة، و لا يعتبر شي‌ء حتّى الجريانُ؛ لأنّه باعتبار كونه ذا مادّة، كما هو المستفاد من معتبر ابن بَزيع</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من الإشكال في الإطلاق</w:t>
      </w:r>
      <w:r>
        <w:rPr>
          <w:rStyle w:val="FootnoteAnchor"/>
          <w:rtl w:val="true"/>
        </w:rPr>
        <w:footnoteReference w:id="110"/>
      </w:r>
      <w:r>
        <w:rPr>
          <w:rFonts w:ascii="Amiri" w:hAnsi="Amiri" w:eastAsia="Amiri" w:cs="Amiri"/>
          <w:color w:val="111111"/>
          <w:sz w:val="28"/>
          <w:sz w:val="28"/>
          <w:szCs w:val="28"/>
          <w:rtl w:val="true"/>
          <w:lang w:bidi="ar-SA"/>
        </w:rPr>
        <w:t>لعدم الحاجة إلى ذكر القيد،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حديث لغويّة التعليل بالمادّة، لو كان الشرط كرّية الماء</w:t>
      </w:r>
      <w:r>
        <w:rPr>
          <w:rStyle w:val="FootnoteAnchor"/>
          <w:rtl w:val="true"/>
        </w:rPr>
        <w:footnoteReference w:id="111"/>
      </w:r>
      <w:r>
        <w:rPr>
          <w:rFonts w:ascii="Amiri" w:hAnsi="Amiri" w:eastAsia="Amiri" w:cs="Amiri"/>
          <w:color w:val="111111"/>
          <w:sz w:val="28"/>
          <w:sz w:val="28"/>
          <w:szCs w:val="28"/>
          <w:rtl w:val="true"/>
          <w:lang w:bidi="ar-SA"/>
        </w:rPr>
        <w:t>، و هذا متين جدّاً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كون النسبة بين أدلّة اعتبار الكرّية و هذه الأخبار، عموماً من وجه، لا يضرّ؛ لما سيمرّ عليك من عدم ثبوت المفهوم لأخبار الكرّ، و إلّا فالترجيح بأقوائيّة ظهور التعليل</w:t>
      </w:r>
      <w:r>
        <w:rPr>
          <w:rStyle w:val="FootnoteAnchor"/>
          <w:rtl w:val="true"/>
        </w:rPr>
        <w:footnoteReference w:id="112"/>
      </w:r>
      <w:r>
        <w:rPr>
          <w:rFonts w:ascii="Amiri" w:hAnsi="Amiri" w:eastAsia="Amiri" w:cs="Amiri"/>
          <w:color w:val="111111"/>
          <w:sz w:val="28"/>
          <w:sz w:val="28"/>
          <w:szCs w:val="28"/>
          <w:rtl w:val="true"/>
          <w:lang w:bidi="ar-SA"/>
        </w:rPr>
        <w:t>، في غير محلّه؛ لما تحرّر من أنّ</w:t>
      </w:r>
    </w:p>
    <w:p>
      <w:pPr>
        <w:pStyle w:val="BookText"/>
        <w:rPr/>
      </w:pPr>
      <w:r>
        <w:rPr>
          <w:rFonts w:ascii="Amiri" w:hAnsi="Amiri" w:eastAsia="Amiri" w:cs="Amiri"/>
          <w:color w:val="111111"/>
          <w:sz w:val="28"/>
          <w:sz w:val="28"/>
          <w:szCs w:val="28"/>
          <w:rtl w:val="true"/>
          <w:lang w:bidi="ar-SA"/>
        </w:rPr>
        <w:t xml:space="preserve">و يلحق به النابع الواقف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كبعض العيون، و كذلك البئر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الأظهريّة، ممّا لا أساس لها في باب الترجيحات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ترجيح أخبار الجاري؛ للزوم اللّغوية لو قدّمت روايات الكرّ، و لا عكس</w:t>
      </w:r>
      <w:r>
        <w:rPr>
          <w:rStyle w:val="FootnoteAnchor"/>
          <w:rtl w:val="true"/>
        </w:rPr>
        <w:footnoteReference w:id="113"/>
      </w:r>
      <w:r>
        <w:rPr>
          <w:rFonts w:ascii="Amiri" w:hAnsi="Amiri" w:eastAsia="Amiri" w:cs="Amiri"/>
          <w:color w:val="111111"/>
          <w:sz w:val="28"/>
          <w:sz w:val="28"/>
          <w:szCs w:val="28"/>
          <w:rtl w:val="true"/>
          <w:lang w:bidi="ar-SA"/>
        </w:rPr>
        <w:t>، غير وجيه عندنا؛ ضرورة أنّ الجمع بين الأخبار ليس واجباً، حتّى يلزم الجمع بالوجه المزبور، فإذا كانت متعارضةً فرضاً، فالترجيح مع الأخبار الناطقة بعدم اعتبار الشرطيّة،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وجه تقييد الإطلاقات المستدلّ بها لنجاسة كلّ ماء إلّا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يعارض بينها و بين الإطلاق النافي لنجاسة كلّ ماء إلّا بالتغيّر، فيرجع إلى الطائفة الثالثة، الموجبة لانقلاب نسبة التباين بين الأُوليين، إلى الإطلاق و التقييد، و تصير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كون الماء ذا مادّة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مدّ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النابع الواقف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الجاري موضوعاً، و تبيّن أنّ المناط كونه ذا مادّة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مدّ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البئر على الأقوى</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وفاقاً لما حكى أبو يعلى الجعفريّ عن ابن الغضائريّ، و للعمّاني،</w:t>
      </w:r>
    </w:p>
    <w:p>
      <w:pPr>
        <w:pStyle w:val="BookText"/>
        <w:rPr/>
      </w:pPr>
      <w:r>
        <w:rPr>
          <w:rFonts w:ascii="IRNazanin" w:hAnsi="IRNazanin" w:eastAsia="IRNazanin"/>
          <w:color w:val="111111"/>
          <w:sz w:val="28"/>
          <w:sz w:val="28"/>
          <w:szCs w:val="28"/>
          <w:rtl w:val="true"/>
          <w:lang w:bidi="fa-IR"/>
        </w:rPr>
        <w:t>و لمحمّد بن الجهم</w:t>
      </w:r>
      <w:r>
        <w:rPr>
          <w:rStyle w:val="FootnoteAnchor"/>
          <w:rtl w:val="true"/>
        </w:rPr>
        <w:footnoteReference w:id="114"/>
      </w:r>
      <w:r>
        <w:rPr>
          <w:rFonts w:ascii="Amiri" w:hAnsi="Amiri" w:eastAsia="Amiri" w:cs="Amiri"/>
          <w:color w:val="111111"/>
          <w:sz w:val="28"/>
          <w:sz w:val="28"/>
          <w:szCs w:val="28"/>
          <w:rtl w:val="true"/>
          <w:lang w:bidi="ar-SA"/>
        </w:rPr>
        <w:t xml:space="preserve">، بل هو مذهب الشيخ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و ربّما يستظهر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عن درس عميد الدين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المراد</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القول بالطهارة، إبداع شيخ العلّامة ابن الجهم، و تبعه العلّامة في نوع كتبه</w:t>
      </w:r>
      <w:r>
        <w:rPr>
          <w:rStyle w:val="FootnoteAnchor"/>
          <w:rtl w:val="true"/>
        </w:rPr>
        <w:footnoteReference w:id="119"/>
      </w:r>
      <w:r>
        <w:rPr>
          <w:rFonts w:ascii="Amiri" w:hAnsi="Amiri" w:eastAsia="Amiri" w:cs="Amiri"/>
          <w:color w:val="111111"/>
          <w:sz w:val="28"/>
          <w:sz w:val="28"/>
          <w:szCs w:val="28"/>
          <w:rtl w:val="true"/>
          <w:lang w:bidi="ar-SA"/>
        </w:rPr>
        <w:t>،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يظهر من منفردات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في غير محلّه أيضاً، فقد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من دين الإماميّة، و عليه فتوى الفقهاء؛ من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يومنا هذا</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القول بالنجاسة عن جماعة من الصحابة</w:t>
      </w:r>
    </w:p>
    <w:p>
      <w:pPr>
        <w:pStyle w:val="BookText"/>
        <w:rPr/>
      </w:pPr>
      <w:r>
        <w:rPr>
          <w:rFonts w:ascii="Amiri" w:hAnsi="Amiri" w:eastAsia="Amiri" w:cs="Amiri"/>
          <w:color w:val="111111"/>
          <w:sz w:val="28"/>
          <w:sz w:val="28"/>
          <w:szCs w:val="28"/>
          <w:rtl w:val="true"/>
          <w:lang w:bidi="ar-SA"/>
        </w:rPr>
        <w:t>و التابعين</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أبي حنيفة إلى نجاسته بلغ ما بلغ</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النجاسة إلى الجمهور</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الإجماعات المدّعاة على الطهارة، و الشهرات المحكيّة، ليست تعبّدية، و لا تامّة؛ لاختلاف الأخبار، و اضطراب الآراء، فالمعتمد عليه هو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العامّة تقول بالنجاسة، فأخبار النجاسة قابلة للحمل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الإطلاقات و الأُصول، هي طهارة ماء البئر بعد كونه ماء ذا مادّة، فالقول بالنجاسة يحتاج إلى التأييد بالأخبار،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تشتّتها متناً و سنداً، و قابليّة بعضها دلالة، و تماميّته سنداً لا تقاوم تلك المآثير الناهضة على طهارته بالخصوص، و على تقدير المعارضة تكون أخبار الطهارة مخالفة للعامّة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خلاف الشهرة، و هي و إن لم تكن بالغة إلى</w:t>
      </w:r>
    </w:p>
    <w:p>
      <w:pPr>
        <w:pStyle w:val="BookText"/>
        <w:rPr/>
      </w:pPr>
      <w:r>
        <w:rPr>
          <w:rFonts w:ascii="Amiri" w:hAnsi="Amiri" w:eastAsia="Amiri" w:cs="Amiri"/>
          <w:color w:val="111111"/>
          <w:sz w:val="28"/>
          <w:sz w:val="28"/>
          <w:szCs w:val="28"/>
          <w:rtl w:val="true"/>
          <w:lang w:bidi="ar-SA"/>
        </w:rPr>
        <w:t>فلا ينجس المياه المزبورة إلّا بالتغيّر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إحداث الوهن فيها كما هو واضح، و لكنّها قابلة لترجيحها على معارضها، فيقع التعارض بين المرجّحات، و يكون المرجع تلك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الترجيح مع الشهرة عند المعارضة، في غير محلّه، مع أنّ أساس المرجّحات بلا أصل، كما تحرّر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من صغريات انقلاب النسبة، و تصير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ماء البئر، فهو غير تامّ؛ لأنّه ليس من الجمع العرفيّ،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ما عرفت، و هنا إشكال آخر زائداً على إشكال نجاسة مطلق المياه بالتغيّر،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الناطقة فرضاً بنجاسة الماء المتغيّر، موضوعها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فتعارضها الأخبار الناطقة بعدم تنجّس الماء الجاري،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 بعضه بعضاً</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و هو مقتضى الإطلاق الناطق بعدم البأس بالماء الجاري الذي يبال فيه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فالنسبة بين الطائفتين عموم من وجه، و تصير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w:t>
      </w:r>
    </w:p>
    <w:p>
      <w:pPr>
        <w:pStyle w:val="BookText"/>
        <w:rPr/>
      </w:pPr>
      <w:r>
        <w:rPr>
          <w:rFonts w:ascii="Amiri" w:hAnsi="Amiri" w:eastAsia="Amiri" w:cs="Amiri"/>
          <w:color w:val="111111"/>
          <w:sz w:val="28"/>
          <w:sz w:val="28"/>
          <w:szCs w:val="28"/>
          <w:rtl w:val="true"/>
          <w:lang w:bidi="ar-SA"/>
        </w:rPr>
        <w:t>نجاسة الجاري بالتغيّر، بخلاف بعض المياه الأُخر الوارد في خصوصه تنجّسه بالتغيّر</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الأدلّة الناطقة بنجاسة المتغيّر من المياه، ناظرة إلى المياه الخاصّة، كالنبويّ</w:t>
      </w:r>
      <w:r>
        <w:rPr>
          <w:rStyle w:val="FootnoteAnchor"/>
          <w:rtl w:val="true"/>
        </w:rPr>
        <w:footnoteReference w:id="129"/>
      </w:r>
      <w:r>
        <w:rPr>
          <w:rFonts w:ascii="IRNazanin" w:hAnsi="IRNazanin" w:eastAsia="IRNazanin"/>
          <w:color w:val="111111"/>
          <w:sz w:val="28"/>
          <w:sz w:val="28"/>
          <w:szCs w:val="28"/>
          <w:rtl w:val="true"/>
          <w:lang w:bidi="fa-IR"/>
        </w:rPr>
        <w:t>و نحوه</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عدم تنجّس الجاري و الواقف، ممنوع</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البئر نقول بنجاسته بالتغيّر؛ لمعتبر ابن بَزيع</w:t>
      </w:r>
      <w:r>
        <w:rPr>
          <w:rStyle w:val="FootnoteAnchor"/>
          <w:rtl w:val="true"/>
        </w:rPr>
        <w:footnoteReference w:id="131"/>
      </w:r>
      <w:r>
        <w:rPr>
          <w:rFonts w:ascii="Amiri" w:hAnsi="Amiri" w:eastAsia="Amiri" w:cs="Amiri"/>
          <w:color w:val="111111"/>
          <w:sz w:val="28"/>
          <w:sz w:val="28"/>
          <w:szCs w:val="28"/>
          <w:rtl w:val="true"/>
          <w:lang w:bidi="ar-SA"/>
        </w:rPr>
        <w:t>، إلّا على الإشكال العامّ الذي مرّ تحريره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bookmarkStart w:id="48" w:name="pg12366_122902"/>
    </w:p>
    <w:p>
      <w:pPr>
        <w:pStyle w:val="Heading4"/>
        <w:numPr>
          <w:ilvl w:val="3"/>
          <w:numId w:val="1"/>
        </w:numPr>
        <w:rPr/>
      </w:pPr>
      <w:bookmarkStart w:id="49" w:name="__RefHeading___Toc8895949_417432637"/>
      <w:bookmarkStart w:id="50" w:name="_Toc18"/>
      <w:bookmarkEnd w:id="48"/>
      <w:bookmarkEnd w:id="49"/>
      <w:r>
        <w:rPr>
          <w:rtl w:val="true"/>
        </w:rPr>
        <w:t>[</w:t>
      </w:r>
      <w:r>
        <w:rPr>
          <w:rtl w:val="true"/>
        </w:rPr>
        <w:t xml:space="preserve">مسألة </w:t>
      </w:r>
      <w:r>
        <w:rPr/>
        <w:t>9</w:t>
      </w:r>
      <w:r>
        <w:rPr>
          <w:rtl w:val="true"/>
        </w:rPr>
        <w:t xml:space="preserve">: </w:t>
      </w:r>
      <w:r>
        <w:rPr>
          <w:rtl w:val="true"/>
        </w:rPr>
        <w:t>الراكد المتّصل بالجاري حكمه حكم الجاري</w:t>
      </w:r>
      <w:r>
        <w:rPr>
          <w:rtl w:val="true"/>
        </w:rPr>
        <w:t>]</w:t>
      </w:r>
      <w:bookmarkEnd w:id="5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الراكد المتّصل بالجاري حكمه حكم الجاري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فالغدير المتّصل بالنهر بساقية و نحوها، كالنهر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أطراف النهر، و إن كان ماؤها واقفاً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منه و من جمع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الجاري موضوعاً</w:t>
      </w:r>
      <w:r>
        <w:rPr>
          <w:rStyle w:val="FootnoteAnchor"/>
          <w:rtl w:val="true"/>
        </w:rPr>
        <w:footnoteReference w:id="133"/>
      </w:r>
      <w:r>
        <w:rPr>
          <w:rFonts w:ascii="Amiri" w:hAnsi="Amiri" w:eastAsia="Amiri" w:cs="Amiri"/>
          <w:color w:val="111111"/>
          <w:sz w:val="28"/>
          <w:sz w:val="28"/>
          <w:szCs w:val="28"/>
          <w:rtl w:val="true"/>
          <w:lang w:bidi="ar-SA"/>
        </w:rPr>
        <w:t>، فعليه يُشكل؛ لأنّه ليس من الكرّ، و لا من ذي مادّة، و لا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ذو مادّة</w:t>
      </w:r>
      <w:r>
        <w:rPr>
          <w:rStyle w:val="FootnoteAnchor"/>
          <w:rtl w:val="true"/>
        </w:rPr>
        <w:footnoteReference w:id="134"/>
      </w:r>
      <w:r>
        <w:rPr>
          <w:rFonts w:ascii="Amiri" w:hAnsi="Amiri" w:eastAsia="Amiri" w:cs="Amiri"/>
          <w:color w:val="111111"/>
          <w:sz w:val="28"/>
          <w:sz w:val="28"/>
          <w:szCs w:val="28"/>
          <w:rtl w:val="true"/>
          <w:lang w:bidi="ar-SA"/>
        </w:rPr>
        <w:t>، فاسد؛ لأنّ المراد منها ما لا ينطبق على مثله، أو يكون مورد انصراف دليلها؛ ضرورة أنّه متّحد مع المادّة سطحاً و تشخّصاً، فإذا كان قليلًا ينفعل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جارٍ عرفاً؛ لاتحاده مع ما في النهر، و لا يعتبر في جريان الماء الجاري، كونُ جميع أجزائه جارياً، فالأقرب أنّه جارٍ موضوعاً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كان اتصاله بالنهر رقيقاً، فالحكم بعدم تنجّسه مشكل؛ للزوم تعدّد ما في الساقية مع ما في النهر، فتدبّر</w:t>
      </w:r>
      <w:r>
        <w:rPr>
          <w:rFonts w:eastAsia="Amiri" w:cs="Amiri" w:ascii="Amiri" w:hAnsi="Amiri"/>
          <w:color w:val="111111"/>
          <w:sz w:val="28"/>
          <w:szCs w:val="28"/>
          <w:rtl w:val="true"/>
          <w:lang w:bidi="ar-SA"/>
        </w:rPr>
        <w:t>.</w:t>
      </w:r>
      <w:bookmarkStart w:id="51" w:name="pg12366_122903"/>
    </w:p>
    <w:p>
      <w:pPr>
        <w:pStyle w:val="Heading4"/>
        <w:numPr>
          <w:ilvl w:val="3"/>
          <w:numId w:val="1"/>
        </w:numPr>
        <w:rPr/>
      </w:pPr>
      <w:bookmarkStart w:id="52" w:name="__RefHeading___Toc8895951_417432637"/>
      <w:bookmarkStart w:id="53" w:name="_Toc19"/>
      <w:bookmarkEnd w:id="51"/>
      <w:bookmarkEnd w:id="52"/>
      <w:r>
        <w:rPr>
          <w:rtl w:val="true"/>
        </w:rPr>
        <w:t>[</w:t>
      </w:r>
      <w:r>
        <w:rPr>
          <w:rtl w:val="true"/>
        </w:rPr>
        <w:t xml:space="preserve">مسألة </w:t>
      </w:r>
      <w:r>
        <w:rPr/>
        <w:t>10</w:t>
      </w:r>
      <w:r>
        <w:rPr>
          <w:rtl w:val="true"/>
        </w:rPr>
        <w:t xml:space="preserve">: </w:t>
      </w:r>
      <w:r>
        <w:rPr>
          <w:rtl w:val="true"/>
        </w:rPr>
        <w:t>يطهر الجاري و ما في حكمه</w:t>
      </w:r>
      <w:r>
        <w:rPr>
          <w:rtl w:val="true"/>
        </w:rPr>
        <w:t>]</w:t>
      </w:r>
      <w:bookmarkEnd w:id="5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 الجاري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بالتغيّر إذا زال تغيّره و لو من قِبَل نفسه، و امتزج بالمعتصم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يطهر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بالاتفاق في صورة الامتزاج؛ لأنّ هذا هو القدر المتيقّن، و إنّما الخلاف في الراكد و في الجاري إذا لم يمتزجا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مقتضى ما ورد في خصوصه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ماء الحمّام كماء النهر؛ يطهّر بعضه بعضاً</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فإنّ مورده ما إذا تغيّر ثمّ زال التغيّر، فإنّه يُطهِّر بعضه بعضاً؛ لغلبته عليه، و لامتزاجه به عادةً و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سيظهر ما عندنا في المسألة الآتية</w:t>
      </w:r>
      <w:r>
        <w:rPr>
          <w:rStyle w:val="FootnoteAnchor"/>
          <w:rtl w:val="true"/>
        </w:rPr>
        <w:footnoteReference w:id="136"/>
      </w:r>
      <w:r>
        <w:rPr>
          <w:rFonts w:ascii="Amiri" w:hAnsi="Amiri" w:eastAsia="Amiri" w:cs="Amiri"/>
          <w:color w:val="111111"/>
          <w:sz w:val="28"/>
          <w:sz w:val="28"/>
          <w:szCs w:val="28"/>
          <w:rtl w:val="true"/>
          <w:lang w:bidi="ar-SA"/>
        </w:rPr>
        <w:t>من البحوث المختلفة في طهارة الماء المتنجّس بالتغيّر، و في بحث طهارة القليل المتنجّس إن شاء اللَّه تعالى</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نشير إليه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الظّاهر من أخبار تنجّس الماء المتغيّر، هو أنّ الماء ينجس به،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النجس هو العنوان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 الزوال كافٍ، و لا حاجة إلى الاتصال، كما نسب</w:t>
      </w:r>
      <w:r>
        <w:rPr>
          <w:rStyle w:val="FootnoteAnchor"/>
          <w:rtl w:val="true"/>
        </w:rPr>
        <w:footnoteReference w:id="138"/>
      </w:r>
      <w:r>
        <w:rPr>
          <w:rFonts w:ascii="Amiri" w:hAnsi="Amiri" w:eastAsia="Amiri" w:cs="Amiri"/>
          <w:color w:val="111111"/>
          <w:sz w:val="28"/>
          <w:sz w:val="28"/>
          <w:szCs w:val="28"/>
          <w:rtl w:val="true"/>
          <w:lang w:bidi="ar-SA"/>
        </w:rPr>
        <w:t>إلى جمع من المخالفين،</w:t>
      </w:r>
    </w:p>
    <w:p>
      <w:pPr>
        <w:pStyle w:val="BookText"/>
        <w:rPr/>
      </w:pPr>
      <w:r>
        <w:rPr>
          <w:rFonts w:ascii="Amiri" w:hAnsi="Amiri" w:eastAsia="Amiri" w:cs="Amiri"/>
          <w:color w:val="111111"/>
          <w:sz w:val="28"/>
          <w:sz w:val="28"/>
          <w:szCs w:val="28"/>
          <w:rtl w:val="true"/>
          <w:lang w:bidi="ar-SA"/>
        </w:rPr>
        <w:t>كالشافعيّ، و أحمد، و المؤالفين كابن سعيد</w:t>
      </w:r>
      <w:r>
        <w:rPr>
          <w:rStyle w:val="FootnoteAnchor"/>
          <w:rtl w:val="true"/>
        </w:rPr>
        <w:footnoteReference w:id="139"/>
      </w:r>
      <w:r>
        <w:rPr>
          <w:rFonts w:ascii="Amiri" w:hAnsi="Amiri" w:eastAsia="Amiri" w:cs="Amiri"/>
          <w:color w:val="111111"/>
          <w:sz w:val="28"/>
          <w:sz w:val="28"/>
          <w:szCs w:val="28"/>
          <w:rtl w:val="true"/>
          <w:lang w:bidi="ar-SA"/>
        </w:rPr>
        <w:t>، و الشهيد</w:t>
      </w:r>
      <w:r>
        <w:rPr>
          <w:rStyle w:val="FootnoteAnchor"/>
          <w:rtl w:val="true"/>
        </w:rPr>
        <w:footnoteReference w:id="140"/>
      </w:r>
      <w:r>
        <w:rPr>
          <w:rFonts w:ascii="Amiri" w:hAnsi="Amiri" w:eastAsia="Amiri" w:cs="Amiri"/>
          <w:color w:val="111111"/>
          <w:sz w:val="28"/>
          <w:sz w:val="28"/>
          <w:szCs w:val="28"/>
          <w:rtl w:val="true"/>
          <w:lang w:bidi="ar-SA"/>
        </w:rPr>
        <w:t xml:space="preserve">، بل و العلّامة في بعض كتبه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الماء ينجس بالتغيّر، و لا تزول بزواله، فيصير في الاعتبار من الأعيان النجسة، و لا طريق للعقلاء في تنظيف هذا الماء بالامتزاج، و لا بالاتصال، بل هو كالجامد، إلّا أنّه لا يقبل التطهير إلّا بالاستهلاك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ليس من التطهير المطلوب؛ لأنّ الكرّ من البول يطهر بالاستهلاك أيضاً، فعلى هذا لا بدّ من قيام دليل شرعيّ صريح في هذا المعنى الّذي هو على خلاف مرتكز القوم و العقلاء</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ذلك النبويّ</w:t>
      </w:r>
      <w:r>
        <w:rPr>
          <w:rStyle w:val="FootnoteAnchor"/>
          <w:rtl w:val="true"/>
        </w:rPr>
        <w:footnoteReference w:id="142"/>
      </w:r>
      <w:r>
        <w:rPr>
          <w:rFonts w:ascii="Amiri" w:hAnsi="Amiri" w:eastAsia="Amiri" w:cs="Amiri"/>
          <w:color w:val="111111"/>
          <w:sz w:val="28"/>
          <w:sz w:val="28"/>
          <w:szCs w:val="28"/>
          <w:rtl w:val="true"/>
          <w:lang w:bidi="ar-SA"/>
        </w:rPr>
        <w:t>و العلويّ</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يطهِّر و لا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بالاستهلاك ليس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ابن بَزيع</w:t>
      </w:r>
      <w:r>
        <w:rPr>
          <w:rStyle w:val="FootnoteAnchor"/>
          <w:rtl w:val="true"/>
        </w:rPr>
        <w:footnoteReference w:id="144"/>
      </w:r>
      <w:r>
        <w:rPr>
          <w:rFonts w:ascii="Amiri" w:hAnsi="Amiri" w:eastAsia="Amiri" w:cs="Amiri"/>
          <w:color w:val="111111"/>
          <w:sz w:val="28"/>
          <w:sz w:val="28"/>
          <w:szCs w:val="28"/>
          <w:rtl w:val="true"/>
          <w:lang w:bidi="ar-SA"/>
        </w:rPr>
        <w:t>، فمع ما فيه من الشبهات، لا يدلّ على كفاية الاتصال؛ لأنّ النزح يلازم الامتزاج، و لا على كفاية الامتزاج؛ لأنّ ذهاب الريح و عود الطيب، ربّما لا يكون إلّا بالاستهلاك العرفيّ، فإطلاقه ممنوع جدّاً، و النتيجة حينئذٍ هو الأخذ بالقدر المتيقّن؛ و هو الاستهلاك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لعمري، إنّ المتغيّر يطهر بزوال تغيّره، و الصحيح المزبور ظاهر عندنا في كون التعليل الأخير، راجعاً إلى الصدر؛ عند من يعرف العربيّة، و يأنس بأُسلوب كلام الأديب الأريب، فيكون معتبر ابن بزيع دليلًا على كفاية ذهاب الريح و عود الطيب، و لا يثبت الإجماع التعبّدي كما أُشير إليه</w:t>
      </w:r>
      <w:r>
        <w:rPr>
          <w:rStyle w:val="FootnoteAnchor"/>
          <w:rtl w:val="true"/>
        </w:rPr>
        <w:footnoteReference w:id="145"/>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bookmarkStart w:id="54" w:name="pg12366_122906"/>
    </w:p>
    <w:p>
      <w:pPr>
        <w:pStyle w:val="Heading4"/>
        <w:numPr>
          <w:ilvl w:val="3"/>
          <w:numId w:val="1"/>
        </w:numPr>
        <w:rPr/>
      </w:pPr>
      <w:bookmarkStart w:id="55" w:name="__RefHeading___Toc8895953_417432637"/>
      <w:bookmarkStart w:id="56" w:name="_Toc20"/>
      <w:bookmarkEnd w:id="54"/>
      <w:bookmarkEnd w:id="55"/>
      <w:r>
        <w:rPr>
          <w:rtl w:val="true"/>
        </w:rPr>
        <w:t>[</w:t>
      </w:r>
      <w:r>
        <w:rPr>
          <w:rtl w:val="true"/>
        </w:rPr>
        <w:t xml:space="preserve">مسألة </w:t>
      </w:r>
      <w:r>
        <w:rPr/>
        <w:t>11</w:t>
      </w:r>
      <w:r>
        <w:rPr>
          <w:rtl w:val="true"/>
        </w:rPr>
        <w:t xml:space="preserve">: </w:t>
      </w:r>
      <w:r>
        <w:rPr>
          <w:rtl w:val="true"/>
        </w:rPr>
        <w:t>الراكد بلا مادّة ينجس بملاقاة النجاسة</w:t>
      </w:r>
      <w:r>
        <w:rPr>
          <w:rtl w:val="true"/>
        </w:rPr>
        <w:t>]</w:t>
      </w:r>
      <w:bookmarkEnd w:id="5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الراكد بلا مادّة ينجس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بملاقاة النجاسة؛ إذا كان دون الكرّ، في الماء الراكد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المعروف بحسب التأريخ، انفعال القليل من قديم الأيّام، فعن ابن عبّاس، و ابن عمر، و أبي هريرة، و سعيد بن جبير، و مجاهد، و أحمد، و إسحاق، و أبي عُبيدة، و أبي ثور، اعتبار القلّتين</w:t>
      </w:r>
      <w:r>
        <w:rPr>
          <w:rStyle w:val="FootnoteAnchor"/>
          <w:rtl w:val="true"/>
        </w:rPr>
        <w:footnoteReference w:id="146"/>
      </w:r>
      <w:r>
        <w:rPr>
          <w:rFonts w:ascii="Amiri" w:hAnsi="Amiri" w:eastAsia="Amiri" w:cs="Amiri"/>
          <w:color w:val="111111"/>
          <w:sz w:val="28"/>
          <w:sz w:val="28"/>
          <w:szCs w:val="28"/>
          <w:rtl w:val="true"/>
          <w:lang w:bidi="ar-SA"/>
        </w:rPr>
        <w:t xml:space="preserve">،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الحكم بالطهارة مشهور بينهم</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تبعهم أبو حنيفة،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القليل الّذي يتحرّك أحد جانبيه بملاقاة الجانب الآخر ينجس</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خالفهم مالك، و البصريّ، و النَّخَعي، و داود</w:t>
      </w:r>
      <w:r>
        <w:rPr>
          <w:rStyle w:val="FootnoteAnchor"/>
          <w:rtl w:val="true"/>
        </w:rPr>
        <w:footnoteReference w:id="149"/>
      </w:r>
      <w:r>
        <w:rPr>
          <w:rFonts w:ascii="Amiri" w:hAnsi="Amiri" w:eastAsia="Amiri" w:cs="Amiri"/>
          <w:color w:val="111111"/>
          <w:sz w:val="28"/>
          <w:sz w:val="28"/>
          <w:szCs w:val="28"/>
          <w:rtl w:val="true"/>
          <w:lang w:bidi="ar-SA"/>
        </w:rPr>
        <w:t>، و هم الأقدم على المذاهب الأربعة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فالمسألة كانت معنونة، و المشهور بين الأوّلين هي النجاسة، فما عن الكاشانيّ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الطهارة كانت مفروغاً عنها، و المسألة حديثة</w:t>
      </w:r>
    </w:p>
    <w:p>
      <w:pPr>
        <w:pStyle w:val="BookText"/>
        <w:rPr/>
      </w:pPr>
      <w:r>
        <w:rPr>
          <w:rFonts w:ascii="Amiri" w:hAnsi="Amiri" w:eastAsia="Amiri" w:cs="Amiri"/>
          <w:color w:val="111111"/>
          <w:sz w:val="28"/>
          <w:sz w:val="28"/>
          <w:szCs w:val="28"/>
          <w:rtl w:val="true"/>
          <w:lang w:bidi="ar-SA"/>
        </w:rPr>
        <w:t>متأخّرة</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لا يجوز صدور الأخبار تقيّة لو كانت تدلّ على الطهارة، و لا سيّما مع اضطراب رأي الشافعيّ في المسألة</w:t>
      </w:r>
      <w:r>
        <w:rPr>
          <w:rStyle w:val="FootnoteAnchor"/>
          <w:rtl w:val="true"/>
        </w:rPr>
        <w:footnoteReference w:id="151"/>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منه هي النجاسة</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المُجمع عليه بين أصحابنا و القول المشهور من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النجاسة أيضاً، و عليه الإجماعات البالغة إلى الثلاثين أو الأكثر</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نسب الخلاف إلى العمّاني</w:t>
      </w:r>
      <w:r>
        <w:rPr>
          <w:rStyle w:val="FootnoteAnchor"/>
          <w:rtl w:val="true"/>
        </w:rPr>
        <w:footnoteReference w:id="154"/>
      </w:r>
      <w:r>
        <w:rPr>
          <w:rFonts w:ascii="Amiri" w:hAnsi="Amiri" w:eastAsia="Amiri" w:cs="Amiri"/>
          <w:color w:val="111111"/>
          <w:sz w:val="28"/>
          <w:sz w:val="28"/>
          <w:szCs w:val="28"/>
          <w:rtl w:val="true"/>
          <w:lang w:bidi="ar-SA"/>
        </w:rPr>
        <w:t>، و القاضي أبي حنيفة الشيعيّ</w:t>
      </w:r>
      <w:r>
        <w:rPr>
          <w:rStyle w:val="FootnoteAnchor"/>
          <w:rtl w:val="true"/>
        </w:rPr>
        <w:footnoteReference w:id="155"/>
      </w:r>
      <w:r>
        <w:rPr>
          <w:rFonts w:ascii="Amiri" w:hAnsi="Amiri" w:eastAsia="Amiri" w:cs="Amiri"/>
          <w:color w:val="111111"/>
          <w:sz w:val="28"/>
          <w:sz w:val="28"/>
          <w:szCs w:val="28"/>
          <w:rtl w:val="true"/>
          <w:lang w:bidi="ar-SA"/>
        </w:rPr>
        <w:t>، بل و الكلينيّ</w:t>
      </w:r>
      <w:r>
        <w:rPr>
          <w:rStyle w:val="FootnoteAnchor"/>
          <w:rtl w:val="true"/>
        </w:rPr>
        <w:footnoteReference w:id="156"/>
      </w:r>
      <w:r>
        <w:rPr>
          <w:rFonts w:ascii="IRNazanin" w:hAnsi="IRNazanin" w:eastAsia="IRNazanin"/>
          <w:color w:val="111111"/>
          <w:sz w:val="28"/>
          <w:sz w:val="28"/>
          <w:szCs w:val="28"/>
          <w:rtl w:val="true"/>
          <w:lang w:bidi="fa-IR"/>
        </w:rPr>
        <w:t>، و الصدوق</w:t>
      </w:r>
      <w:r>
        <w:rPr>
          <w:rStyle w:val="FootnoteAnchor"/>
          <w:rtl w:val="true"/>
        </w:rPr>
        <w:footnoteReference w:id="157"/>
      </w:r>
      <w:r>
        <w:rPr>
          <w:rFonts w:ascii="Amiri" w:hAnsi="Amiri" w:eastAsia="Amiri" w:cs="Amiri"/>
          <w:color w:val="111111"/>
          <w:sz w:val="28"/>
          <w:sz w:val="28"/>
          <w:szCs w:val="28"/>
          <w:rtl w:val="true"/>
          <w:lang w:bidi="ar-SA"/>
        </w:rPr>
        <w:t>، و لكنّه غير تامّ، و ظاهر الأخير أنّه من المفصّلين</w:t>
      </w:r>
      <w:r>
        <w:rPr>
          <w:rStyle w:val="FootnoteAnchor"/>
          <w:rtl w:val="true"/>
        </w:rPr>
        <w:footnoteReference w:id="158"/>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الكلينيّ ذهب إلى تنجّس القليل مطلقاً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الشأن عدم تماميّة الإجماع الكاشف عن رأي المعصوم، أو</w:t>
      </w:r>
    </w:p>
    <w:p>
      <w:pPr>
        <w:pStyle w:val="BookText"/>
        <w:rPr/>
      </w:pPr>
      <w:r>
        <w:rPr>
          <w:rFonts w:ascii="Amiri" w:hAnsi="Amiri" w:eastAsia="Amiri" w:cs="Amiri"/>
          <w:color w:val="111111"/>
          <w:sz w:val="28"/>
          <w:sz w:val="28"/>
          <w:szCs w:val="28"/>
          <w:rtl w:val="true"/>
          <w:lang w:bidi="ar-SA"/>
        </w:rPr>
        <w:t xml:space="preserve">النسبة غير الواصلة إلينا، فإنّه بعيد بعد وجود الأخبار الناطقة بالنجاسة، حتّى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المجلسيّ و البهبهانيّ تواترها</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منها بعض الأصحاب مائتي حديث</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تبلغ ثلاثمائة أو أكثر</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تكون الأخبار الأُخر الناطقة بالطهارة فرضاً و إن كانت معارضة معها، إلّا أنّ في المسألة يتقوّى إعراض المشهور عنها؛ لاحتمال كونها صادرة أحياناً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التعارض مستقرّاً، فالأخذ بالمشهور و هي الطائفة الاولى متعيّن؛ فإنّه يتعاضد الشهرة الفتوائيّة بالشهرة الروائيّة، و يكفي للنجاسة مضافاً إلى مساعدة الاعتبار و النظافة الإسلاميّة اغتراس الأذهان الإسلاميّة و المتشرّعة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بانقلاب النسبة بين المقيّدين المتعارضين مع العامّ الفوقانيّ؛ بالجمع العقلائيّ بين العامّ الأوّل و هي طهارة المياه، و عدم تنجّسها و أخبار النجاسة بالتقييد، ثمّ الجمع بينه و بين الطائفة</w:t>
      </w:r>
    </w:p>
    <w:p>
      <w:pPr>
        <w:pStyle w:val="BookText"/>
        <w:rPr/>
      </w:pPr>
      <w:r>
        <w:rPr>
          <w:rFonts w:ascii="Amiri" w:hAnsi="Amiri" w:eastAsia="Amiri" w:cs="Amiri"/>
          <w:color w:val="111111"/>
          <w:sz w:val="28"/>
          <w:sz w:val="28"/>
          <w:szCs w:val="28"/>
          <w:rtl w:val="true"/>
          <w:lang w:bidi="ar-SA"/>
        </w:rPr>
        <w:t>الثانية، ليس من الجمع العقلائيّ، و إلّا فهو هنا يورث نجاسة القليل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كثيراً من الأخبار المتمسّك بها للطهارة، غير مرتبطة بالمسألة؛ لأنّ الكلام حول انفعال الماء القليل، و أمّا حدّ القلّة فهو بحث آخر، فالرواية الناطقة بعدم تنجّس ماء الراوية و أشباهها</w:t>
      </w:r>
      <w:r>
        <w:rPr>
          <w:rStyle w:val="FootnoteAnchor"/>
          <w:rtl w:val="true"/>
        </w:rPr>
        <w:footnoteReference w:id="162"/>
      </w:r>
      <w:r>
        <w:rPr>
          <w:rFonts w:ascii="Amiri" w:hAnsi="Amiri" w:eastAsia="Amiri" w:cs="Amiri"/>
          <w:color w:val="111111"/>
          <w:sz w:val="28"/>
          <w:sz w:val="28"/>
          <w:szCs w:val="28"/>
          <w:rtl w:val="true"/>
          <w:lang w:bidi="ar-SA"/>
        </w:rPr>
        <w:t>، ليست من تلك الطائفة؛ لجواز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حدّ القليل ينطبق على الراوية و أشباهها، كما يأتي تحقيقه</w:t>
      </w:r>
      <w:r>
        <w:rPr>
          <w:rStyle w:val="FootnoteAnchor"/>
          <w:rtl w:val="true"/>
        </w:rPr>
        <w:footnoteReference w:id="163"/>
      </w:r>
      <w:r>
        <w:rPr>
          <w:rFonts w:ascii="Amiri" w:hAnsi="Amiri" w:eastAsia="Amiri" w:cs="Amiri"/>
          <w:color w:val="111111"/>
          <w:sz w:val="28"/>
          <w:sz w:val="28"/>
          <w:szCs w:val="28"/>
          <w:rtl w:val="true"/>
          <w:lang w:bidi="ar-SA"/>
        </w:rPr>
        <w:t>، كما أنّ المخالفين في حدود الكرّ، كلّهم من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بنجاسة القليل، و ذاهبون إلى تقسيم الماء إلى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القلّة، و ما يزيد عليها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التدبّر في أخبار المسألة، لا يمكن أن يجعل الوثوق بدلالة طائفة معتبرة على الطهارة إنصافاً، و لا يجوز الاستناد في مثل هذه المسألة إلى رواية و لو كانت صحيحة و دالّة كما لا يخفى، و إذا زادت عليها زاد وهناً، فاغتنم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سواء كان وارداً عليها أو موروداً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يطهر بالامتزاج بماءٍ معتصم، كالجاري و الكرّ و ماء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موروداً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بالتفصيل المذكور، قائلًا بعد العنوان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 فيها نصّاً لأصحابنا، و لا قولًا صريحاً، و الشافعيّ يفرّق بين ورود الماء على النجاسة، و ورودها عليه، فيعتبر القلّتين في ورود النجاسة على الماء، و لا يعتبر في ورود الماء على النجاسة، و خالفه سائر الفقهاء في هذه المسألة، و يقوى في نفسي عاجلًا إلى أن يقع التأمّل بذلك، صحّةُ ما ذهب إليه الشافعيّ و أبو حنيفة</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حكي</w:t>
      </w:r>
      <w:r>
        <w:rPr>
          <w:rStyle w:val="FootnoteAnchor"/>
          <w:rtl w:val="true"/>
        </w:rPr>
        <w:footnoteReference w:id="165"/>
      </w:r>
      <w:r>
        <w:rPr>
          <w:rFonts w:ascii="Amiri" w:hAnsi="Amiri" w:eastAsia="Amiri" w:cs="Amiri"/>
          <w:color w:val="111111"/>
          <w:sz w:val="28"/>
          <w:sz w:val="28"/>
          <w:szCs w:val="28"/>
          <w:rtl w:val="true"/>
          <w:lang w:bidi="ar-SA"/>
        </w:rPr>
        <w:t>موافقة الحلّي له، و قال في ذيل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الموافق لأصل المذهب و فتاوى الأصحاب</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يخفى على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هو من فتاوى الأصحاب كما في كلامه، و الأمر سهل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المسألة بحسب التصوّر احتمالات، إلّا أنّ الأظهر عندي أنّ مقصود الباحثين السالفين، ليس ما يرتبط بمسألة الغُسالة، أو كيفيّة</w:t>
      </w:r>
    </w:p>
    <w:p>
      <w:pPr>
        <w:pStyle w:val="BookText"/>
        <w:rPr/>
      </w:pPr>
      <w:r>
        <w:rPr>
          <w:rFonts w:ascii="Amiri" w:hAnsi="Amiri" w:eastAsia="Amiri" w:cs="Amiri"/>
          <w:color w:val="111111"/>
          <w:sz w:val="28"/>
          <w:sz w:val="28"/>
          <w:szCs w:val="28"/>
          <w:rtl w:val="true"/>
          <w:lang w:bidi="ar-SA"/>
        </w:rPr>
        <w:t xml:space="preserve">و الأقوى عدم الاكتفاء بالاتصال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امتزاج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تطهير المتنجّسات، بل المقصود هو أنّه لو مرّ القليل على عين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النجس على القليل فهل ينجس؛ نظراً إلى أنّ أخبار المسألة كلّها حول النجاسة الواقعة في الماء، أو ما يشبه ذلك؟</w:t>
      </w:r>
    </w:p>
    <w:p>
      <w:pPr>
        <w:pStyle w:val="BookText"/>
        <w:rPr/>
      </w:pPr>
      <w:r>
        <w:rPr>
          <w:rFonts w:ascii="Amiri" w:hAnsi="Amiri" w:eastAsia="Amiri" w:cs="Amiri"/>
          <w:color w:val="111111"/>
          <w:sz w:val="28"/>
          <w:sz w:val="28"/>
          <w:szCs w:val="28"/>
          <w:rtl w:val="true"/>
          <w:lang w:bidi="ar-SA"/>
        </w:rPr>
        <w:t>و أمّا في صورة العكس، فقصور الأدلّة الخاصّة، يكفي لكون الأصل أو المطلقات مرجعاً عند الشكّ، و ليس المنظور ورود الماء على النجس، فبقي النجس في الماء، فإنّه قول قبيح صدوره من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طهارة الغُسالة أمر مربوط بتطهير المتنجّس، و مسألتنا هذه غسالة النجس؛ أي الماء المارّ عليه، من غير كون النظر إلى اختلاف السطوح، و العالي و الداني، فإنّه أيضاً بحث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كانت الغسالة نجسة، فهو أولى به، و أمّا إذا كانت طاهرة، فالقول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بنجاسة الماء المارّ على النجس المنفكّ عنه، يكون تنجّسه مستفاداً من أدلّة تنجّس الجامد بالرطوبة</w:t>
      </w:r>
      <w:r>
        <w:rPr>
          <w:rStyle w:val="FootnoteAnchor"/>
          <w:rtl w:val="true"/>
        </w:rPr>
        <w:footnoteReference w:id="167"/>
      </w:r>
      <w:r>
        <w:rPr>
          <w:rFonts w:ascii="Amiri" w:hAnsi="Amiri" w:eastAsia="Amiri" w:cs="Amiri"/>
          <w:color w:val="111111"/>
          <w:sz w:val="28"/>
          <w:sz w:val="28"/>
          <w:szCs w:val="28"/>
          <w:rtl w:val="true"/>
          <w:lang w:bidi="ar-SA"/>
        </w:rPr>
        <w:t>، فإنّه أولى بذلك،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بالاتصال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لطائفة من الإجماعات المحكيّة و الشهرات المحقّقة</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إلى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أوّل من اعتبر فيه الامتزاج</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كما نحن أوّل من اعتبر الاستهلاك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منع الإجماع الشهرة؛ حيث يظهر من متون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7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اعتبار الزائد على الاتصال؛ لقولهم بتكاثر الماء الوارد و تدافعه، فعليه يكون المرجع القواعد الموجودة، و هي تقتضي نجاسته إلى أن يحرز مزيلها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يستدلّ به</w:t>
      </w:r>
      <w:r>
        <w:rPr>
          <w:rStyle w:val="FootnoteAnchor"/>
          <w:rtl w:val="true"/>
        </w:rPr>
        <w:footnoteReference w:id="173"/>
      </w:r>
      <w:r>
        <w:rPr>
          <w:rFonts w:ascii="Amiri" w:hAnsi="Amiri" w:eastAsia="Amiri" w:cs="Amiri"/>
          <w:color w:val="111111"/>
          <w:sz w:val="28"/>
          <w:sz w:val="28"/>
          <w:szCs w:val="28"/>
          <w:rtl w:val="true"/>
          <w:lang w:bidi="ar-SA"/>
        </w:rPr>
        <w:t>لكفاية الاتصال من إطلاق معتبر ابن بَزيع</w:t>
      </w:r>
      <w:r>
        <w:rPr>
          <w:rStyle w:val="FootnoteAnchor"/>
          <w:rtl w:val="true"/>
        </w:rPr>
        <w:footnoteReference w:id="174"/>
      </w:r>
      <w:r>
        <w:rPr>
          <w:rFonts w:ascii="Amiri" w:hAnsi="Amiri" w:eastAsia="Amiri" w:cs="Amiri"/>
          <w:color w:val="111111"/>
          <w:sz w:val="28"/>
          <w:sz w:val="28"/>
          <w:szCs w:val="28"/>
          <w:rtl w:val="true"/>
          <w:lang w:bidi="ar-SA"/>
        </w:rPr>
        <w:t xml:space="preserve">غير تامّ؛ ضرورة أنّ المتفاهم من التعليل أنّه علّة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يفسده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الجمل من تبعات هذه المسألة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لما يحصل من النزح؛ و هي طهارة الماء، فلا بدّ من النظر إلى دخالة النزح، و هي ممنوعة قطعاً بما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لمكان الملازمة الخارجيّة بين النزح و الامتزاج أو الاستهلاك، لا يبقى محلّ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كفاية الامتزاج، فهي ممنوعة عندنا؛ لأنّ الظاهر من مورد الخبر، كون البئر باقٍ فيه الماء بعد النزح،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يذهب الريح و يطيب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تكون من الآبار الّتي يكثر فيها الماء، و يحصل به الاستهلاك العرفيّ؛ بحيث لا يبقى من الماء الأوّل إلّا شي‌ء قليل فانٍ في جنب الماء الوارد الباقي، فإطلاقه لكفاية الامتزاج أيضاً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سلكناه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المتنجّس كالجامد في تطهيره، فكما لا يكفي تطهير جانب من الجامد عن الجانب الآخر، كذلك الماء</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الماء المتغيّر يطهر على الأشبه بزوال الوصف كما مرّ</w:t>
      </w:r>
      <w:r>
        <w:rPr>
          <w:rStyle w:val="FootnoteAnchor"/>
          <w:rtl w:val="true"/>
        </w:rPr>
        <w:footnoteReference w:id="175"/>
      </w:r>
      <w:r>
        <w:rPr>
          <w:rFonts w:ascii="Amiri" w:hAnsi="Amiri" w:eastAsia="Amiri" w:cs="Amiri"/>
          <w:color w:val="111111"/>
          <w:sz w:val="28"/>
          <w:sz w:val="28"/>
          <w:szCs w:val="28"/>
          <w:rtl w:val="true"/>
          <w:lang w:bidi="ar-SA"/>
        </w:rPr>
        <w:t>، فليتدبّر جيّداً</w:t>
      </w:r>
      <w:r>
        <w:rPr>
          <w:rFonts w:eastAsia="Amiri" w:cs="Amiri" w:ascii="Amiri" w:hAnsi="Amiri"/>
          <w:color w:val="111111"/>
          <w:sz w:val="28"/>
          <w:szCs w:val="28"/>
          <w:rtl w:val="true"/>
          <w:lang w:bidi="ar-SA"/>
        </w:rPr>
        <w:t>.</w:t>
      </w:r>
      <w:bookmarkStart w:id="57" w:name="pg12366_122914"/>
    </w:p>
    <w:p>
      <w:pPr>
        <w:pStyle w:val="Heading4"/>
        <w:numPr>
          <w:ilvl w:val="3"/>
          <w:numId w:val="1"/>
        </w:numPr>
        <w:rPr/>
      </w:pPr>
      <w:bookmarkStart w:id="58" w:name="__RefHeading___Toc8895955_417432637"/>
      <w:bookmarkStart w:id="59" w:name="_Toc21"/>
      <w:bookmarkEnd w:id="57"/>
      <w:bookmarkEnd w:id="58"/>
      <w:r>
        <w:rPr>
          <w:rtl w:val="true"/>
        </w:rPr>
        <w:t>[</w:t>
      </w:r>
      <w:r>
        <w:rPr>
          <w:rtl w:val="true"/>
        </w:rPr>
        <w:t xml:space="preserve">مسألة </w:t>
      </w:r>
      <w:r>
        <w:rPr/>
        <w:t>12</w:t>
      </w:r>
      <w:r>
        <w:rPr>
          <w:rtl w:val="true"/>
        </w:rPr>
        <w:t xml:space="preserve">: </w:t>
      </w:r>
      <w:r>
        <w:rPr>
          <w:rtl w:val="true"/>
        </w:rPr>
        <w:t>إذا كان الماء قليلًا، و شكّ في أنّ له مادّة أم لا</w:t>
      </w:r>
      <w:r>
        <w:rPr>
          <w:rtl w:val="true"/>
        </w:rPr>
        <w:t>]</w:t>
      </w:r>
      <w:bookmarkEnd w:id="5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الماء قليلًا، و شكّ في أنّ له مادّة أم لا، فإن كان ذا مادّة و شكّ في انقطاعها، يبني على الحالة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السابقة الأُولى،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يبني على الحالة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نظراً إلى استصحاب الكون الرابط؛ و هو أنّه كان ذا مادّة، و الآن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لأنّ ما هو موضوع الاعتصام و عدم التنجّس بالملاقاة، هو الماء، و العلّة الشرعيّة لا ترجع إلى قيد الموضوع في الأحكام الإلهيّة، فاستصحاب كونه ذا مادّة، لا أثر له إلّا على القول بحجيّة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لا يقيّد بالإسكار في الموضوع المعروض للتحريم، فما في كلمات الكلّ هنا خالٍ عن التحصيل، و ليس في الأدلّة ما يفي بأنّ الموضوع هو الماء ذو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صور حول الماء على أنواعها، مثل كون الجريان و المادّة معاً، موضوعاً للحكم، و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كانت حالته السابقة عدمَ المادّة، فاستصحاب سلب العلّة لنفي الحكم، ممنوع جريانه، و هو ليس من قبيل استصحاب عدم الموضوع لعدم الحكم، و لا يكون الموضوع أيضاً مقيّداً، كما أُشير إليه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استصحاب المطهّرية و العاصميّة التنجيزيّ، أو بعض الاستصحابات التعليقيّة، فهي و إن كانت سليمة من الإشكال المذكور، إلّا أنّه لا دليل على جعل العصمة و المطهّرية، إلّا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ذلك، فتصل النوبة إلى إثباته في الصورة الأُولى، و نفيه في الصورة الثانية، فاغتنم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 ملاقاته للنجاسة يحكم بطهارته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إن لم يكن له الحالة السابقة، أو كانت و هي غير معلومة، أو كانت حالته السابقة عدم المادّة، فإنّه في الجميع غير محكوم بشي‌ء، إلّا أنّه بحسب الحكم طاهر عند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لجماعة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بنجاسته</w:t>
      </w:r>
      <w:r>
        <w:rPr>
          <w:rStyle w:val="FootnoteAnchor"/>
          <w:rtl w:val="true"/>
        </w:rPr>
        <w:footnoteReference w:id="176"/>
      </w:r>
      <w:r>
        <w:rPr>
          <w:rFonts w:ascii="Amiri" w:hAnsi="Amiri" w:eastAsia="Amiri" w:cs="Amiri"/>
          <w:color w:val="111111"/>
          <w:sz w:val="28"/>
          <w:sz w:val="28"/>
          <w:szCs w:val="28"/>
          <w:rtl w:val="true"/>
          <w:lang w:bidi="ar-SA"/>
        </w:rPr>
        <w:t>و ذلك إمّا لأجل التمسّك بالعامّ في الشبهة المصداقيّة، أو لأجل استصحاب العدم الأزليّ الجاري في أمثال المسألة، أو لأجل أنّ المقتضي موجود، و المانعَ مشكوك الوجود، فيحكم بها لحكم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الوجوه محرّرة في كتابنا الكبير</w:t>
      </w:r>
      <w:r>
        <w:rPr>
          <w:rStyle w:val="FootnoteAnchor"/>
          <w:rtl w:val="true"/>
        </w:rPr>
        <w:footnoteReference w:id="177"/>
      </w:r>
      <w:r>
        <w:rPr>
          <w:rFonts w:ascii="Amiri" w:hAnsi="Amiri" w:eastAsia="Amiri" w:cs="Amiri"/>
          <w:color w:val="111111"/>
          <w:sz w:val="28"/>
          <w:sz w:val="28"/>
          <w:szCs w:val="28"/>
          <w:rtl w:val="true"/>
          <w:lang w:bidi="ar-SA"/>
        </w:rPr>
        <w:t>، و قد تحرّر منّا جواز التمسّك بالعامّ فيها، إلّا أنّ كون ما نحن فيه من باب العامّ و الخاصّ، أو التنويع لأقسام المياه إلى الأنواع و الأقسام، أو لعدم ثبوت المعنى المطلوب لطبيعة الماء و هو الاعتصام و لو كان من باب التخصيص دون التنويع، فلا يتمّ المطلوب؛ و هي نجاسة الماء المذكور على جميع التقادير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بالعمومات لطبيعة الماء هو</w:t>
      </w:r>
    </w:p>
    <w:p>
      <w:pPr>
        <w:pStyle w:val="BookText"/>
        <w:rPr/>
      </w:pPr>
      <w:r>
        <w:rPr>
          <w:rFonts w:ascii="Amiri" w:hAnsi="Amiri" w:eastAsia="Amiri" w:cs="Amiri"/>
          <w:color w:val="111111"/>
          <w:sz w:val="28"/>
          <w:sz w:val="28"/>
          <w:szCs w:val="28"/>
          <w:rtl w:val="true"/>
          <w:lang w:bidi="ar-SA"/>
        </w:rPr>
        <w:t>الاعتصام، تثبت الطهارة فيما نحن فيه بالأدلّة الاجتهاديّة، كما لا يخفى</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مجرّد ثبوت الطهارة، لا يكفي للمطهّرية، فلا بدّ من التماس دليل آخر محرّر في كتابنا الكبير</w:t>
      </w:r>
      <w:r>
        <w:rPr>
          <w:rStyle w:val="FootnoteAnchor"/>
          <w:rtl w:val="true"/>
        </w:rPr>
        <w:footnoteReference w:id="178"/>
      </w:r>
      <w:r>
        <w:rPr>
          <w:rFonts w:ascii="Amiri" w:hAnsi="Amiri" w:eastAsia="Amiri" w:cs="Amiri"/>
          <w:color w:val="111111"/>
          <w:sz w:val="28"/>
          <w:sz w:val="28"/>
          <w:szCs w:val="28"/>
          <w:rtl w:val="true"/>
          <w:lang w:bidi="ar-SA"/>
        </w:rPr>
        <w:t>، و هذا من غير فرق بين أن يريد التطهير بإيراد المتنجّس في الماء، أو بإيراد الماء على المتنجّس، فلا تخلط</w:t>
      </w:r>
      <w:r>
        <w:rPr>
          <w:rFonts w:eastAsia="Amiri" w:cs="Amiri" w:ascii="Amiri" w:hAnsi="Amiri"/>
          <w:color w:val="111111"/>
          <w:sz w:val="28"/>
          <w:szCs w:val="28"/>
          <w:rtl w:val="true"/>
          <w:lang w:bidi="ar-SA"/>
        </w:rPr>
        <w:t>.</w:t>
      </w:r>
      <w:bookmarkStart w:id="60" w:name="pg12366_122917"/>
    </w:p>
    <w:p>
      <w:pPr>
        <w:pStyle w:val="Heading4"/>
        <w:numPr>
          <w:ilvl w:val="3"/>
          <w:numId w:val="1"/>
        </w:numPr>
        <w:rPr/>
      </w:pPr>
      <w:bookmarkStart w:id="61" w:name="__RefHeading___Toc8895957_417432637"/>
      <w:bookmarkStart w:id="62" w:name="_Toc22"/>
      <w:bookmarkEnd w:id="60"/>
      <w:bookmarkEnd w:id="61"/>
      <w:r>
        <w:rPr>
          <w:rtl w:val="true"/>
        </w:rPr>
        <w:t>[</w:t>
      </w:r>
      <w:r>
        <w:rPr>
          <w:rtl w:val="true"/>
        </w:rPr>
        <w:t xml:space="preserve">مسألة </w:t>
      </w:r>
      <w:r>
        <w:rPr/>
        <w:t>13</w:t>
      </w:r>
      <w:r>
        <w:rPr>
          <w:rtl w:val="true"/>
        </w:rPr>
        <w:t xml:space="preserve">: </w:t>
      </w:r>
      <w:r>
        <w:rPr>
          <w:rtl w:val="true"/>
        </w:rPr>
        <w:t>الرّاكد إذا بلغ كُرّاً</w:t>
      </w:r>
      <w:r>
        <w:rPr>
          <w:rtl w:val="true"/>
        </w:rPr>
        <w:t>]</w:t>
      </w:r>
      <w:bookmarkEnd w:id="6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الرّاكد إذا بلغ كُرّاً، لا ينجس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بالملاقاة إلّا بالتغيّر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تغيّر بعضه، فإن كان الباقي بمقدار كرّ، يبقى غير المتغيّر على طهارته، و يطهر المتغيّر إذا زال تغيّره بالامتزاج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بالكرّ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ماء الكرّ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خلاف؛ إمّا لأنّه كرّ، أو لعدم اعتبار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w:t>
      </w:r>
      <w:r>
        <w:rPr>
          <w:rStyle w:val="FootnoteAnchor"/>
          <w:rtl w:val="true"/>
        </w:rPr>
        <w:footnoteReference w:id="179"/>
      </w:r>
      <w:r>
        <w:rPr>
          <w:rFonts w:ascii="Amiri" w:hAnsi="Amiri" w:eastAsia="Amiri" w:cs="Amiri"/>
          <w:color w:val="111111"/>
          <w:sz w:val="28"/>
          <w:sz w:val="28"/>
          <w:szCs w:val="28"/>
          <w:rtl w:val="true"/>
          <w:lang w:bidi="ar-SA"/>
        </w:rPr>
        <w:t>وجه الإشكال في نجاسة المياه بالتغيّر،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تغيّر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معلوم؛ لما أُشير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بالامتزاج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w:t>
      </w:r>
      <w:r>
        <w:rPr>
          <w:rStyle w:val="FootnoteAnchor"/>
          <w:rtl w:val="true"/>
        </w:rPr>
        <w:footnoteReference w:id="180"/>
      </w:r>
      <w:r>
        <w:rPr>
          <w:rFonts w:ascii="Amiri" w:hAnsi="Amiri" w:eastAsia="Amiri" w:cs="Amiri"/>
          <w:color w:val="111111"/>
          <w:sz w:val="28"/>
          <w:sz w:val="28"/>
          <w:szCs w:val="28"/>
          <w:rtl w:val="true"/>
          <w:lang w:bidi="ar-SA"/>
        </w:rPr>
        <w:t>وجهه و وجه كفاية زوال التغيّر في طهارته، من غير حاجة إلى الامتزاج و الاتصال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القليل المتنجّس نحتاج إلى الاستهلاك العرفيّ حسب الأظهر، و 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الباقي دون الكرّ، ينجس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ينجس الجميع</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سيأتي من انفعال الماء القليل، هذا بناءً على المشهور؛ من نجاسة المتغيّر بما هو متغيّر و لو كان كثيراً، و أمّا على ما مرّ من المناقشة في تنجّس المتغيّر</w:t>
      </w:r>
      <w:r>
        <w:rPr>
          <w:rStyle w:val="FootnoteAnchor"/>
          <w:rtl w:val="true"/>
        </w:rPr>
        <w:footnoteReference w:id="181"/>
      </w:r>
      <w:r>
        <w:rPr>
          <w:rFonts w:ascii="Amiri" w:hAnsi="Amiri" w:eastAsia="Amiri" w:cs="Amiri"/>
          <w:color w:val="111111"/>
          <w:sz w:val="28"/>
          <w:sz w:val="28"/>
          <w:szCs w:val="28"/>
          <w:rtl w:val="true"/>
          <w:lang w:bidi="ar-SA"/>
        </w:rPr>
        <w:t>فلا، و قد مرّ الاحتياط</w:t>
      </w:r>
      <w:r>
        <w:rPr>
          <w:rFonts w:eastAsia="Amiri" w:cs="Amiri" w:ascii="Amiri" w:hAnsi="Amiri"/>
          <w:color w:val="111111"/>
          <w:sz w:val="28"/>
          <w:szCs w:val="28"/>
          <w:rtl w:val="true"/>
          <w:lang w:bidi="ar-SA"/>
        </w:rPr>
        <w:t>.</w:t>
      </w:r>
      <w:bookmarkStart w:id="63" w:name="pg12366_122919"/>
    </w:p>
    <w:p>
      <w:pPr>
        <w:pStyle w:val="Heading4"/>
        <w:numPr>
          <w:ilvl w:val="3"/>
          <w:numId w:val="1"/>
        </w:numPr>
        <w:rPr/>
      </w:pPr>
      <w:bookmarkStart w:id="64" w:name="__RefHeading___Toc8895959_417432637"/>
      <w:bookmarkStart w:id="65" w:name="_Toc23"/>
      <w:bookmarkEnd w:id="63"/>
      <w:bookmarkEnd w:id="64"/>
      <w:r>
        <w:rPr>
          <w:rtl w:val="true"/>
        </w:rPr>
        <w:t>[</w:t>
      </w:r>
      <w:r>
        <w:rPr>
          <w:rtl w:val="true"/>
        </w:rPr>
        <w:t xml:space="preserve">مسألة </w:t>
      </w:r>
      <w:r>
        <w:rPr/>
        <w:t>14</w:t>
      </w:r>
      <w:r>
        <w:rPr>
          <w:rtl w:val="true"/>
        </w:rPr>
        <w:t xml:space="preserve">: </w:t>
      </w:r>
      <w:r>
        <w:rPr>
          <w:rtl w:val="true"/>
        </w:rPr>
        <w:t>للكرّ تقديران</w:t>
      </w:r>
      <w:r>
        <w:rPr>
          <w:rtl w:val="true"/>
        </w:rPr>
        <w:t>]</w:t>
      </w:r>
      <w:bookmarkEnd w:id="6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للكرّ تقديران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الوزن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المساحة؛ و هو ما بلغ ثلاثة و أربعين شبراً إلّا ثُمن شبر على الأحوط، بل لا يخلو من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المسألة من المسائل الخلافيّة من بدو طلوع الإسلام إلى عصرنا، و الّذي لا ينبغي الشكّ فيه و لا يرتاب أحد حوله بعد التأمّل في نواحيه انفعالُ الماء القليل في الجملة، و إنّما الاختلاف في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يتوهّم من أنّ المسألة من المستحدثات، كما يظهر من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و غيره، فهو من قلّة التدبّر؛ فإنّ المحكيّ عن ابن عبّاس، و ابن عمر، و أبي هريرة، و سعيد بن جبير، و مجاهد، و أحمد، و إسحاق، و أبي عُبيدة، و أبى ثور الّذين هم في القرن الأوّل هو اعتبار القلّتين</w:t>
      </w:r>
      <w:r>
        <w:rPr>
          <w:rStyle w:val="FootnoteAnchor"/>
          <w:rtl w:val="true"/>
        </w:rPr>
        <w:footnoteReference w:id="183"/>
      </w:r>
      <w:r>
        <w:rPr>
          <w:rFonts w:ascii="Amiri" w:hAnsi="Amiri" w:eastAsia="Amiri" w:cs="Amiri"/>
          <w:color w:val="111111"/>
          <w:sz w:val="28"/>
          <w:sz w:val="28"/>
          <w:szCs w:val="28"/>
          <w:rtl w:val="true"/>
          <w:lang w:bidi="ar-SA"/>
        </w:rPr>
        <w:t>، و يظهر منهم أنّهم يريدون من التحديد تنجّس ما دون الحدّ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حنيفة التفصيل و القول بالنجاسة نوعاً</w:t>
      </w:r>
      <w:r>
        <w:rPr>
          <w:rStyle w:val="FootnoteAnchor"/>
          <w:rtl w:val="true"/>
        </w:rPr>
        <w:footnoteReference w:id="184"/>
      </w:r>
      <w:r>
        <w:rPr>
          <w:rFonts w:ascii="Amiri" w:hAnsi="Amiri" w:eastAsia="Amiri" w:cs="Amiri"/>
          <w:color w:val="111111"/>
          <w:sz w:val="28"/>
          <w:sz w:val="28"/>
          <w:szCs w:val="28"/>
          <w:rtl w:val="true"/>
          <w:lang w:bidi="ar-SA"/>
        </w:rPr>
        <w:t>، و بها يقول الشافعيّ في أحد قوليه أو أقواله</w:t>
      </w:r>
      <w:r>
        <w:rPr>
          <w:rStyle w:val="FootnoteAnchor"/>
          <w:rtl w:val="true"/>
        </w:rPr>
        <w:footnoteReference w:id="185"/>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عنه هي</w:t>
      </w:r>
    </w:p>
    <w:p>
      <w:pPr>
        <w:pStyle w:val="BookText"/>
        <w:rPr/>
      </w:pP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و هكذا ابن حنبل</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وصلت النوبة إلى أرباب التأليف منّا، فذهبوا إلى النجاسة، و عليها الإجماعات البالغة حدّ الثلاثين أو أكثر، و الشهراتُ المحقّقة في الأعصار و الأمصار، و يساعده الاعتبار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العلّامة الطباطبائيّ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روايات هذه المسألة تبلغ ثلاثمائة</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مع أنّ السيرة الموجودة الوسيعة جدّاً، تكشف عن أنّ المسألة، كانت من المسائل المتلقّاة من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 فأصل تنجّس الماء القليل في الجملة، ممّا لا سبيل إلى مناقشته، و لو كان مذهب بعض العامّة الطهارة</w:t>
      </w:r>
      <w:r>
        <w:rPr>
          <w:rStyle w:val="FootnoteAnchor"/>
          <w:rtl w:val="true"/>
        </w:rPr>
        <w:footnoteReference w:id="189"/>
      </w:r>
      <w:r>
        <w:rPr>
          <w:rFonts w:ascii="Amiri" w:hAnsi="Amiri" w:eastAsia="Amiri" w:cs="Amiri"/>
          <w:color w:val="111111"/>
          <w:sz w:val="28"/>
          <w:sz w:val="28"/>
          <w:szCs w:val="28"/>
          <w:rtl w:val="true"/>
          <w:lang w:bidi="ar-SA"/>
        </w:rPr>
        <w:t>أو بعضٍ من الخاصّة كما نسب إلى العمّاني</w:t>
      </w:r>
      <w:r>
        <w:rPr>
          <w:rStyle w:val="FootnoteAnchor"/>
          <w:rtl w:val="true"/>
        </w:rPr>
        <w:footnoteReference w:id="190"/>
      </w:r>
      <w:r>
        <w:rPr>
          <w:rFonts w:ascii="Amiri" w:hAnsi="Amiri" w:eastAsia="Amiri" w:cs="Amiri"/>
          <w:color w:val="111111"/>
          <w:sz w:val="28"/>
          <w:sz w:val="28"/>
          <w:szCs w:val="28"/>
          <w:rtl w:val="true"/>
          <w:lang w:bidi="ar-SA"/>
        </w:rPr>
        <w:t>، و القاضي نعمان أبي حنيفة الشيعيّ</w:t>
      </w:r>
      <w:r>
        <w:rPr>
          <w:rStyle w:val="FootnoteAnchor"/>
          <w:rtl w:val="true"/>
        </w:rPr>
        <w:footnoteReference w:id="191"/>
      </w:r>
      <w:r>
        <w:rPr>
          <w:rFonts w:ascii="Amiri" w:hAnsi="Amiri" w:eastAsia="Amiri" w:cs="Amiri"/>
          <w:color w:val="111111"/>
          <w:sz w:val="28"/>
          <w:sz w:val="28"/>
          <w:szCs w:val="28"/>
          <w:rtl w:val="true"/>
          <w:lang w:bidi="ar-SA"/>
        </w:rPr>
        <w:t>فلا يضرّ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توهّم ذهاب الكلينيّ و الصدوق إلى الطهارة، فما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المقابيس</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xml:space="preserve">في غير محلّه، كما أنّ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نسبة الطهارة إلى مشهور العامّة</w:t>
      </w:r>
      <w:r>
        <w:rPr>
          <w:rStyle w:val="FootnoteAnchor"/>
          <w:rtl w:val="true"/>
        </w:rPr>
        <w:footnoteReference w:id="193"/>
      </w:r>
      <w:r>
        <w:rPr>
          <w:rFonts w:ascii="Amiri" w:hAnsi="Amiri" w:eastAsia="Amiri" w:cs="Amiri"/>
          <w:color w:val="111111"/>
          <w:sz w:val="28"/>
          <w:sz w:val="28"/>
          <w:szCs w:val="28"/>
          <w:rtl w:val="true"/>
          <w:lang w:bidi="ar-SA"/>
        </w:rPr>
        <w:t>،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ما تحرّر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وجود طائفة من الأخبار ظاهرة في الطهارة</w:t>
      </w:r>
      <w:r>
        <w:rPr>
          <w:rStyle w:val="FootnoteAnchor"/>
          <w:rtl w:val="true"/>
        </w:rPr>
        <w:footnoteReference w:id="194"/>
      </w:r>
      <w:r>
        <w:rPr>
          <w:rFonts w:ascii="Amiri" w:hAnsi="Amiri" w:eastAsia="Amiri" w:cs="Amiri"/>
          <w:color w:val="111111"/>
          <w:sz w:val="28"/>
          <w:sz w:val="28"/>
          <w:szCs w:val="28"/>
          <w:rtl w:val="true"/>
          <w:lang w:bidi="ar-SA"/>
        </w:rPr>
        <w:t>، فهي إمّا معرض عنها، أو محمولة على التقيّة، أو ساقطة بالمعارضة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موافقة لإطلاق الكتاب</w:t>
      </w:r>
      <w:r>
        <w:rPr>
          <w:rStyle w:val="FootnoteAnchor"/>
          <w:rtl w:val="true"/>
        </w:rPr>
        <w:footnoteReference w:id="195"/>
      </w:r>
      <w:r>
        <w:rPr>
          <w:rFonts w:ascii="Amiri" w:hAnsi="Amiri" w:eastAsia="Amiri" w:cs="Amiri"/>
          <w:color w:val="111111"/>
          <w:sz w:val="28"/>
          <w:sz w:val="28"/>
          <w:szCs w:val="28"/>
          <w:rtl w:val="true"/>
          <w:lang w:bidi="ar-SA"/>
        </w:rPr>
        <w:t xml:space="preserve">على تقدير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العصمة، مع أنّ جمعاً من المياه ليس من السماء، و البحث أعمّ،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موافقة الشهرة مقدّمة عليها، مع أنّ النوبة لا تصل إلى الترجيح؛ لأنّ المسألة من صغريات تمييز الحجّة عن اللّابدية حجّة، كما لا يخفى</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لعمري، إنّ الشكّ و الشبهة في هذه المسألة، معلول التسويل، و يشبه الشكّ في ركعتي الفجر، و لا نحتاج إلى الإجماع</w:t>
      </w:r>
      <w:r>
        <w:rPr>
          <w:rStyle w:val="FootnoteAnchor"/>
          <w:rtl w:val="true"/>
        </w:rPr>
        <w:footnoteReference w:id="196"/>
      </w:r>
      <w:r>
        <w:rPr>
          <w:rFonts w:ascii="Amiri" w:hAnsi="Amiri" w:eastAsia="Amiri" w:cs="Amiri"/>
          <w:color w:val="111111"/>
          <w:sz w:val="28"/>
          <w:sz w:val="28"/>
          <w:szCs w:val="28"/>
          <w:rtl w:val="true"/>
          <w:lang w:bidi="ar-SA"/>
        </w:rPr>
        <w:t>و الرواية، كي يناقش في الإجماع صغرويّاً، و في الرواية كبرويّاً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حدوث الاغتراس؛ لأجل فتوى الفقهاء و إن كان ممكناً، إلّا أنّه بعد تلك المؤيّدات بعيد جدّاً، و لا يقاس بحديث نجاسة ماء البئر إلى عصر ابن الجهم و العلّامة</w:t>
      </w:r>
      <w:r>
        <w:rPr>
          <w:rStyle w:val="FootnoteAnchor"/>
          <w:rtl w:val="true"/>
        </w:rPr>
        <w:footnoteReference w:id="197"/>
      </w:r>
      <w:r>
        <w:rPr>
          <w:rFonts w:ascii="Amiri" w:hAnsi="Amiri" w:eastAsia="Amiri" w:cs="Amiri"/>
          <w:color w:val="111111"/>
          <w:sz w:val="28"/>
          <w:sz w:val="28"/>
          <w:szCs w:val="28"/>
          <w:rtl w:val="true"/>
          <w:lang w:bidi="ar-SA"/>
        </w:rPr>
        <w:t>، كما هو معلوم، فلا تخلط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حول انفعال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حدّه، فهو مورد الخلاف جدّاً؛ فالمنسوب إلى المشهور أنّه بحسب المساحة ثلاثة أشبار و نصف في مثله</w:t>
      </w:r>
      <w:r>
        <w:rPr>
          <w:rStyle w:val="FootnoteAnchor"/>
          <w:rtl w:val="true"/>
        </w:rPr>
        <w:footnoteReference w:id="198"/>
      </w:r>
      <w:r>
        <w:rPr>
          <w:rFonts w:ascii="Amiri" w:hAnsi="Amiri" w:eastAsia="Amiri" w:cs="Amiri"/>
          <w:color w:val="111111"/>
          <w:sz w:val="28"/>
          <w:sz w:val="28"/>
          <w:szCs w:val="28"/>
          <w:rtl w:val="true"/>
          <w:lang w:bidi="ar-SA"/>
        </w:rPr>
        <w:t xml:space="preserve">، فيصير المجموع ما في المتن، و إلى ذلك يرجع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20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و عليه فيها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من دين الإماميّة</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المشهور بين الأصحاب</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جمع إلى أنّه ثلاثة أشبار عرضاً و طولًا و عمقاً، و إليه ذهب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w:t>
      </w:r>
      <w:r>
        <w:rPr>
          <w:rStyle w:val="FootnoteAnchor"/>
          <w:rtl w:val="true"/>
        </w:rPr>
        <w:footnoteReference w:id="206"/>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أيضاً إلى القُمّيين</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مائة شبرٍ؛ جمعاً</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يبلغ عشر أشبار و نصف</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جماعة من المعاصرين تبعاً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للمدارك</w:t>
      </w:r>
      <w:r>
        <w:rPr>
          <w:rFonts w:eastAsia="Amiri" w:cs="Amiri" w:ascii="Amiri" w:hAnsi="Amiri"/>
          <w:color w:val="111111"/>
          <w:sz w:val="28"/>
          <w:szCs w:val="28"/>
          <w:rtl w:val="true"/>
          <w:lang w:bidi="ar-SA"/>
        </w:rPr>
        <w:t>»</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ستّة و ثلاثون شبراً</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الأُستاذ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ثلاثة و ثلاثون شبراً تقريباً</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تجويز العمل بمجموع ما في الأخبار</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أنّ المسألة ليست بين القدماء واضحةً؛ لاختلاف كلمات الناقلين و المنقول عنهم في المقدار و المساحة، بل و المساحة خصوصاً أيضاً، فلا مستند إلّا الأخبار الموجودة، و المتّبع هي الصناعة، فإنّها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كانت هذه المسألة كجلّ المسائل الفقهيّة بكراً، فأردت حلّ مشكلتها، بعد الغور بعين الإنصاف في رواياتها، و هو أنّ ممّا قرع سمعك من السلف؛ هو أنّ مسروقاً و ابن سيرين، ذهبا إلى أنّ موضوع المنفعل و المعتصم عرفيّ؛ و هو الماء القليل و الكثير</w:t>
      </w:r>
      <w:r>
        <w:rPr>
          <w:rStyle w:val="FootnoteAnchor"/>
          <w:rtl w:val="true"/>
        </w:rPr>
        <w:footnoteReference w:id="214"/>
      </w:r>
      <w:r>
        <w:rPr>
          <w:rFonts w:ascii="Amiri" w:hAnsi="Amiri" w:eastAsia="Amiri" w:cs="Amiri"/>
          <w:color w:val="111111"/>
          <w:sz w:val="28"/>
          <w:sz w:val="28"/>
          <w:szCs w:val="28"/>
          <w:rtl w:val="true"/>
          <w:lang w:bidi="ar-SA"/>
        </w:rPr>
        <w:t>، و على هذا يحوّل الأمر إلى العقلاء، كسائر المفاهيم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العناوين الكثيرة إلى العنوان الواحد، غير جائز؛ لأنّه يشبه القياس، إلّا إذا اقتضت القرائن الخاصّة، و قد صنع المشهور ذلك في كثير السفر من غير وجود قرينة، و لذلك عدل المتأخّرون عنه إلى الأخذ بتلك العناوين الكثيرة المذكورة في الروايات</w:t>
      </w:r>
      <w:r>
        <w:rPr>
          <w:rStyle w:val="FootnoteAnchor"/>
          <w:rtl w:val="true"/>
        </w:rPr>
        <w:footnoteReference w:id="215"/>
      </w:r>
      <w:r>
        <w:rPr>
          <w:rFonts w:ascii="Amiri" w:hAnsi="Amiri" w:eastAsia="Amiri" w:cs="Amiri"/>
          <w:color w:val="111111"/>
          <w:sz w:val="28"/>
          <w:sz w:val="28"/>
          <w:szCs w:val="28"/>
          <w:rtl w:val="true"/>
          <w:lang w:bidi="ar-SA"/>
        </w:rPr>
        <w:t xml:space="preserve">،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يدور في تجارته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فيما نحن فيه، قد اضطربت المآثير</w:t>
      </w:r>
      <w:r>
        <w:rPr>
          <w:rStyle w:val="FootnoteAnchor"/>
          <w:rtl w:val="true"/>
        </w:rPr>
        <w:footnoteReference w:id="216"/>
      </w:r>
      <w:r>
        <w:rPr>
          <w:rFonts w:ascii="Amiri" w:hAnsi="Amiri" w:eastAsia="Amiri" w:cs="Amiri"/>
          <w:color w:val="111111"/>
          <w:sz w:val="28"/>
          <w:sz w:val="28"/>
          <w:szCs w:val="28"/>
          <w:rtl w:val="true"/>
          <w:lang w:bidi="ar-SA"/>
        </w:rPr>
        <w:t>حسب بيان ما هو الحدّ، و إرجاعُ هذه الحدود المختلفة إلى الواحد، أيضاً غير جائز إلّا مع القرينة، فإذا قامت هي على أنّ ما هو الموضوع للاعتصام هو الماء الكثير، و ما في الأخبار تحديد صوريّ و توضيح لمصاديق العنوان المذكور من غير دخالة الحدّ الخاص فيه يتبيّن أنّ القليل العرفيّ موضوع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يساعد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الموضوعات الشرعيّة بحسب الطبع عرفيّة، و قليل منها مورد تدخّل الشرع، و أنّ الأخذ بالتحديد الشرعيّ، يورث لزوم الدقّة العرفيّة في ذلك الحدّ، و هذا ممّا يُطْعن فيه بحسب الارتكاز البَدْويّ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من ثمرات هذا المسلك، الأخذ بمجموع الأخبار، كما أومى إليه ابن طاوس</w:t>
      </w:r>
      <w:r>
        <w:rPr>
          <w:rStyle w:val="FootnoteAnchor"/>
          <w:rtl w:val="true"/>
        </w:rPr>
        <w:footnoteReference w:id="217"/>
      </w:r>
      <w:r>
        <w:rPr>
          <w:rFonts w:ascii="Amiri" w:hAnsi="Amiri" w:eastAsia="Amiri" w:cs="Amiri"/>
          <w:color w:val="111111"/>
          <w:sz w:val="28"/>
          <w:sz w:val="28"/>
          <w:szCs w:val="28"/>
          <w:rtl w:val="true"/>
          <w:lang w:bidi="ar-SA"/>
        </w:rPr>
        <w:t>أيضاً، و لكن لا يلزم اتباع ما فيها، فلو كان حدّ الكثير أقلّ من سبع و عشرين كما هو رأي جمع من المعاصرين</w:t>
      </w:r>
      <w:r>
        <w:rPr>
          <w:rStyle w:val="FootnoteAnchor"/>
          <w:rtl w:val="true"/>
        </w:rPr>
        <w:footnoteReference w:id="218"/>
      </w:r>
      <w:r>
        <w:rPr>
          <w:rFonts w:ascii="Amiri" w:hAnsi="Amiri" w:eastAsia="Amiri" w:cs="Amiri"/>
          <w:color w:val="111111"/>
          <w:sz w:val="28"/>
          <w:sz w:val="28"/>
          <w:szCs w:val="28"/>
          <w:rtl w:val="true"/>
          <w:lang w:bidi="ar-SA"/>
        </w:rPr>
        <w:t>يكون هو المتّبع، فالّذي هو المعتصم هو الكثير المعتنى به عرفاً، كالموجود في الحياض</w:t>
      </w:r>
    </w:p>
    <w:p>
      <w:pPr>
        <w:pStyle w:val="BookText"/>
        <w:rPr/>
      </w:pPr>
      <w:r>
        <w:rPr>
          <w:rFonts w:ascii="Amiri" w:hAnsi="Amiri" w:eastAsia="Amiri" w:cs="Amiri"/>
          <w:color w:val="111111"/>
          <w:sz w:val="28"/>
          <w:sz w:val="28"/>
          <w:szCs w:val="28"/>
          <w:rtl w:val="true"/>
          <w:lang w:bidi="ar-SA"/>
        </w:rPr>
        <w:t>الصغار، و الأواني الكبار، و أشباه ذلك، فما هو المهمّ هو الغور في تلك القرائن، و إليك نبذة منها، و تفصيلها في كتابنا الكبير</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معتبر حَريز،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راوية من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تفسّخ فيها فلا تشرب من مائها، و لا تتوضّأ و صبّها، و إن كان غير متفسّخ فاشرب منه و توضّأ، و اطرح الميتة إذا أخرجتها طريّة، و كذلك الجرّة و حبّ الماء و القِربة، و أشباه ذلك من أوعية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الماء أكثر من راوية لم ينجّسه شي‌ء؛ تفسّخ فيه، أو لم يتفسّخ </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معتبرة مضت،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الدجاجة و الحمامة و أشباههما، تطأ العَذِرة، ثمّ تدخل في الماء، يتوضأ منه للصلاة؟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يكون الماء كثيراً؛ قدر كرّ من ماء</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معتبر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بفضل السِّنَّوْر</w:t>
      </w:r>
    </w:p>
    <w:p>
      <w:pPr>
        <w:pStyle w:val="BookText"/>
        <w:rPr/>
      </w:pPr>
      <w:r>
        <w:rPr>
          <w:rFonts w:ascii="Amiri" w:hAnsi="Amiri" w:eastAsia="Amiri" w:cs="Amiri"/>
          <w:color w:val="111111"/>
          <w:sz w:val="28"/>
          <w:sz w:val="28"/>
          <w:szCs w:val="28"/>
          <w:rtl w:val="true"/>
          <w:lang w:bidi="ar-SA"/>
        </w:rPr>
        <w:t>بأس أن يُتوضّأ منه و يُشرب، و لا يشرب سؤر الكلب، إلّا أن يكون حوضاً كبيراً يستقى منه</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الحياض الّتي ما بين مكّة إلى المدينة؛ تردها السباع، و تلغ فيها الكلاب، و تشرب منها الحمير، و يغتسل منها الجنب، و يتوضّأ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كم قدر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نصف الساق، و إلى الركبة و أقلّ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 منه</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المغيرة، عن بعض أصحابنا،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 من الماء نحو حِبّي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حِبٍّ من تلك الحِباب الّتي تكون بالمدينة</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فيما سبق كفى دلالة على ما أشرنا إليه، مع أنّ الأخير له الحكومة</w:t>
      </w:r>
    </w:p>
    <w:p>
      <w:pPr>
        <w:pStyle w:val="BookText"/>
        <w:rPr/>
      </w:pPr>
      <w:r>
        <w:rPr>
          <w:rFonts w:ascii="Amiri" w:hAnsi="Amiri" w:eastAsia="Amiri" w:cs="Amiri"/>
          <w:color w:val="111111"/>
          <w:sz w:val="28"/>
          <w:sz w:val="28"/>
          <w:szCs w:val="28"/>
          <w:rtl w:val="true"/>
          <w:lang w:bidi="ar-SA"/>
        </w:rPr>
        <w:t>على أخبار الكرّ في الشرع؛ و أنّه ليس له الحدّ إلّا الكثرة العرفيّة؛ لاختلاف الحِباب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المغيرة، عن بعض أصحابه،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قُلّتين لم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جرّتان</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فيعلم منه و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الكثرة المتسامح فيها موضوع الاعتصام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معتبر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الثوب يصيبه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اغسله في المركن </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يزيدك شاهداً نفس اختلاف أخبار التحديد للكرّ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أنّ المتأمّل في هذه الطائفة من المآثير، يتبيّن له حال الطوائف الأُخر</w:t>
      </w:r>
      <w:r>
        <w:rPr>
          <w:rStyle w:val="FootnoteAnchor"/>
          <w:rtl w:val="true"/>
        </w:rPr>
        <w:footnoteReference w:id="227"/>
      </w:r>
      <w:r>
        <w:rPr>
          <w:rFonts w:ascii="Amiri" w:hAnsi="Amiri" w:eastAsia="Amiri" w:cs="Amiri"/>
          <w:color w:val="111111"/>
          <w:sz w:val="28"/>
          <w:sz w:val="28"/>
          <w:szCs w:val="28"/>
          <w:rtl w:val="true"/>
          <w:lang w:bidi="ar-SA"/>
        </w:rPr>
        <w:t>، و ينكشف لديه أصل المسألة بما لا مزيد عليه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منع من دعوى اختلاف الأخبار؛ بحسب اختلاف مقدار النجس كمّاً و كيفاً و استعمالًا، إلّا أنّ النتيجة عدم انفعال القليل في مورد، و اعتصام</w:t>
      </w:r>
    </w:p>
    <w:p>
      <w:pPr>
        <w:pStyle w:val="BookText"/>
        <w:rPr/>
      </w:pPr>
      <w:r>
        <w:rPr>
          <w:rFonts w:ascii="Amiri" w:hAnsi="Amiri" w:eastAsia="Amiri" w:cs="Amiri"/>
          <w:color w:val="111111"/>
          <w:sz w:val="28"/>
          <w:sz w:val="28"/>
          <w:szCs w:val="28"/>
          <w:rtl w:val="true"/>
          <w:lang w:bidi="ar-SA"/>
        </w:rPr>
        <w:t>الكرّ على المشهور من كافّة النجاسات كمّاً و كيفاً و استعمالًا، إلّا إذا تغيّر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حيث تبيّن فساده، يظهر انفعال القليل العرفيّ بالقليل، و عدم انفعال الكثير المعتنى به و لو كان خمسمائة رطل أو خمسة و عشرين شبراً بالكثير المذكور إنظاره في الأخبار</w:t>
      </w:r>
      <w:r>
        <w:rPr>
          <w:rFonts w:eastAsia="Amiri" w:cs="Amiri" w:ascii="Amiri" w:hAnsi="Amiri"/>
          <w:color w:val="111111"/>
          <w:sz w:val="28"/>
          <w:szCs w:val="28"/>
          <w:rtl w:val="true"/>
          <w:lang w:bidi="ar-SA"/>
        </w:rPr>
        <w:t>.</w:t>
      </w:r>
      <w:bookmarkStart w:id="66" w:name="pg12366_122930"/>
    </w:p>
    <w:p>
      <w:pPr>
        <w:pStyle w:val="Heading4"/>
        <w:numPr>
          <w:ilvl w:val="3"/>
          <w:numId w:val="1"/>
        </w:numPr>
        <w:rPr/>
      </w:pPr>
      <w:bookmarkStart w:id="67" w:name="__RefHeading___Toc8895961_417432637"/>
      <w:bookmarkStart w:id="68" w:name="_Toc24"/>
      <w:bookmarkEnd w:id="66"/>
      <w:bookmarkEnd w:id="67"/>
      <w:r>
        <w:rPr>
          <w:rtl w:val="true"/>
        </w:rPr>
        <w:t>[</w:t>
      </w:r>
      <w:r>
        <w:rPr>
          <w:rtl w:val="true"/>
        </w:rPr>
        <w:t xml:space="preserve">مسألة </w:t>
      </w:r>
      <w:r>
        <w:rPr/>
        <w:t>15</w:t>
      </w:r>
      <w:r>
        <w:rPr>
          <w:rtl w:val="true"/>
        </w:rPr>
        <w:t xml:space="preserve">: </w:t>
      </w:r>
      <w:r>
        <w:rPr>
          <w:rtl w:val="true"/>
        </w:rPr>
        <w:t>الماء المشكوك كرّيّته إن علم حالته السابقة، يبني على تلك الحالة</w:t>
      </w:r>
      <w:r>
        <w:rPr>
          <w:rtl w:val="true"/>
        </w:rPr>
        <w:t>]</w:t>
      </w:r>
      <w:bookmarkEnd w:id="6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المشكوك كرّيّته إن علم حالته السابقة، يبني على تلك الحالة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تنجّسه بالملاقاة،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القلّة و الكثرة؛ نظراً إلى الاستصحاب الموضوعيّ، أو استصحاب اعتصامه و انفعاله من غير أن يرجع إلى التعليقيّ، و لو كان منشأ الشبهة مفهوميّاً كما هو الأكثر على ما سلكناه فالأصل غير 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كان الماء الكثير السابق خارجاً عن المتعارف كثرةً، ثمّ في ظرف الشكّ يشكل جريانه؛ لاختلاف موضوعي ظرف اليقين و الشكّ،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حاشية المصنّف إشارة إلى الصورة الأخيرة</w:t>
      </w:r>
      <w:r>
        <w:rPr>
          <w:rStyle w:val="FootnoteAnchor"/>
          <w:rtl w:val="true"/>
        </w:rPr>
        <w:footnoteReference w:id="228"/>
      </w:r>
      <w:r>
        <w:rPr>
          <w:rFonts w:ascii="Amiri" w:hAnsi="Amiri" w:eastAsia="Amiri" w:cs="Amiri"/>
          <w:color w:val="111111"/>
          <w:sz w:val="28"/>
          <w:sz w:val="28"/>
          <w:szCs w:val="28"/>
          <w:rtl w:val="true"/>
          <w:lang w:bidi="ar-SA"/>
        </w:rPr>
        <w:t>ظاهراً، فينافي إطلاق كلامه هنا،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نظراً إلى قصور الأدلّة الناهضة عن تنجّسه، و قد مرّ الكلام في الجاري المشكوك اتّصاله بالمادّة</w:t>
      </w:r>
      <w:r>
        <w:rPr>
          <w:rStyle w:val="FootnoteAnchor"/>
          <w:rtl w:val="true"/>
        </w:rPr>
        <w:footnoteReference w:id="229"/>
      </w:r>
      <w:r>
        <w:rPr>
          <w:rFonts w:ascii="Amiri" w:hAnsi="Amiri" w:eastAsia="Amiri" w:cs="Amiri"/>
          <w:color w:val="111111"/>
          <w:sz w:val="28"/>
          <w:sz w:val="28"/>
          <w:szCs w:val="28"/>
          <w:rtl w:val="true"/>
          <w:lang w:bidi="ar-SA"/>
        </w:rPr>
        <w:t>، و هذا من غير فرق بين أن تكون الكرّية مانعة، أو شرطاً لعدم الانفعال</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مستند القول بطهارته، ليس قاعدة الطهارة، بل هو</w:t>
      </w:r>
    </w:p>
    <w:p>
      <w:pPr>
        <w:pStyle w:val="BookText"/>
        <w:rPr/>
      </w:pPr>
      <w:r>
        <w:rPr>
          <w:rFonts w:ascii="Amiri" w:hAnsi="Amiri" w:eastAsia="Amiri" w:cs="Amiri"/>
          <w:color w:val="111111"/>
          <w:sz w:val="28"/>
          <w:sz w:val="28"/>
          <w:szCs w:val="28"/>
          <w:rtl w:val="true"/>
          <w:lang w:bidi="ar-SA"/>
        </w:rPr>
        <w:t xml:space="preserve">و إن لم يجرِ عليه سائر أحكام الكرّ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الإطلاق الحاكم بطهوريّة الماء؛ لما تحرّر منّا جواز التمسّك بالعامّ في الشبهة المصداقيّة</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في 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الاعتصام، إشكال محرّر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المفروض مجرّد فرض؛ فإنّ الماء يخلق تدريجاً، فهو في غير محلّه،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أحكام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الأقوال في هذا الماء بين طهارته و مطهّريته، و نجاسته، و طهارته دون مطهّريته، و لكلّ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نجاسته، فقد مرّ وجهها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طهارته دون مطهّريته بإيلاج المتنجّس فيه؛ فلاستصحاب بقاء نجاسة المتنجّس، ضرورة أنّه في صورة كونه قليلًا ينجس و لا يطهر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تطهّر به؛ بإيراد الماء على المتنجّس، فلا بأس به، إلّا إذا كان بعد ملاقاة النجاسة، فإنّ قاعدة الطهارة لا يثبت بها إلّا طهارته، و أمّا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يثبت بها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وجه جريان سائر الأحكام و مطهّريته، فهو بين ما يكون عرفيّاً؛ نظراً إلى الملازمة العرفيّة الموجودة بين المتشرّعة، لأنّ الغسل بما</w:t>
      </w:r>
    </w:p>
    <w:p>
      <w:pPr>
        <w:pStyle w:val="BookText"/>
        <w:rPr/>
      </w:pPr>
      <w:r>
        <w:rPr>
          <w:rFonts w:ascii="Amiri" w:hAnsi="Amiri" w:eastAsia="Amiri" w:cs="Amiri"/>
          <w:color w:val="111111"/>
          <w:sz w:val="28"/>
          <w:sz w:val="28"/>
          <w:szCs w:val="28"/>
          <w:rtl w:val="true"/>
          <w:lang w:bidi="ar-SA"/>
        </w:rPr>
        <w:t>لا ينفعل شرعاً و لو ظاهراً 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سخافته؛ ضرورة أنّ عدم الانفعال من تبعات الكرّ أو الكثرة، و ليس هو في نفسه حكماً وضعيّاً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صناعيّاً؛ نظراً إلى جواز التمسّك بالعامّ في الشبهة المصداقيّة، و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الاعتصام و المطهّرية و لو بورود النجس عليه، و فيه ما مرّ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العموم الّذي يتمسّك به لطهارة المشكوك الكرّية، هو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الماء طهوراً </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و العمومَ الّذي يتمسّك به للنجاسة، هو العموم المستفاد من أخبار الكرّ؛ و أنّ الماء ينجس إلّا في صورة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يظهر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تمسّك القوم للنجاسة في المسألة بذلك العموم غير صحيح؛ و ذلك لأنّ نفس أخبار الكرّ عمومها مذيّل بالاستثناء</w:t>
      </w:r>
      <w:r>
        <w:rPr>
          <w:rStyle w:val="FootnoteAnchor"/>
          <w:rtl w:val="true"/>
        </w:rPr>
        <w:footnoteReference w:id="233"/>
      </w:r>
      <w:r>
        <w:rPr>
          <w:rFonts w:ascii="Amiri" w:hAnsi="Amiri" w:eastAsia="Amiri" w:cs="Amiri"/>
          <w:color w:val="111111"/>
          <w:sz w:val="28"/>
          <w:sz w:val="28"/>
          <w:szCs w:val="28"/>
          <w:rtl w:val="true"/>
          <w:lang w:bidi="ar-SA"/>
        </w:rPr>
        <w:t>، فلا تكون المسألة من صغريات التمسّك بالعامّ في الشبهة المصداقيّة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العموم المنفصل، فلا يوجد على ما ببالي عجالة في أخبارنا، بل الأمر بالعكس، كما أُشير إليه، فما في كتب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غير محلّه، فليلاحظ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يتوهّم التفكيك بين أحكامه؛ ففي مثل تطهير الماء المتنجّس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بطهارة الماء الملقى عليه بعد إلقاء ذلك المشكوك، و أمّا في غيره فلا؛ و ذلك إمّا لكونه من النجس المتمّم كرّاً بالطاهر، أو لما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الماء الواحد ليس ذا حكمين بالإجماع؛ نظراً إلى أنّ استصحاب نجاسة الماء الملقى عليه و طهارةَ ما القي متساقطان، فتصل النوبة إلى قاعدة الطهارة</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صارا واحداً فلا محطّ للاستصحاب، و لو بقيا على شخصيّتهما فلا إجماع؛ لكونه لبّياً، و قدر تيقّنه على فرض أصل وجوده صورة الوحدة الاستهلاكيّة، فاغتنم</w:t>
      </w:r>
      <w:r>
        <w:rPr>
          <w:rFonts w:eastAsia="Amiri" w:cs="Amiri" w:ascii="Amiri" w:hAnsi="Amiri"/>
          <w:color w:val="111111"/>
          <w:sz w:val="28"/>
          <w:szCs w:val="28"/>
          <w:rtl w:val="true"/>
          <w:lang w:bidi="ar-SA"/>
        </w:rPr>
        <w:t>.</w:t>
      </w:r>
      <w:bookmarkStart w:id="69" w:name="pg12366_122934"/>
    </w:p>
    <w:p>
      <w:pPr>
        <w:pStyle w:val="Heading4"/>
        <w:numPr>
          <w:ilvl w:val="3"/>
          <w:numId w:val="1"/>
        </w:numPr>
        <w:rPr/>
      </w:pPr>
      <w:bookmarkStart w:id="70" w:name="__RefHeading___Toc8895963_417432637"/>
      <w:bookmarkStart w:id="71" w:name="_Toc25"/>
      <w:bookmarkEnd w:id="69"/>
      <w:bookmarkEnd w:id="70"/>
      <w:r>
        <w:rPr>
          <w:rtl w:val="true"/>
        </w:rPr>
        <w:t>[</w:t>
      </w:r>
      <w:r>
        <w:rPr>
          <w:rtl w:val="true"/>
        </w:rPr>
        <w:t xml:space="preserve">مسألة </w:t>
      </w:r>
      <w:r>
        <w:rPr/>
        <w:t>16</w:t>
      </w:r>
      <w:r>
        <w:rPr>
          <w:rtl w:val="true"/>
        </w:rPr>
        <w:t xml:space="preserve">: </w:t>
      </w:r>
      <w:r>
        <w:rPr>
          <w:rtl w:val="true"/>
        </w:rPr>
        <w:t>إذا كان الماء قليلًا فصار كرّاً</w:t>
      </w:r>
      <w:r>
        <w:rPr>
          <w:rtl w:val="true"/>
        </w:rPr>
        <w:t>]</w:t>
      </w:r>
      <w:bookmarkEnd w:id="7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الماء قليلًا فصار كرّاً، و قد علم ملاقاته للنجاسة، و لم يعلم سبق الملاقاة على الكرّية أو العكس، يحكم بطهارته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المعروف بين المتعرّضين للمسألة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بالاحتياط</w:t>
      </w:r>
      <w:r>
        <w:rPr>
          <w:rStyle w:val="FootnoteAnchor"/>
          <w:rtl w:val="true"/>
        </w:rPr>
        <w:footnoteReference w:id="236"/>
      </w:r>
      <w:r>
        <w:rPr>
          <w:rFonts w:ascii="Amiri" w:hAnsi="Amiri" w:eastAsia="Amiri" w:cs="Amiri"/>
          <w:color w:val="111111"/>
          <w:sz w:val="28"/>
          <w:sz w:val="28"/>
          <w:szCs w:val="28"/>
          <w:rtl w:val="true"/>
          <w:lang w:bidi="ar-SA"/>
        </w:rPr>
        <w:t>، بل و بالنجاسة</w:t>
      </w:r>
      <w:r>
        <w:rPr>
          <w:rStyle w:val="FootnoteAnchor"/>
          <w:rtl w:val="true"/>
        </w:rPr>
        <w:footnoteReference w:id="237"/>
      </w:r>
      <w:r>
        <w:rPr>
          <w:rFonts w:ascii="Amiri" w:hAnsi="Amiri" w:eastAsia="Amiri" w:cs="Amiri"/>
          <w:color w:val="111111"/>
          <w:sz w:val="28"/>
          <w:sz w:val="28"/>
          <w:szCs w:val="28"/>
          <w:rtl w:val="true"/>
          <w:lang w:bidi="ar-SA"/>
        </w:rPr>
        <w:t>و ذلك إمّا لأجل عدم جريان الاستصحابين ذاتاً في مجهولي التأريخ خلافاً للتحقيق، أو لجريانهما و سقوطهما بالمعارضة، على إشكال يأتي الإيماء إليه</w:t>
      </w:r>
      <w:r>
        <w:rPr>
          <w:rStyle w:val="FootnoteAnchor"/>
          <w:rtl w:val="true"/>
        </w:rPr>
        <w:footnoteReference w:id="238"/>
      </w:r>
      <w:r>
        <w:rPr>
          <w:rFonts w:ascii="Amiri" w:hAnsi="Amiri" w:eastAsia="Amiri" w:cs="Amiri"/>
          <w:color w:val="111111"/>
          <w:sz w:val="28"/>
          <w:sz w:val="28"/>
          <w:szCs w:val="28"/>
          <w:rtl w:val="true"/>
          <w:lang w:bidi="ar-SA"/>
        </w:rPr>
        <w:t>، و عندئذٍ نحتاج في الطهارة إلى إحراز كريّته حين الملاقاة؛ لحكم العقلاء، أو لأنّه في خصوص ما نحن فيه و أمثاله، لا بدّ من إحراز المانع؛ نظراً إلى الأدلّة، لأنّ الحكم بعدم الانفعال معلّق على أمر وجوديّ، و قد تحرّر في الأُصول</w:t>
      </w:r>
      <w:r>
        <w:rPr>
          <w:rStyle w:val="FootnoteAnchor"/>
          <w:rtl w:val="true"/>
        </w:rPr>
        <w:footnoteReference w:id="239"/>
      </w:r>
      <w:r>
        <w:rPr>
          <w:rFonts w:ascii="Amiri" w:hAnsi="Amiri" w:eastAsia="Amiri" w:cs="Amiri"/>
          <w:color w:val="111111"/>
          <w:sz w:val="28"/>
          <w:sz w:val="28"/>
          <w:szCs w:val="28"/>
          <w:rtl w:val="true"/>
          <w:lang w:bidi="ar-SA"/>
        </w:rPr>
        <w:t xml:space="preserve">فساد التوهّمين و لو كانا من العلّامتين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يحكم بالطهارة، إلّا أنّ دليله استصحابها لا القاعدة؛ ضرورة أنّ الاستصحاب الساقط بالمعارضة، غير استصحاب طهارة الماء المفروضة، فلا تختلط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المناقشة في جريان استصحاب عدم الملاقاة إلى عصر وجود الكرّية لما لا أثر له إلّا عقلًا؛ فإنّ نفي السبب و الموضوع لأجل نفي الأثر من الأحكام العقليّة، إلّا أنّ بناءهم على جريانه، و لا تنحلّ المشكلة إلّا بما تحرّر منّا؛ من حجّية الأُصول المثبتة</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منع جريانهما ذاتاً؛ لأجل انصراف دليل الاستصحاب، دون حديث عدم اتصال زمان الشكّ باليقين، فإنّه من الغرائب الواقعة في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و غيره</w:t>
      </w:r>
      <w:r>
        <w:rPr>
          <w:rStyle w:val="FootnoteAnchor"/>
          <w:rtl w:val="true"/>
        </w:rPr>
        <w:footnoteReference w:id="243"/>
      </w:r>
      <w:r>
        <w:rPr>
          <w:rFonts w:ascii="Amiri" w:hAnsi="Amiri" w:eastAsia="Amiri" w:cs="Amiri"/>
          <w:color w:val="111111"/>
          <w:sz w:val="28"/>
          <w:sz w:val="28"/>
          <w:szCs w:val="28"/>
          <w:rtl w:val="true"/>
          <w:lang w:bidi="ar-SA"/>
        </w:rPr>
        <w:t>، و التفصيل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صورتي جهالة تأريخهما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صورة العلم بتأريخ الكرّية؛ و أنّها حدثت أوّل الزوال مثلًا، فاستصحاب عدم الملاقاة إلى الزوال يستلزم عدم النجاسة؛ نظراً إلى نفي المسبّب أو الحكم بنفي السبب أو الموضوع، و قد أُشير إلى ما فيه على مسلكهم، و لكن لا وجه لنجاسة الماء بعد جريان قاعدة الطهارة بل و استصحابها كما عرفت وجهاً يعتدّ به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إجراء أحكام الكرّ عليه مشكل؛ لأنّ الكرّ الموضوع</w:t>
      </w:r>
    </w:p>
    <w:p>
      <w:pPr>
        <w:pStyle w:val="BookText"/>
        <w:rPr/>
      </w:pPr>
      <w:r>
        <w:rPr>
          <w:rFonts w:ascii="Amiri" w:hAnsi="Amiri" w:eastAsia="Amiri" w:cs="Amiri"/>
          <w:color w:val="111111"/>
          <w:sz w:val="28"/>
          <w:sz w:val="28"/>
          <w:szCs w:val="28"/>
          <w:rtl w:val="true"/>
          <w:lang w:bidi="ar-SA"/>
        </w:rPr>
        <w:t>لأحكامه، هو الّذي لم يتنجّس و صار كرّاً، فيكون الموضوع مقيّداً، و لا يحرز ذلك بالاستصحاب أو القاعدة، إلّا 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سريان القيود الثبوتيّة و اللبّية إلى الإثبات، كما هو الحقّ، فسلب الملاقاة كافٍ، و لا نحتاج إلى إحراز القيد اللّبّي، كما حرّرناه في أمثاله</w:t>
      </w:r>
      <w:r>
        <w:rPr>
          <w:rStyle w:val="FootnoteAnchor"/>
          <w:rtl w:val="true"/>
        </w:rPr>
        <w:footnoteReference w:id="244"/>
      </w:r>
      <w:r>
        <w:rPr>
          <w:rFonts w:ascii="Amiri" w:hAnsi="Amiri" w:eastAsia="Amiri" w:cs="Amiri"/>
          <w:color w:val="111111"/>
          <w:sz w:val="28"/>
          <w:sz w:val="28"/>
          <w:szCs w:val="28"/>
          <w:rtl w:val="true"/>
          <w:lang w:bidi="ar-SA"/>
        </w:rPr>
        <w:t>، و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بحث المرأة غير القرشيّة و حديث غير المذكى و أمثاله، غير واقع في محلّه؛ لأنّ العامّ الأوّلي لا ينفى إثباتاً، و العبرة بذلك، دون الثبوت و اللّب المجهول كيفيّة ورود القيد عليه، المحتمل فيه أزيد من عشرة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صورة كون الدليل المنفصل المتضمّن للقيد، ناظراً إلى العامّ في محيط التقنين، يسري القيد إليه عرفاً، و ليلاحظ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عندئذٍ تختلف صور مجهولي التأريخ، كما تختلف صور معلوم التأريخ و مجهوله، فإنّه ربّما يوجب جهالة أحدهما جهالةً في معلوم التأريخ بالقياس و النسبة، فتندرج في مجهولي التأريخ بحسب جريان الاستصحاب</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لا ينبغي اختفاؤه، أنّه كما يعارض استصحاب العدم النعتي العدم النعتي الآخر في مجهولي التأريخ مثلًا، يعارض عدمه الأزليّ في عَرْض ذلك، فتوهّم سقوط العدمين النعتيّين، و جريانِ العدم الأزليّ، في</w:t>
      </w:r>
    </w:p>
    <w:p>
      <w:pPr>
        <w:pStyle w:val="BookText"/>
        <w:rPr/>
      </w:pPr>
      <w:r>
        <w:rPr>
          <w:rFonts w:ascii="Amiri" w:hAnsi="Amiri" w:eastAsia="Amiri" w:cs="Amiri"/>
          <w:color w:val="111111"/>
          <w:sz w:val="28"/>
          <w:sz w:val="28"/>
          <w:szCs w:val="28"/>
          <w:rtl w:val="true"/>
          <w:lang w:bidi="ar-SA"/>
        </w:rPr>
        <w:t xml:space="preserve">إلّا إذا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الملاقاة دون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كرّاً فصار قليلًا، و قد علم ملاقاته للنجاسة، و لم يعلم سبق الملاقاة على القلّة أو العكس، فالظاهر الحكم بطهارته مطلقاً؛ غير محلّه، و التفصيل في الأُصول</w:t>
      </w:r>
      <w:r>
        <w:rPr>
          <w:rStyle w:val="FootnoteAnchor"/>
          <w:rtl w:val="true"/>
        </w:rPr>
        <w:footnoteReference w:id="245"/>
      </w:r>
      <w:r>
        <w:rPr>
          <w:rFonts w:ascii="Amiri" w:hAnsi="Amiri" w:eastAsia="Amiri" w:cs="Amiri"/>
          <w:color w:val="111111"/>
          <w:sz w:val="28"/>
          <w:sz w:val="28"/>
          <w:szCs w:val="28"/>
          <w:rtl w:val="true"/>
          <w:lang w:bidi="ar-SA"/>
        </w:rPr>
        <w:t>و في كتابنا الكبير</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إذا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المعروف بينهم، و احتاط بعضهم</w:t>
      </w:r>
      <w:r>
        <w:rPr>
          <w:rStyle w:val="FootnoteAnchor"/>
          <w:rtl w:val="true"/>
        </w:rPr>
        <w:footnoteReference w:id="247"/>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بالطهارة</w:t>
      </w:r>
      <w:r>
        <w:rPr>
          <w:rStyle w:val="FootnoteAnchor"/>
          <w:rtl w:val="true"/>
        </w:rPr>
        <w:footnoteReference w:id="248"/>
      </w:r>
      <w:r>
        <w:rPr>
          <w:rFonts w:ascii="Amiri" w:hAnsi="Amiri" w:eastAsia="Amiri" w:cs="Amiri"/>
          <w:color w:val="111111"/>
          <w:sz w:val="28"/>
          <w:sz w:val="28"/>
          <w:szCs w:val="28"/>
          <w:rtl w:val="true"/>
          <w:lang w:bidi="ar-SA"/>
        </w:rPr>
        <w:t>، و قد تبيّن وجه القول بالنجاسة؛ لعدم المعارضة، أو لم يكن الاستصحاب جارياً؛ لكونه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الأنسب استصحاب طهارة الماء، و عندئذٍ لا يترتّب عليه أحكام الكرّ، كما مرّ وَ مرّ وجه ترتّبه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وجه الطهارة و الاحتياط، فهو أنّ مجرّد عدم وقوع الكرّية إلى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حصلت فيه الملاقاة غير كافٍ؛ لأنّ موضوع النجاسة ليس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ليس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بإحراز ملاقاة النجس لما لا يكون كرّاً إلى الزوال، بل موضوعه القليل، و هو غير ثابت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كان الموضوع هو العنوان المذكور، فلا إطلاق لأدلّة الكرّ مفهوماً حسب التحقيق، و ما له الإطلاق موضوعه العنوان الآخر، فما ترى من استصحاب عدم الكرّيّة إلى زمان علم فيه تأريخ الملاقاة</w:t>
      </w:r>
      <w:r>
        <w:rPr>
          <w:rStyle w:val="FootnoteAnchor"/>
          <w:rtl w:val="true"/>
        </w:rPr>
        <w:footnoteReference w:id="249"/>
      </w:r>
      <w:r>
        <w:rPr>
          <w:rFonts w:ascii="Amiri" w:hAnsi="Amiri" w:eastAsia="Amiri" w:cs="Amiri"/>
          <w:color w:val="111111"/>
          <w:sz w:val="28"/>
          <w:sz w:val="28"/>
          <w:szCs w:val="28"/>
          <w:rtl w:val="true"/>
          <w:lang w:bidi="ar-SA"/>
        </w:rPr>
        <w:t>، غير تامّ، فلا وجه لنجاسته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أُشير إليه ظهر وجه الاحتياط؛ و هو أنّ لأدلّة الكرّ مفهوماً ذا إطلاق احتمالًا قويّاً، فما ليس بكرّ ينفعل بالملاقاة، أو لأنّ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ليس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عرفاً في محيط الأدلّة الاجتهاديّة، فيثبت المطلوب من غير أن يلزم كونه مثبتاً، و حيث أنّه أمر غير واضح فلا بدّ من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الأشبه بالقواعد هو الطهارة، و عدم ترتّب أحكام الكرّية، و لكن حيث عرفت عدم سراية القيد المنفصل إلى المطلق أو العامّ إثباتاً، يمكن ترتيب أحكامها عليه أيضاً، و المسألة لا تخلو عن عمق، فلا تغفل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يتوهّم معارضة استصحاب عدم الكرّية إلى الزوال، باستصحاب عدم تحقّق الملاقاة الّتي توجب النجاسة؛ فإنّ ما هو المعلوم هي ملاقاة النجس مع الماء في أوّل الزوال، إلّا أنّ الملاقاة لها الأحوال، و ما هي المفيدة هي الملاقاة الموجبة لسراية النجاسة إلى الماء، و هي مقيّدةً بذلك القيد مشكوكةٌ؛ لاحتمال كون الماء كرّاً، و استصحاب عدم الكرّية</w:t>
      </w:r>
    </w:p>
    <w:p>
      <w:pPr>
        <w:pStyle w:val="BookText"/>
        <w:rPr/>
      </w:pPr>
      <w:r>
        <w:rPr>
          <w:rFonts w:ascii="Amiri" w:hAnsi="Amiri" w:eastAsia="Amiri" w:cs="Amiri"/>
          <w:color w:val="111111"/>
          <w:sz w:val="28"/>
          <w:sz w:val="28"/>
          <w:szCs w:val="28"/>
          <w:rtl w:val="true"/>
          <w:lang w:bidi="ar-SA"/>
        </w:rPr>
        <w:t xml:space="preserve">حتّى فيما إذا علم تأريخ القلّة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ما بعد الزوال، لا يحرز القيد المذكور إلّا على القول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عندنا معتبر تبعاً للأشهَر بين السلف أنّه لا يكون الأصل مثبتاً؛ و ذلك لأنّ القيد المذكور مجرّد تخيّل من مقايسة الأدلّة في مرحلة الثبوت و اللبّ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المزبور ناشئ عن الشكّ في الكرّية في أوّل الزوال، فيكفي الثاني لرفع الأوّل، فهو في غير محلّه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تأريخ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المسألة أيضاً وجوه، تبيّن وجه الكلّ ممّا مضى في الصّور الثلاث؛ فإنّ في مجهولي التأريخين يتعارض الاستصحابان، فتصل النوبة إلى استصحاب الطهارة أو قاعدتها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الأصل المقتضي لتأخّر زوال الكرّية عن الملاقاة، المنتهى إلى نجاسة الماء، معارضاً للأصل الجاري في رتبته و لاستصحاب طهارة الماء و لقاعدتها، فما مرّ منّا و اشتهر بين أبناء التحصيل غير صحيح؛ ضرورة أنّ ما مع المتقدّم ليس بمتقدّم، فيعارض الأصل المذكور تلك الأُصول الثلاثة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عدم جريان استصحاب الكرّية؛ لأنّ ما هو المجعول في الشرع؛ هو تنجّس القليل، و أمّا اعتصام الكثير فلا تناله يد الجعل، بل هو</w:t>
      </w:r>
    </w:p>
    <w:p>
      <w:pPr>
        <w:pStyle w:val="BookText"/>
        <w:rPr/>
      </w:pPr>
      <w:r>
        <w:rPr>
          <w:rFonts w:ascii="Amiri" w:hAnsi="Amiri" w:eastAsia="Amiri" w:cs="Amiri"/>
          <w:color w:val="111111"/>
          <w:sz w:val="28"/>
          <w:sz w:val="28"/>
          <w:szCs w:val="28"/>
          <w:rtl w:val="true"/>
          <w:lang w:bidi="ar-SA"/>
        </w:rPr>
        <w:t>أمر واقعيّ، فلا معارض لاستصحاب عدم الملاقاة إلى زمان القلّة، فتثبت النجاسة؛ لأنّ أصل الملاقاة 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ينعكس الأمر، بدعوى جريان استصحاب بقاء الكرّية إلى زمان الملاقاة، دون معارضة؛ لأنّه 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التعبّد بعدم الملاقاة غير كافٍ، إلّا بلحاظ نفي عدم التنجّس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جريان الأصل في سبب النجاسة بالتعبّد بعدمه لعدم الحكم الّذي هو أيضاً عدميّ إشكال؛ لأنّ عدم التنجّس لعدم الكثير، ليس مجعولًا شرعاً و إن أمكن في الاعتبار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يظهر وجه صورتي معلومي التأريخ، سواء كان هو القلّة أم الملاقاة، و قد اشتهر نجاسته في صورة العلم بتأريخ القلّة؛ نظراً إلى تأخّر الحادث و هي الملاقاة، إلّا أنّ ذاتها ليست ذات أثر إلّا باعتبار موجبيّتها لنجاسة الماء، فالتعبّد بالسبب لا يكفي لترتّب آثاره، بخلاف الموضوع و الحكم، فتأمّل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يخطر بالبال قصور أدلّة الاستصحاب عن شمول هذه الموارد الّتي نقضت باليقين اللاحق؛ فإنّ إطلاق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ما نحن فيه، و لو لزم الإجمال بين الصّدر و الذّيل في بعض الأخبار، يشكل التمسّك بإطلاق سائر الأخبار؛ لسرايته إليها لأجل كونه ناظراً إليها، كما حرّرناه في الأُصول،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عرفت وجه المناقشة في جواز ترتيب آثار الكرّية و لو كان طاهراً بالاستصحاب أو بالقاعدة في بعض الصور الّتي يمكن، مثل الصورة الاولى من الصور الثلاث</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مفروض مسائل المتن صور السبق و اللّحوق، و أمّا صور احتمال الاقتران بين حدوثهما بحسب الزمان، فلها جهات مذكورة في كتابنا الكبير</w:t>
      </w:r>
      <w:r>
        <w:rPr>
          <w:rStyle w:val="FootnoteAnchor"/>
          <w:rtl w:val="true"/>
        </w:rPr>
        <w:footnoteReference w:id="250"/>
      </w:r>
      <w:r>
        <w:rPr>
          <w:rFonts w:ascii="Amiri" w:hAnsi="Amiri" w:eastAsia="Amiri" w:cs="Amiri"/>
          <w:color w:val="111111"/>
          <w:sz w:val="28"/>
          <w:sz w:val="28"/>
          <w:szCs w:val="28"/>
          <w:rtl w:val="true"/>
          <w:lang w:bidi="ar-SA"/>
        </w:rPr>
        <w:t>لاختلاف آثارها و أحكامها</w:t>
      </w:r>
      <w:r>
        <w:rPr>
          <w:rFonts w:eastAsia="Amiri" w:cs="Amiri" w:ascii="Amiri" w:hAnsi="Amiri"/>
          <w:color w:val="111111"/>
          <w:sz w:val="28"/>
          <w:szCs w:val="28"/>
          <w:rtl w:val="true"/>
          <w:lang w:bidi="ar-SA"/>
        </w:rPr>
        <w:t>.</w:t>
      </w:r>
      <w:bookmarkStart w:id="72" w:name="pg12366_122942"/>
    </w:p>
    <w:p>
      <w:pPr>
        <w:pStyle w:val="Heading4"/>
        <w:numPr>
          <w:ilvl w:val="3"/>
          <w:numId w:val="1"/>
        </w:numPr>
        <w:rPr/>
      </w:pPr>
      <w:bookmarkStart w:id="73" w:name="__RefHeading___Toc8895965_417432637"/>
      <w:bookmarkStart w:id="74" w:name="_Toc26"/>
      <w:bookmarkEnd w:id="72"/>
      <w:bookmarkEnd w:id="73"/>
      <w:r>
        <w:rPr>
          <w:rtl w:val="true"/>
        </w:rPr>
        <w:t>[</w:t>
      </w:r>
      <w:r>
        <w:rPr>
          <w:rtl w:val="true"/>
        </w:rPr>
        <w:t xml:space="preserve">مسألة </w:t>
      </w:r>
      <w:r>
        <w:rPr/>
        <w:t>17</w:t>
      </w:r>
      <w:r>
        <w:rPr>
          <w:rtl w:val="true"/>
        </w:rPr>
        <w:t xml:space="preserve">: </w:t>
      </w:r>
      <w:r>
        <w:rPr>
          <w:rtl w:val="true"/>
        </w:rPr>
        <w:t>ماء المطر حال نزوله من السماء كالجاري</w:t>
      </w:r>
      <w:r>
        <w:rPr>
          <w:rtl w:val="true"/>
        </w:rPr>
        <w:t>]</w:t>
      </w:r>
      <w:bookmarkEnd w:id="7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المطر حال نزوله من السماء كالجاري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ينجس ما لم يتغيّر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اعتبار كونه بمقدار يجري على الأرض الصلبة، و إن كان كفاية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ماء المطر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وصل إلينا من السلف، و فيه ما لا يخفى، إلّا أنّ مرادهم معلوم؛ و هو أنّ ماء المطر الموجود في الأرض و غيرها من الأواني كالجاري، إذا كان يتقاطر و ينزل و تمطر السماء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لا شبهة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ماء المطر هو القدر المتيقّن من الكتاب</w:t>
      </w:r>
      <w:r>
        <w:rPr>
          <w:rStyle w:val="FootnoteAnchor"/>
          <w:rtl w:val="true"/>
        </w:rPr>
        <w:footnoteReference w:id="251"/>
      </w:r>
      <w:r>
        <w:rPr>
          <w:rFonts w:ascii="Amiri" w:hAnsi="Amiri" w:eastAsia="Amiri" w:cs="Amiri"/>
          <w:color w:val="111111"/>
          <w:sz w:val="28"/>
          <w:sz w:val="28"/>
          <w:szCs w:val="28"/>
          <w:rtl w:val="true"/>
          <w:lang w:bidi="ar-SA"/>
        </w:rPr>
        <w:t>، فهو طهور بالضرورة، و إنّما الاختلاف في إطلاقه و قيوده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هو الغامض في المسألة، و هي مشكلتنا في هذا المقام؛ أنّ قضيّة طائفة من الأخبار معتضدة بذهاب الأكثر إليها، عدمُ اعتبار شي‌ء أزيد من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مرسلة الكاهليّ التي توهّم انجبارها بعمل الأصحاب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يراه ماء المطر فقد طهر</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مصحّح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ما أصابه من الماء أكثر منه</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أصرح من هاتين الروايتين في كفاية مطلق المطر، ما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الكنيف يكون خارجاً، فتمطر السماء، فتقطر عليّ القطرة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الطائفة الثانية اشتراط الجريان</w:t>
      </w:r>
      <w:r>
        <w:rPr>
          <w:rStyle w:val="FootnoteAnchor"/>
          <w:rtl w:val="true"/>
        </w:rPr>
        <w:footnoteReference w:id="255"/>
      </w:r>
      <w:r>
        <w:rPr>
          <w:rFonts w:ascii="Amiri" w:hAnsi="Amiri" w:eastAsia="Amiri" w:cs="Amiri"/>
          <w:color w:val="111111"/>
          <w:sz w:val="28"/>
          <w:sz w:val="28"/>
          <w:szCs w:val="28"/>
          <w:rtl w:val="true"/>
          <w:lang w:bidi="ar-SA"/>
        </w:rPr>
        <w:t xml:space="preserve">، و منها معتبر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البيت يبال على ظهره، و يغتسل من الجنابة، ثمّ يصيبه المطر، أ يؤخذ من مائه فيتوضّأ به للصلاة؟</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جرى فلا بأس به</w:t>
      </w:r>
      <w:r>
        <w:rPr>
          <w:rFonts w:eastAsia="IRNazanin" w:cs="IRNazanin"/>
          <w:color w:val="111111"/>
          <w:sz w:val="28"/>
          <w:szCs w:val="28"/>
          <w:rtl w:val="true"/>
          <w:lang w:bidi="fa-IR"/>
        </w:rPr>
        <w:t>»</w:t>
      </w:r>
      <w:r>
        <w:rPr>
          <w:rStyle w:val="FootnoteAnchor"/>
          <w:rtl w:val="true"/>
        </w:rPr>
        <w:footnoteReference w:id="256"/>
      </w:r>
      <w:r>
        <w:rPr>
          <w:rFonts w:ascii="Amiri" w:hAnsi="Amiri" w:eastAsia="Amiri" w:cs="Amiri"/>
          <w:color w:val="111111"/>
          <w:sz w:val="28"/>
          <w:sz w:val="28"/>
          <w:szCs w:val="28"/>
          <w:rtl w:val="true"/>
          <w:lang w:bidi="ar-SA"/>
        </w:rPr>
        <w:t>و تشبهه الروايتان</w:t>
      </w:r>
    </w:p>
    <w:p>
      <w:pPr>
        <w:pStyle w:val="BookText"/>
        <w:rPr/>
      </w:pPr>
      <w:r>
        <w:rPr>
          <w:rFonts w:ascii="Amiri" w:hAnsi="Amiri" w:eastAsia="Amiri" w:cs="Amiri"/>
          <w:color w:val="111111"/>
          <w:sz w:val="28"/>
          <w:sz w:val="28"/>
          <w:szCs w:val="28"/>
          <w:rtl w:val="true"/>
          <w:lang w:bidi="ar-SA"/>
        </w:rPr>
        <w:t>الأُخريان</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أخذ كلّ مهرباً للجمع، و لم يأت به أحد إلّا من أخذ بهما،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الجريان، كما هو المحكيّ</w:t>
      </w:r>
      <w:r>
        <w:rPr>
          <w:rStyle w:val="FootnoteAnchor"/>
          <w:rtl w:val="true"/>
        </w:rPr>
        <w:footnoteReference w:id="258"/>
      </w:r>
      <w:r>
        <w:rPr>
          <w:rFonts w:ascii="Amiri" w:hAnsi="Amiri" w:eastAsia="Amiri" w:cs="Amiri"/>
          <w:color w:val="111111"/>
          <w:sz w:val="28"/>
          <w:sz w:val="28"/>
          <w:szCs w:val="28"/>
          <w:rtl w:val="true"/>
          <w:lang w:bidi="ar-SA"/>
        </w:rPr>
        <w:t>عن الشيخ</w:t>
      </w:r>
      <w:r>
        <w:rPr>
          <w:rStyle w:val="FootnoteAnchor"/>
          <w:rtl w:val="true"/>
        </w:rPr>
        <w:footnoteReference w:id="2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على إشكال في عبارتهما المحكيّة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ظهر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هذه الأخبار لوحظ حكم الماءين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المطر و هو الماء الموجود النازل من السماء، و نفس المطر النازل على المتنجّس، فما كان من الأوّل فلا يعتبر فيه شي‌ء؛ حسب الإطلاق و التعليل، و ما كان من الثاني فلا يكفي مجرّد التقطّر على النجس، فلو كان موضع من البدن نجساً، فأصابته قطرة، فهي غير كافية حسب الطائفة الثانية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ماء المطر المجتمع غير الجاري، فهو معتصم و طاهر و مطهّر، و هو في الحقيقة في هذه الصورة و هو حال تقاطر السماء عليه بعيد عندنا من الماء ذي المادّة، و قد مرّ أنّه لا يعتبر اتصال المادّة بالماء</w:t>
      </w:r>
    </w:p>
    <w:p>
      <w:pPr>
        <w:pStyle w:val="BookText"/>
        <w:rPr/>
      </w:pPr>
      <w:r>
        <w:rPr>
          <w:rFonts w:ascii="Amiri" w:hAnsi="Amiri" w:eastAsia="Amiri" w:cs="Amiri"/>
          <w:color w:val="111111"/>
          <w:sz w:val="28"/>
          <w:sz w:val="28"/>
          <w:szCs w:val="28"/>
          <w:rtl w:val="true"/>
          <w:lang w:bidi="ar-SA"/>
        </w:rPr>
        <w:t>المعتصم بها مطلقاً، فعلى هذا فصلت المخاصمة بحمد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الأخير مضافاً إلى ضعف سنده</w:t>
      </w:r>
      <w:r>
        <w:rPr>
          <w:rStyle w:val="FootnoteAnchor"/>
          <w:rtl w:val="true"/>
        </w:rPr>
        <w:footnoteReference w:id="261"/>
      </w:r>
      <w:r>
        <w:rPr>
          <w:rFonts w:ascii="Amiri" w:hAnsi="Amiri" w:eastAsia="Amiri" w:cs="Amiri"/>
          <w:color w:val="111111"/>
          <w:sz w:val="28"/>
          <w:sz w:val="28"/>
          <w:szCs w:val="28"/>
          <w:rtl w:val="true"/>
          <w:lang w:bidi="ar-SA"/>
        </w:rPr>
        <w:t>لإهمال رجل هو فيه غير تامّ دلالة كما لا يخفى؛ ضرورة أنّ القطرة ليست هي القطرة النازلة بشخصها، فلا بُعْد في كونها من الماء الموجود، لا المطر،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تصير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شي‌ء في مطهّرية ماء المطر، و يعتبر في قطرة تنزل على المتنجّس و تسمّى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في الطائفة الثانية، و لذلك عدّ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القطرة من الشواذّ جدّاً</w:t>
      </w:r>
      <w:r>
        <w:rPr>
          <w:rStyle w:val="FootnoteAnchor"/>
          <w:rtl w:val="true"/>
        </w:rPr>
        <w:footnoteReference w:id="262"/>
      </w:r>
      <w:r>
        <w:rPr>
          <w:rFonts w:ascii="Amiri" w:hAnsi="Amiri" w:eastAsia="Amiri" w:cs="Amiri"/>
          <w:color w:val="111111"/>
          <w:sz w:val="28"/>
          <w:sz w:val="28"/>
          <w:szCs w:val="28"/>
          <w:rtl w:val="true"/>
          <w:lang w:bidi="ar-SA"/>
        </w:rPr>
        <w:t>، حتّى حكي في ترجمة صاحبه في كتب التراجم</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يتوهّم تأيّد هذا النظر، بما في 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حيث روى الصدوق بإسناده عن زيد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الثوب يكون فيه الجنابة، فتصيبني السماء حتّى يبتلّ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كانت البلّة مطهّرة، فالقطرة أولى</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في سنده إلى زيد، عن أبي جميلة، الذي عندي أمره مشكل أنّها ربّما لا تقتضي مطهّرية البلّ، 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كفايته لسراية النجاسة إلى البدن؛ لاعتبار القطرة فيه، فاغتنم</w:t>
      </w:r>
      <w:r>
        <w:rPr>
          <w:rFonts w:eastAsia="Amiri" w:cs="Amiri" w:ascii="Amiri" w:hAnsi="Amiri"/>
          <w:color w:val="111111"/>
          <w:sz w:val="28"/>
          <w:szCs w:val="28"/>
          <w:rtl w:val="true"/>
          <w:lang w:bidi="ar-SA"/>
        </w:rPr>
        <w:t>.</w:t>
      </w:r>
      <w:bookmarkStart w:id="75" w:name="pg12366_122947"/>
    </w:p>
    <w:p>
      <w:pPr>
        <w:pStyle w:val="Heading4"/>
        <w:numPr>
          <w:ilvl w:val="3"/>
          <w:numId w:val="1"/>
        </w:numPr>
        <w:rPr/>
      </w:pPr>
      <w:bookmarkStart w:id="76" w:name="__RefHeading___Toc8895967_417432637"/>
      <w:bookmarkStart w:id="77" w:name="_Toc27"/>
      <w:bookmarkEnd w:id="75"/>
      <w:bookmarkEnd w:id="76"/>
      <w:r>
        <w:rPr>
          <w:rtl w:val="true"/>
        </w:rPr>
        <w:t>[</w:t>
      </w:r>
      <w:r>
        <w:rPr>
          <w:rtl w:val="true"/>
        </w:rPr>
        <w:t xml:space="preserve">مسألة </w:t>
      </w:r>
      <w:r>
        <w:rPr/>
        <w:t>18</w:t>
      </w:r>
      <w:r>
        <w:rPr>
          <w:rtl w:val="true"/>
        </w:rPr>
        <w:t xml:space="preserve">: </w:t>
      </w:r>
      <w:r>
        <w:rPr>
          <w:rtl w:val="true"/>
        </w:rPr>
        <w:t xml:space="preserve">المراد ب </w:t>
      </w:r>
      <w:r>
        <w:rPr>
          <w:rtl w:val="true"/>
        </w:rPr>
        <w:t>«</w:t>
      </w:r>
      <w:r>
        <w:rPr>
          <w:rtl w:val="true"/>
        </w:rPr>
        <w:t>ماء المطر</w:t>
      </w:r>
      <w:r>
        <w:rPr>
          <w:rtl w:val="true"/>
        </w:rPr>
        <w:t xml:space="preserve">» </w:t>
      </w:r>
      <w:r>
        <w:rPr>
          <w:rtl w:val="true"/>
        </w:rPr>
        <w:t>الذي لا يتنجّس إلّا بالتغير؛ القطراتُ النازلة</w:t>
      </w:r>
      <w:r>
        <w:rPr>
          <w:rtl w:val="true"/>
        </w:rPr>
        <w:t>]</w:t>
      </w:r>
      <w:bookmarkEnd w:id="7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يتنجّس إلّا بالتغير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القطراتُ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النازلة و المجتمع منها تحت المطر حال تقاطره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المجتمع المتّصل بما يتقاطر عليه المطر، فالماء الجاري من الميزاب تحت سقف حال عدم انقطاع المطر كالماء المجتمع فوق السطح المتقاطر عليه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w:t>
      </w:r>
      <w:r>
        <w:rPr>
          <w:rStyle w:val="FootnoteAnchor"/>
          <w:rtl w:val="true"/>
        </w:rPr>
        <w:footnoteReference w:id="265"/>
      </w:r>
      <w:r>
        <w:rPr>
          <w:rFonts w:ascii="Amiri" w:hAnsi="Amiri" w:eastAsia="Amiri" w:cs="Amiri"/>
          <w:color w:val="111111"/>
          <w:sz w:val="28"/>
          <w:sz w:val="28"/>
          <w:szCs w:val="28"/>
          <w:rtl w:val="true"/>
          <w:lang w:bidi="ar-SA"/>
        </w:rPr>
        <w:t>وجه المناقشة في التنجّس بالتغيّر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المطر هي القطرات، فلو استولت على بدنك المتنجّس تطهّره، و توهّم كفاية رؤية بعضه لطهارة جميع البدن حسب إطلاق الخبر واضح المنع، كما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هو ماء المطر، هي الطائفة المجتمعة في الأرض الحاصلة من المتقاطر من السماء، كما هو كثير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 تقاطره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إشارة إلى الشرطين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اعتباره التقاطر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التقاطر على ذلك الماء الذي يغسل فيه النجس و هو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واضح، و مجرّدُ كونه ماء المطر، لا يكفي لما ينفيه الأدلّة الخاصّة الواردة في القليل الموجود بين مكّة و المدينة</w:t>
      </w:r>
      <w:r>
        <w:rPr>
          <w:rStyle w:val="FootnoteAnchor"/>
          <w:rtl w:val="true"/>
        </w:rPr>
        <w:footnoteReference w:id="266"/>
      </w:r>
      <w:r>
        <w:rPr>
          <w:rFonts w:ascii="Amiri" w:hAnsi="Amiri" w:eastAsia="Amiri" w:cs="Amiri"/>
          <w:color w:val="111111"/>
          <w:sz w:val="28"/>
          <w:sz w:val="28"/>
          <w:szCs w:val="28"/>
          <w:rtl w:val="true"/>
          <w:lang w:bidi="ar-SA"/>
        </w:rPr>
        <w:t>و غيرها</w:t>
      </w:r>
      <w:r>
        <w:rPr>
          <w:rStyle w:val="FootnoteAnchor"/>
          <w:rtl w:val="true"/>
        </w:rPr>
        <w:footnoteReference w:id="267"/>
      </w:r>
      <w:r>
        <w:rPr>
          <w:rFonts w:ascii="Amiri" w:hAnsi="Amiri" w:eastAsia="Amiri" w:cs="Amiri"/>
          <w:color w:val="111111"/>
          <w:sz w:val="28"/>
          <w:sz w:val="28"/>
          <w:szCs w:val="28"/>
          <w:rtl w:val="true"/>
          <w:lang w:bidi="ar-SA"/>
        </w:rPr>
        <w:t>، الذي ليس إلّا من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فعلًا محلّ مناقشة، و إجراءَ الاستصحاب ممنوع؛ لكونه من الشبهة المفهوميّة، فلا تختلط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أنّه مورد الارتكاز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على وجه ينقطع و يتّصل كما في بعض البلاد ربّما يمكن توهّم اعتصامه، إلّا أنّه بعد كونه قليلًا يشكل جدّاً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ظاهر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كانت عباراتهم قابلةً للحمل على إفادة الشرط الأوّل، و لذلك صرّح به المتأخّرون</w:t>
      </w:r>
      <w:r>
        <w:rPr>
          <w:rStyle w:val="FootnoteAnchor"/>
          <w:rtl w:val="true"/>
        </w:rPr>
        <w:footnoteReference w:id="268"/>
      </w:r>
      <w:r>
        <w:rPr>
          <w:rFonts w:ascii="Amiri" w:hAnsi="Amiri" w:eastAsia="Amiri" w:cs="Amiri"/>
          <w:color w:val="111111"/>
          <w:sz w:val="28"/>
          <w:sz w:val="28"/>
          <w:szCs w:val="28"/>
          <w:rtl w:val="true"/>
          <w:lang w:bidi="ar-SA"/>
        </w:rPr>
        <w:t xml:space="preserve">نظراً إلى دفع التوهّم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بل تمايل إليه، و هو بما أنّه من</w:t>
      </w:r>
    </w:p>
    <w:p>
      <w:pPr>
        <w:pStyle w:val="BookText"/>
        <w:rPr/>
      </w:pPr>
      <w:r>
        <w:rPr>
          <w:rFonts w:ascii="Amiri" w:hAnsi="Amiri" w:eastAsia="Amiri" w:cs="Amiri"/>
          <w:color w:val="111111"/>
          <w:sz w:val="28"/>
          <w:sz w:val="28"/>
          <w:szCs w:val="28"/>
          <w:rtl w:val="true"/>
          <w:lang w:bidi="ar-SA"/>
        </w:rPr>
        <w:t>ماء المطر ربّما يشكل إثباته؛ لعدم إطلاق في أخبار المسألة</w:t>
      </w:r>
      <w:r>
        <w:rPr>
          <w:rStyle w:val="FootnoteAnchor"/>
          <w:rtl w:val="true"/>
        </w:rPr>
        <w:footnoteReference w:id="270"/>
      </w:r>
      <w:r>
        <w:rPr>
          <w:rFonts w:ascii="Amiri" w:hAnsi="Amiri" w:eastAsia="Amiri" w:cs="Amiri"/>
          <w:color w:val="111111"/>
          <w:sz w:val="28"/>
          <w:sz w:val="28"/>
          <w:szCs w:val="28"/>
          <w:rtl w:val="true"/>
          <w:lang w:bidi="ar-SA"/>
        </w:rPr>
        <w:t>من هذه الجهة، فإثبات مطهّريته بها و بالاستصحاب محلّ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عندي مطهّر؛ لكونه من الماء ذي المادّة، و لا يعتبر الاتصال في المادّة، و ربّما يكون أساس مطهّرية ماء المطر؛ لأجل كونه من هذا القسم، كما هو كذلك في الحمّام و غيره، فما في المتن من الصورة الثانية الملتحقة بماء المطر، محلّ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يكتفى بتقاطر السماء في كون القليل من المطر، و لو لم يكن متّصلًا بالماء الآخر المتقاطر عليه؛ لأنّه من ماء المطر حال التقاطر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لا يخفى؛ للزوم كون التقاطر في قطر من الأرض، عاصماً للقليل في القطر الآخر</w:t>
      </w:r>
      <w:r>
        <w:rPr>
          <w:rFonts w:eastAsia="Amiri" w:cs="Amiri" w:ascii="Amiri" w:hAnsi="Amiri"/>
          <w:color w:val="111111"/>
          <w:sz w:val="28"/>
          <w:szCs w:val="28"/>
          <w:rtl w:val="true"/>
          <w:lang w:bidi="ar-SA"/>
        </w:rPr>
        <w:t>.</w:t>
      </w:r>
      <w:bookmarkStart w:id="78" w:name="pg12366_122950"/>
    </w:p>
    <w:p>
      <w:pPr>
        <w:pStyle w:val="Heading4"/>
        <w:numPr>
          <w:ilvl w:val="3"/>
          <w:numId w:val="1"/>
        </w:numPr>
        <w:rPr/>
      </w:pPr>
      <w:bookmarkStart w:id="79" w:name="__RefHeading___Toc8895969_417432637"/>
      <w:bookmarkStart w:id="80" w:name="_Toc28"/>
      <w:bookmarkEnd w:id="78"/>
      <w:bookmarkEnd w:id="79"/>
      <w:r>
        <w:rPr>
          <w:rtl w:val="true"/>
        </w:rPr>
        <w:t>[</w:t>
      </w:r>
      <w:r>
        <w:rPr>
          <w:rtl w:val="true"/>
        </w:rPr>
        <w:t xml:space="preserve">مسألة </w:t>
      </w:r>
      <w:r>
        <w:rPr/>
        <w:t>19</w:t>
      </w:r>
      <w:r>
        <w:rPr>
          <w:rtl w:val="true"/>
        </w:rPr>
        <w:t xml:space="preserve">: </w:t>
      </w:r>
      <w:r>
        <w:rPr>
          <w:rtl w:val="true"/>
        </w:rPr>
        <w:t>يطهّر المطر كلّ ما أصابه من المتنجّسات القابلة للتطهير</w:t>
      </w:r>
      <w:r>
        <w:rPr>
          <w:rtl w:val="true"/>
        </w:rPr>
        <w:t>]</w:t>
      </w:r>
      <w:bookmarkEnd w:id="8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 المطر كلّ ما أصابه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المتنجّسات القابلة للتطهير؛ من الماء و الأرض و الفرش و الأواني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ما استولى عليه، و لا يعتبر الغسالة في حصول الطهارة، فلو كان المتنجّس تحت المطر بمقدار استولت عليه القطرات، فالظاهر حسب الأخبار</w:t>
      </w:r>
      <w:r>
        <w:rPr>
          <w:rStyle w:val="FootnoteAnchor"/>
          <w:rtl w:val="true"/>
        </w:rPr>
        <w:footnoteReference w:id="271"/>
      </w:r>
      <w:r>
        <w:rPr>
          <w:rFonts w:ascii="Amiri" w:hAnsi="Amiri" w:eastAsia="Amiri" w:cs="Amiri"/>
          <w:color w:val="111111"/>
          <w:sz w:val="28"/>
          <w:sz w:val="28"/>
          <w:szCs w:val="28"/>
          <w:rtl w:val="true"/>
          <w:lang w:bidi="ar-SA"/>
        </w:rPr>
        <w:t>كفايته، دون الاعتبار فإنّه المساعد في وجه لأن يكون الماء حاملًا نجاسته، و لأجل 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بنجاسة الغسالة</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المتعارف في الاغتسال بالمطر حصول الغسالة، و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يراه ماء المطر </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غير مأخوذ به في الجوامد، و لو لم يكن ماء المطر على ذلك الوجه لا يكون أكثر، بناءً على ما في بعض أخبار</w:t>
      </w:r>
      <w:r>
        <w:rPr>
          <w:rStyle w:val="FootnoteAnchor"/>
          <w:rtl w:val="true"/>
        </w:rPr>
        <w:footnoteReference w:id="274"/>
      </w:r>
      <w:r>
        <w:rPr>
          <w:rFonts w:ascii="Amiri" w:hAnsi="Amiri" w:eastAsia="Amiri" w:cs="Amiri"/>
          <w:color w:val="111111"/>
          <w:sz w:val="28"/>
          <w:sz w:val="28"/>
          <w:szCs w:val="28"/>
          <w:rtl w:val="true"/>
          <w:lang w:bidi="ar-SA"/>
        </w:rPr>
        <w:t>من العبرة بالأكثريّة، فالقدر المتيقّن في حصول الطهارة بماء المطر النازل على المتنجّس؛ كونُه على وجه ينفصل عنه بعد الإصابة و الرؤية، و لا يكفي مجرّد الاستيلاء المحض، و هذا غير الجريان</w:t>
      </w:r>
    </w:p>
    <w:p>
      <w:pPr>
        <w:pStyle w:val="BookText"/>
        <w:rPr/>
      </w:pPr>
      <w:r>
        <w:rPr>
          <w:rFonts w:ascii="Amiri" w:hAnsi="Amiri" w:eastAsia="Amiri" w:cs="Amiri"/>
          <w:color w:val="111111"/>
          <w:sz w:val="28"/>
          <w:sz w:val="28"/>
          <w:szCs w:val="28"/>
          <w:rtl w:val="true"/>
          <w:lang w:bidi="ar-SA"/>
        </w:rPr>
        <w:t xml:space="preserve">و الأقوى اعتبار الامتزاج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و لا يحتاج في الفرش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 أو الشأنيّ المعتبر عند جمع</w:t>
      </w:r>
      <w:r>
        <w:rPr>
          <w:rStyle w:val="FootnoteAnchor"/>
          <w:rtl w:val="true"/>
        </w:rPr>
        <w:footnoteReference w:id="275"/>
      </w:r>
      <w:r>
        <w:rPr>
          <w:rFonts w:ascii="Amiri" w:hAnsi="Amiri" w:eastAsia="Amiri" w:cs="Amiri"/>
          <w:color w:val="111111"/>
          <w:sz w:val="28"/>
          <w:sz w:val="28"/>
          <w:szCs w:val="28"/>
          <w:rtl w:val="true"/>
          <w:lang w:bidi="ar-SA"/>
        </w:rPr>
        <w:t>، الممنوع عندنا في المطر، فلا تختلط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مدّ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اعتبار الامتزاج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الأشبه عدم تطهير المياه النجسة و المائعات إلّا بالاستهلاك</w:t>
      </w:r>
      <w:r>
        <w:rPr>
          <w:rStyle w:val="FootnoteAnchor"/>
          <w:rtl w:val="true"/>
        </w:rPr>
        <w:footnoteReference w:id="276"/>
      </w:r>
      <w:r>
        <w:rPr>
          <w:rFonts w:ascii="Amiri" w:hAnsi="Amiri" w:eastAsia="Amiri" w:cs="Amiri"/>
          <w:color w:val="111111"/>
          <w:sz w:val="28"/>
          <w:sz w:val="28"/>
          <w:szCs w:val="28"/>
          <w:rtl w:val="true"/>
          <w:lang w:bidi="ar-SA"/>
        </w:rPr>
        <w:t>العرفيّ، و قضيّةُ إطلاق العموم المخصوص بماء المطر، كفايةُ الرؤية</w:t>
      </w:r>
      <w:r>
        <w:rPr>
          <w:rStyle w:val="FootnoteAnchor"/>
          <w:rtl w:val="true"/>
        </w:rPr>
        <w:footnoteReference w:id="277"/>
      </w:r>
      <w:r>
        <w:rPr>
          <w:rFonts w:ascii="Amiri" w:hAnsi="Amiri" w:eastAsia="Amiri" w:cs="Amiri"/>
          <w:color w:val="111111"/>
          <w:sz w:val="28"/>
          <w:sz w:val="28"/>
          <w:szCs w:val="28"/>
          <w:rtl w:val="true"/>
          <w:lang w:bidi="ar-SA"/>
        </w:rPr>
        <w:t>و الإصابة</w:t>
      </w:r>
      <w:r>
        <w:rPr>
          <w:rStyle w:val="FootnoteAnchor"/>
          <w:rtl w:val="true"/>
        </w:rPr>
        <w:footnoteReference w:id="278"/>
      </w:r>
      <w:r>
        <w:rPr>
          <w:rFonts w:ascii="Amiri" w:hAnsi="Amiri" w:eastAsia="Amiri" w:cs="Amiri"/>
          <w:color w:val="111111"/>
          <w:sz w:val="28"/>
          <w:sz w:val="28"/>
          <w:szCs w:val="28"/>
          <w:rtl w:val="true"/>
          <w:lang w:bidi="ar-SA"/>
        </w:rPr>
        <w:t>حتّى في المائعات الأُخر، كالنفط، و الزيت السائل، و الدبس المائع، و لا يقولون به، و مقتضى الأصل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كلّ شي‌ء يقبل العصر، و في كون الفرش المتعارف في العصر ممّا يقبل العصر تدبُّر،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العصر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لعدم الدليل عليه كي يتمسّك به في كلّ 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به</w:t>
      </w:r>
      <w:r>
        <w:rPr>
          <w:rStyle w:val="FootnoteAnchor"/>
          <w:rtl w:val="true"/>
        </w:rPr>
        <w:footnoteReference w:id="279"/>
      </w:r>
      <w:r>
        <w:rPr>
          <w:rFonts w:ascii="Amiri" w:hAnsi="Amiri" w:eastAsia="Amiri" w:cs="Amiri"/>
          <w:color w:val="111111"/>
          <w:sz w:val="28"/>
          <w:sz w:val="28"/>
          <w:szCs w:val="28"/>
          <w:rtl w:val="true"/>
          <w:lang w:bidi="ar-SA"/>
        </w:rPr>
        <w:t>، في غير محلّه إذا غلب الماء عليه و انفصل منه، فلو لم يكن إطلاق يعتنى به في ناحية ماء المطر، يكفي إطلاق أدلّة اعتبار الغَسل</w:t>
      </w:r>
      <w:r>
        <w:rPr>
          <w:rStyle w:val="FootnoteAnchor"/>
          <w:rtl w:val="true"/>
        </w:rPr>
        <w:footnoteReference w:id="280"/>
      </w:r>
      <w:r>
        <w:rPr>
          <w:rFonts w:ascii="IRNazanin" w:hAnsi="IRNazanin" w:eastAsia="IRNazanin"/>
          <w:color w:val="111111"/>
          <w:sz w:val="28"/>
          <w:sz w:val="28"/>
          <w:szCs w:val="28"/>
          <w:rtl w:val="true"/>
          <w:lang w:bidi="fa-IR"/>
        </w:rPr>
        <w:t>بعد صدقه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شكّ في صدقه بدون العصر فيشكل؛ لإمكان التمسّك باستصحاب نجاسة المغسول، إلّا أنّه لمكان كون الشبهة حكميّة نظراً إلى إجمال النصّ ففي جريان الاستصحاب تأمّل عندنا، فالمرجع هي قاعدة الطهارة بناءً على جريانها فيها و حديث الرفع</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منع جريان الاستصحاب في الشبهات الحكميّة الكلّية العدميّة شي‌ء، و منشأَ عدم جريانه في الكلّية الوجوديّة العنوانيّة شي‌ء آخر، و منشأَ عدم جريانه في الكلّية المضمونيّة كما نحن فيه شي‌ء ثابت، إلّا أنّ في أخبار ماء المطر</w:t>
      </w:r>
      <w:r>
        <w:rPr>
          <w:rStyle w:val="FootnoteAnchor"/>
          <w:rtl w:val="true"/>
        </w:rPr>
        <w:footnoteReference w:id="281"/>
      </w:r>
      <w:r>
        <w:rPr>
          <w:rFonts w:ascii="Amiri" w:hAnsi="Amiri" w:eastAsia="Amiri" w:cs="Amiri"/>
          <w:color w:val="111111"/>
          <w:sz w:val="28"/>
          <w:sz w:val="28"/>
          <w:szCs w:val="28"/>
          <w:rtl w:val="true"/>
          <w:lang w:bidi="ar-SA"/>
        </w:rPr>
        <w:t>ما يكفيك، كما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اعتبار التعدّد في بعض النجاسات</w:t>
      </w:r>
      <w:r>
        <w:rPr>
          <w:rStyle w:val="FootnoteAnchor"/>
          <w:rtl w:val="true"/>
        </w:rPr>
        <w:footnoteReference w:id="282"/>
      </w:r>
      <w:r>
        <w:rPr>
          <w:rFonts w:ascii="Amiri" w:hAnsi="Amiri" w:eastAsia="Amiri" w:cs="Amiri"/>
          <w:color w:val="111111"/>
          <w:sz w:val="28"/>
          <w:sz w:val="28"/>
          <w:szCs w:val="28"/>
          <w:rtl w:val="true"/>
          <w:lang w:bidi="ar-SA"/>
        </w:rPr>
        <w:t>، و قضيّةِ مصحّح ابن سالم</w:t>
      </w:r>
      <w:r>
        <w:rPr>
          <w:rStyle w:val="FootnoteAnchor"/>
          <w:rtl w:val="true"/>
        </w:rPr>
        <w:footnoteReference w:id="283"/>
      </w:r>
      <w:r>
        <w:rPr>
          <w:rFonts w:ascii="Amiri" w:hAnsi="Amiri" w:eastAsia="Amiri" w:cs="Amiri"/>
          <w:color w:val="111111"/>
          <w:sz w:val="28"/>
          <w:sz w:val="28"/>
          <w:szCs w:val="28"/>
          <w:rtl w:val="true"/>
          <w:lang w:bidi="ar-SA"/>
        </w:rPr>
        <w:t>و مرسلة الكاهلي</w:t>
      </w:r>
      <w:r>
        <w:rPr>
          <w:rStyle w:val="FootnoteAnchor"/>
          <w:rtl w:val="true"/>
        </w:rPr>
        <w:footnoteReference w:id="284"/>
      </w:r>
      <w:r>
        <w:rPr>
          <w:rFonts w:ascii="Amiri" w:hAnsi="Amiri" w:eastAsia="Amiri" w:cs="Amiri"/>
          <w:color w:val="111111"/>
          <w:sz w:val="28"/>
          <w:sz w:val="28"/>
          <w:szCs w:val="28"/>
          <w:rtl w:val="true"/>
          <w:lang w:bidi="ar-SA"/>
        </w:rPr>
        <w:t>في المقام، متكاذبان بالعموم من وجه، و قد اشتهر تقديم جانب هذه المسألة؛ فراراً عن اللّغوية، و لزومِ عدم خصوصيّة للمطر، و لا عكس</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الأخبار ليس ممّا يجب عقلًا أو بمقتضى رواية أو إجماع، حتّى يتوسّل بالطريقة المعروفة، و ما هو بناء العقلاء و أرباب فهم القوانين العرفية، هو الجمع بين العامّ و الخاصّ و المطلق و المقيّد، و أمّا فيما نحن فيه فلا عهد منهم، و لا أقلّ من الشكّ، فالمعارضة باقية، و قد حرّرنا خروج العامّين من وجه عن تحت الروايات العلاجيّة</w:t>
      </w:r>
      <w:r>
        <w:rPr>
          <w:rStyle w:val="FootnoteAnchor"/>
          <w:rtl w:val="true"/>
        </w:rPr>
        <w:footnoteReference w:id="286"/>
      </w:r>
      <w:r>
        <w:rPr>
          <w:rFonts w:ascii="Amiri" w:hAnsi="Amiri" w:eastAsia="Amiri" w:cs="Amiri"/>
          <w:color w:val="111111"/>
          <w:sz w:val="28"/>
          <w:sz w:val="28"/>
          <w:szCs w:val="28"/>
          <w:rtl w:val="true"/>
          <w:lang w:bidi="ar-SA"/>
        </w:rPr>
        <w:t>، كما هو الظاهر، فلا بدّ من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لو كان لدليل بعض النجاسات إطلاق بالنسبة إلى التعدّد</w:t>
      </w:r>
      <w:r>
        <w:rPr>
          <w:rStyle w:val="FootnoteAnchor"/>
          <w:rtl w:val="true"/>
        </w:rPr>
        <w:footnoteReference w:id="287"/>
      </w:r>
      <w:r>
        <w:rPr>
          <w:rFonts w:ascii="Amiri" w:hAnsi="Amiri" w:eastAsia="Amiri" w:cs="Amiri"/>
          <w:color w:val="111111"/>
          <w:sz w:val="28"/>
          <w:sz w:val="28"/>
          <w:szCs w:val="28"/>
          <w:rtl w:val="true"/>
          <w:lang w:bidi="ar-SA"/>
        </w:rPr>
        <w:t>، من غير ظهور له في ماء خاصّ، كالراكد و القليل الوارد عليه، و كان مقتضى إطلاق سائر المياه كفاية المرّة</w:t>
      </w:r>
      <w:r>
        <w:rPr>
          <w:rStyle w:val="FootnoteAnchor"/>
          <w:rtl w:val="true"/>
        </w:rPr>
        <w:footnoteReference w:id="288"/>
      </w:r>
      <w:r>
        <w:rPr>
          <w:rFonts w:ascii="Amiri" w:hAnsi="Amiri" w:eastAsia="Amiri" w:cs="Amiri"/>
          <w:color w:val="111111"/>
          <w:sz w:val="28"/>
          <w:sz w:val="28"/>
          <w:szCs w:val="28"/>
          <w:rtl w:val="true"/>
          <w:lang w:bidi="ar-SA"/>
        </w:rPr>
        <w:t>، يقدّم أخبار التعدّد طبعاً، و لا تلزم اللّغوية، و لها الحكومة عليها، و لا وجه لتقديم أخبار ماء المطر و سائر المياه عليها؛ لتعرّض تلك الأخبار لما لا يتعرّض له روايات المياه، و إن كان في تلك الأخبار ما يدلّ على اعتبار التعدّد بالنسبة إلى ماء خاصّ</w:t>
      </w:r>
      <w:r>
        <w:rPr>
          <w:rStyle w:val="FootnoteAnchor"/>
          <w:rtl w:val="true"/>
        </w:rPr>
        <w:footnoteReference w:id="289"/>
      </w:r>
      <w:r>
        <w:rPr>
          <w:rFonts w:ascii="Amiri" w:hAnsi="Amiri" w:eastAsia="Amiri" w:cs="Amiri"/>
          <w:color w:val="111111"/>
          <w:sz w:val="28"/>
          <w:sz w:val="28"/>
          <w:szCs w:val="28"/>
          <w:rtl w:val="true"/>
          <w:lang w:bidi="ar-SA"/>
        </w:rPr>
        <w:t>، فلا إطلاق حتّى تقع العارضة بالعَرَض، فالمسألة تطلب من أحكام النجاسات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إنّك عرفت فيما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ماء المطر من المياه التي تكون ذات مادّة، كالحمّام و البئر و الجاري، و لا خصوصيّة إلّا كونها ذات مادّة أعمّ من المتّصلة و المنفصلة و الجعليّة و الانجعاليّة، فإلغاء خصوصيّة المطر ممّا لا بأس به؛ فإنّ الأظهر من صحيح ابن بَزيع</w:t>
      </w:r>
      <w:r>
        <w:rPr>
          <w:rStyle w:val="FootnoteAnchor"/>
          <w:rtl w:val="true"/>
        </w:rPr>
        <w:footnoteReference w:id="290"/>
      </w:r>
      <w:r>
        <w:rPr>
          <w:rFonts w:ascii="Amiri" w:hAnsi="Amiri" w:eastAsia="Amiri" w:cs="Amiri"/>
          <w:color w:val="111111"/>
          <w:sz w:val="28"/>
          <w:sz w:val="28"/>
          <w:szCs w:val="28"/>
          <w:rtl w:val="true"/>
          <w:lang w:bidi="ar-SA"/>
        </w:rPr>
        <w:t>أنّ كلّ ما كان ذا مادّة، معتصم لا يفسده شي‌ء، و ماء المطر أيضاً من 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يحتاج في الأواني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إلى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متنجّساً بولوغ الكلب، فالأقوى لزوم التعفير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ثمّ يوضع تحت المطر، فإذا نزل عليه يطهر؛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سيظهر تحقيقه في محلّه، كما أنّ محطّ المسألة هناك، و إلّا يلزم في كلّ فصل ذكر هذه المسائل، فلا تغفل، و أساس البحث ما عرفت، و المهمّ هو الفحص عن إطلاق مخصوص بالأواني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لزوم التعفير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يأتي، و احتمال عدم الحاجة إليه؛ لإطلاق دليل ماء المطر، فهو يسري إلى إطلاق دليل ماء الحمّام و الجاري و البئر، بل و إطلاق دليل الماء القليل، و لا ترجيح لتقديم أدلّة التعفير</w:t>
      </w:r>
      <w:r>
        <w:rPr>
          <w:rStyle w:val="FootnoteAnchor"/>
          <w:rtl w:val="true"/>
        </w:rPr>
        <w:footnoteReference w:id="291"/>
      </w:r>
      <w:r>
        <w:rPr>
          <w:rFonts w:ascii="Amiri" w:hAnsi="Amiri" w:eastAsia="Amiri" w:cs="Amiri"/>
          <w:color w:val="111111"/>
          <w:sz w:val="28"/>
          <w:sz w:val="28"/>
          <w:szCs w:val="28"/>
          <w:rtl w:val="true"/>
          <w:lang w:bidi="ar-SA"/>
        </w:rPr>
        <w:t>على بعضها دون بعض، فأدلّة التعفير حاكمة؛ لتعرّضها لما لا يتعرّض له دليل ماء المطر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وصلت النوبة إلى المعارضة، فجريان استصحاب النجاسة محلّ إشكال؛ لأنّ الشبهة حكميّة، و أمّا تخيّل معارضته مع استصحاب عدم</w:t>
      </w:r>
    </w:p>
    <w:p>
      <w:pPr>
        <w:pStyle w:val="BookText"/>
        <w:rPr/>
      </w:pPr>
      <w:r>
        <w:rPr>
          <w:rFonts w:ascii="Amiri" w:hAnsi="Amiri" w:eastAsia="Amiri" w:cs="Amiri"/>
          <w:color w:val="111111"/>
          <w:sz w:val="28"/>
          <w:sz w:val="28"/>
          <w:szCs w:val="28"/>
          <w:rtl w:val="true"/>
          <w:lang w:bidi="ar-SA"/>
        </w:rPr>
        <w:t xml:space="preserve">من دون حاجة إلى التعدّد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 النجاسة كما عن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في الأحكام التكليفيّة فهو غير راجع إلى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التعدّد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وجه الحاجة إليه؛ حسب الصناعة و الاحتياط</w:t>
      </w:r>
      <w:r>
        <w:rPr>
          <w:rFonts w:eastAsia="Amiri" w:cs="Amiri" w:ascii="Amiri" w:hAnsi="Amiri"/>
          <w:color w:val="111111"/>
          <w:sz w:val="28"/>
          <w:szCs w:val="28"/>
          <w:rtl w:val="true"/>
          <w:lang w:bidi="ar-SA"/>
        </w:rPr>
        <w:t>.</w:t>
      </w:r>
      <w:bookmarkStart w:id="81" w:name="pg12366_122957"/>
    </w:p>
    <w:p>
      <w:pPr>
        <w:pStyle w:val="Heading4"/>
        <w:numPr>
          <w:ilvl w:val="3"/>
          <w:numId w:val="1"/>
        </w:numPr>
        <w:rPr/>
      </w:pPr>
      <w:bookmarkStart w:id="82" w:name="__RefHeading___Toc8895971_417432637"/>
      <w:bookmarkStart w:id="83" w:name="_Toc29"/>
      <w:bookmarkEnd w:id="81"/>
      <w:bookmarkEnd w:id="82"/>
      <w:r>
        <w:rPr>
          <w:rtl w:val="true"/>
        </w:rPr>
        <w:t>[</w:t>
      </w:r>
      <w:r>
        <w:rPr>
          <w:rtl w:val="true"/>
        </w:rPr>
        <w:t xml:space="preserve">مسألة </w:t>
      </w:r>
      <w:r>
        <w:rPr/>
        <w:t>20</w:t>
      </w:r>
      <w:r>
        <w:rPr>
          <w:rtl w:val="true"/>
        </w:rPr>
        <w:t xml:space="preserve">: </w:t>
      </w:r>
      <w:r>
        <w:rPr>
          <w:rtl w:val="true"/>
        </w:rPr>
        <w:t>الفراش النجس إذا وصل إلى جميعه المطر، و نفذ في جميعه</w:t>
      </w:r>
      <w:r>
        <w:rPr>
          <w:rtl w:val="true"/>
        </w:rPr>
        <w:t>]</w:t>
      </w:r>
      <w:bookmarkEnd w:id="8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الفراش النجس إذا وصل إلى جميعه المطر، و نفذ في جميعه، يطهر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و 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أصاب بعضه يطهر ما أصابه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أصاب ظاهره و لم ينفذ فيه، يطهر ظاهره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نزول المطر و استيلائه غير واضح كفايته، و الأشبه خروج شي‌ء من المطر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الغسل في ماء المطر، يكفي على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يطهر ما أصابه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بالشرط المذكور، و غير خفيّ أنّه في هذا الفرع و الفرع التالي عند انقطاع المطر، تسري النجاسة إلى الظاهر إذا كانت شرائطها موجودة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تقف النجاسة على الخطّ المتّصل، و سرايتها إلى سائر الخطوط بوساطته محلّ شبهة، و لا سيّما الخطوط ذوات الوسائط</w:t>
      </w:r>
      <w:r>
        <w:rPr>
          <w:rFonts w:eastAsia="Amiri" w:cs="Amiri" w:ascii="Amiri" w:hAnsi="Amiri"/>
          <w:color w:val="111111"/>
          <w:sz w:val="28"/>
          <w:szCs w:val="28"/>
          <w:rtl w:val="true"/>
          <w:lang w:bidi="ar-SA"/>
        </w:rPr>
        <w:t>.</w:t>
      </w:r>
      <w:bookmarkStart w:id="84" w:name="pg12366_122958"/>
    </w:p>
    <w:p>
      <w:pPr>
        <w:pStyle w:val="Heading4"/>
        <w:numPr>
          <w:ilvl w:val="3"/>
          <w:numId w:val="1"/>
        </w:numPr>
        <w:rPr/>
      </w:pPr>
      <w:bookmarkStart w:id="85" w:name="__RefHeading___Toc8895973_417432637"/>
      <w:bookmarkStart w:id="86" w:name="_Toc30"/>
      <w:bookmarkEnd w:id="84"/>
      <w:bookmarkEnd w:id="85"/>
      <w:r>
        <w:rPr>
          <w:rtl w:val="true"/>
        </w:rPr>
        <w:t>[</w:t>
      </w:r>
      <w:r>
        <w:rPr>
          <w:rtl w:val="true"/>
        </w:rPr>
        <w:t xml:space="preserve">مسألة </w:t>
      </w:r>
      <w:r>
        <w:rPr/>
        <w:t>21</w:t>
      </w:r>
      <w:r>
        <w:rPr>
          <w:rtl w:val="true"/>
        </w:rPr>
        <w:t xml:space="preserve">: </w:t>
      </w:r>
      <w:r>
        <w:rPr>
          <w:rtl w:val="true"/>
        </w:rPr>
        <w:t>إذا كان السطح نجساً، فنفذ فيه الماء، و تقاطر من السقف حال نزول المطر</w:t>
      </w:r>
      <w:r>
        <w:rPr>
          <w:rtl w:val="true"/>
        </w:rPr>
        <w:t>]</w:t>
      </w:r>
      <w:bookmarkEnd w:id="8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السطح نجساً، فنفذ فيه الماء، و تقاطر من السقف حال نزول المطر،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طاهراً و إن كان عين النجس موجوداً على السطح، و كان الماء المتقاطر مارّاً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التقاطر بعد انقطاع المطر، إذا احتمل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الماء المحتبس في أعماق السقف، أو كونه غير مارّ على عين النجس، و لا على ما تنجّس بها بعد انقطاع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المارّ على أحدهما بعد انقطاعه، يكون 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يكون ما تقاطر طاهراً؛ بشرط عدم التغيّر على الأحوط، و قد عرفت أنّ شرطيّة التقاطر على السطح المذكور ممنوعة، و يكفي اتصال هذا الماء النافذ بما يتقاطر عليه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تقاطر حال نزول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للتحقيق، و مخالف لما مرّ منه مدّ ظلّه للزوم التقييد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لقاعدة الطهارة، بل استصحابها، و لا وجه للإشارة إلى هذه 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طهارة الماء المتقاطر و لو علم أنّه من المارّ على أحدهما بعد انقطاعه، خلافاً لما في المتن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صورة الانقطاع و النزول فوراً، فالوجه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صورة الانقطاع الكلّي؛ فلما مرّ</w:t>
      </w:r>
      <w:r>
        <w:rPr>
          <w:rStyle w:val="FootnoteAnchor"/>
          <w:rtl w:val="true"/>
        </w:rPr>
        <w:footnoteReference w:id="293"/>
      </w:r>
      <w:r>
        <w:rPr>
          <w:rFonts w:ascii="IRNazanin" w:hAnsi="IRNazanin" w:eastAsia="IRNazanin"/>
          <w:color w:val="111111"/>
          <w:sz w:val="28"/>
          <w:sz w:val="28"/>
          <w:szCs w:val="28"/>
          <w:rtl w:val="true"/>
          <w:lang w:bidi="fa-IR"/>
        </w:rPr>
        <w:t xml:space="preserve">أنّه من تبعات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294"/>
      </w:r>
      <w:r>
        <w:rPr>
          <w:rFonts w:ascii="Amiri" w:hAnsi="Amiri" w:eastAsia="Amiri" w:cs="Amiri"/>
          <w:color w:val="111111"/>
          <w:sz w:val="28"/>
          <w:sz w:val="28"/>
          <w:szCs w:val="28"/>
          <w:rtl w:val="true"/>
          <w:lang w:bidi="ar-SA"/>
        </w:rPr>
        <w:t>لكونه قريب الوجود و الصدق بالنسبة إلى المطر، فيكون مطراً عرفاً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مورد الفصل البعيد بين القطع و النزول فلا، و لكنّ الالتزام بها في الفرضين مشكل جدّاً</w:t>
      </w:r>
      <w:r>
        <w:rPr>
          <w:rFonts w:eastAsia="Amiri" w:cs="Amiri" w:ascii="Amiri" w:hAnsi="Amiri"/>
          <w:color w:val="111111"/>
          <w:sz w:val="28"/>
          <w:szCs w:val="28"/>
          <w:rtl w:val="true"/>
          <w:lang w:bidi="ar-SA"/>
        </w:rPr>
        <w:t>.</w:t>
      </w:r>
      <w:bookmarkStart w:id="87" w:name="pg12366_122960"/>
    </w:p>
    <w:p>
      <w:pPr>
        <w:pStyle w:val="Heading4"/>
        <w:numPr>
          <w:ilvl w:val="3"/>
          <w:numId w:val="1"/>
        </w:numPr>
        <w:rPr/>
      </w:pPr>
      <w:bookmarkStart w:id="88" w:name="__RefHeading___Toc8895975_417432637"/>
      <w:bookmarkStart w:id="89" w:name="_Toc31"/>
      <w:bookmarkEnd w:id="87"/>
      <w:bookmarkEnd w:id="88"/>
      <w:r>
        <w:rPr>
          <w:rtl w:val="true"/>
        </w:rPr>
        <w:t>[</w:t>
      </w:r>
      <w:r>
        <w:rPr>
          <w:rtl w:val="true"/>
        </w:rPr>
        <w:t xml:space="preserve">مسألة </w:t>
      </w:r>
      <w:r>
        <w:rPr/>
        <w:t>22</w:t>
      </w:r>
      <w:r>
        <w:rPr>
          <w:rtl w:val="true"/>
        </w:rPr>
        <w:t xml:space="preserve">: </w:t>
      </w:r>
      <w:r>
        <w:rPr>
          <w:rtl w:val="true"/>
        </w:rPr>
        <w:t>الماء الراكد النجس، يطهر بنزول المطر عليه و امتزاجه به</w:t>
      </w:r>
      <w:r>
        <w:rPr>
          <w:rtl w:val="true"/>
        </w:rPr>
        <w:t>]</w:t>
      </w:r>
      <w:bookmarkEnd w:id="8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الراكد النجس، يطهر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بنزول المطر عليه و امتزاجه به، و بالاتصال بماء معتصم كالكرّ و الجاري، و الامتزاج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كيفيّة خاصّة في الاتصال، بل المدار على مطلقه و لو بساقية أو ثقب بينهما، كما لا يعتبر علوّ المعتصم أو تساويه مع الماء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النجس جارياً من الفوق على المعتصم، فالظاهر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الكفاية في طهارة الفوقاني في حال جريانه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 حكم هذه المسألة و اختلاف الأنظار</w:t>
      </w:r>
      <w:r>
        <w:rPr>
          <w:rStyle w:val="FootnoteAnchor"/>
          <w:rtl w:val="true"/>
        </w:rPr>
        <w:footnoteReference w:id="295"/>
      </w:r>
      <w:r>
        <w:rPr>
          <w:rFonts w:ascii="Amiri" w:hAnsi="Amiri" w:eastAsia="Amiri" w:cs="Amiri"/>
          <w:color w:val="111111"/>
          <w:sz w:val="28"/>
          <w:sz w:val="28"/>
          <w:szCs w:val="28"/>
          <w:rtl w:val="true"/>
          <w:lang w:bidi="ar-SA"/>
        </w:rPr>
        <w:t>، و مقتضى إطلاق أدلّة المطر، كفايةُ الرؤية و الإصابة في المائع و الجامد، و حيث لا يلتزم به في الثاني فالأوّل مثله، و اشتراط الامتزاج بلا وجه يعتدّ به، و القدر المتيقّن لزوم الاستهلاك العرفيّ؛ بفناء النجس في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لاعتبار الامتزاج، و هو منتف، و لازمه طهارة المقدار الوارد الممتزج، و نجاستُه ما لم يمتزج بعد، و هذا مرجعه إلى أنّ للماء الواحد حكمين، و الإجماع منقول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ما هو المذهب، فالمقدار المستهلك فانٍ في المعتصم، و الباقي ماء آخر، فلا يلزم تعدّد الحكم مع وحدة الماء، كما لا يلزم 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الاتصال، و ما أُشير إليه لا يفرّق بين صورتي العلوّ و التساويّ، كما لا يخفى</w:t>
      </w:r>
      <w:r>
        <w:rPr>
          <w:rFonts w:eastAsia="Amiri" w:cs="Amiri" w:ascii="Amiri" w:hAnsi="Amiri"/>
          <w:color w:val="111111"/>
          <w:sz w:val="28"/>
          <w:szCs w:val="28"/>
          <w:rtl w:val="true"/>
          <w:lang w:bidi="ar-SA"/>
        </w:rPr>
        <w:t>.</w:t>
      </w:r>
      <w:bookmarkStart w:id="90" w:name="pg12366_122961"/>
    </w:p>
    <w:p>
      <w:pPr>
        <w:pStyle w:val="Heading4"/>
        <w:numPr>
          <w:ilvl w:val="3"/>
          <w:numId w:val="1"/>
        </w:numPr>
        <w:rPr/>
      </w:pPr>
      <w:bookmarkStart w:id="91" w:name="__RefHeading___Toc8895977_417432637"/>
      <w:bookmarkStart w:id="92" w:name="_Toc32"/>
      <w:bookmarkEnd w:id="90"/>
      <w:bookmarkEnd w:id="91"/>
      <w:r>
        <w:rPr>
          <w:rtl w:val="true"/>
        </w:rPr>
        <w:t>[</w:t>
      </w:r>
      <w:r>
        <w:rPr>
          <w:rtl w:val="true"/>
        </w:rPr>
        <w:t xml:space="preserve">مسألة </w:t>
      </w:r>
      <w:r>
        <w:rPr/>
        <w:t>23</w:t>
      </w:r>
      <w:r>
        <w:rPr>
          <w:rtl w:val="true"/>
        </w:rPr>
        <w:t xml:space="preserve">: </w:t>
      </w:r>
      <w:r>
        <w:rPr>
          <w:rtl w:val="true"/>
        </w:rPr>
        <w:t>الماء المستعمل في الوضوء، لا إشكال في كونه طاهراً</w:t>
      </w:r>
      <w:r>
        <w:rPr>
          <w:rtl w:val="true"/>
        </w:rPr>
        <w:t>]</w:t>
      </w:r>
      <w:bookmarkEnd w:id="9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المستعمل في الوضوء، لا إشكال في كونه طاهراً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مطهّراً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للحدث و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الماء المستعمل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غير نقل خلاف في طهارته، و أمّا جواز ترتيب جميع آثار الطهارة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كالشرب مثلًا فهو كلام آخر؛ لأنّه ليس مجرّد طهارته كافياً فيه، و ما نسب</w:t>
      </w:r>
      <w:r>
        <w:rPr>
          <w:rStyle w:val="FootnoteAnchor"/>
          <w:rtl w:val="true"/>
        </w:rPr>
        <w:footnoteReference w:id="296"/>
      </w:r>
      <w:r>
        <w:rPr>
          <w:rFonts w:ascii="Amiri" w:hAnsi="Amiri" w:eastAsia="Amiri" w:cs="Amiri"/>
          <w:color w:val="111111"/>
          <w:sz w:val="28"/>
          <w:sz w:val="28"/>
          <w:szCs w:val="28"/>
          <w:rtl w:val="true"/>
          <w:lang w:bidi="ar-SA"/>
        </w:rPr>
        <w:t>إلى بعض الأجانب من أنّ نجاسته مغلّظة</w:t>
      </w:r>
      <w:r>
        <w:rPr>
          <w:rStyle w:val="FootnoteAnchor"/>
          <w:rtl w:val="true"/>
        </w:rPr>
        <w:footnoteReference w:id="297"/>
      </w:r>
      <w:r>
        <w:rPr>
          <w:rFonts w:ascii="Amiri" w:hAnsi="Amiri" w:eastAsia="Amiri" w:cs="Amiri"/>
          <w:color w:val="111111"/>
          <w:sz w:val="28"/>
          <w:sz w:val="28"/>
          <w:szCs w:val="28"/>
          <w:rtl w:val="true"/>
          <w:lang w:bidi="ar-SA"/>
        </w:rPr>
        <w:t>، فهو على ما عندي محلّ منع، و لا ينبغي الخلط بين الطهارة الاصطلاحيّة و النظافة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المشهور المعروف المدّعى عليه ضرورة المذهب</w:t>
      </w:r>
      <w:r>
        <w:rPr>
          <w:rStyle w:val="FootnoteAnchor"/>
          <w:rtl w:val="true"/>
        </w:rPr>
        <w:footnoteReference w:id="298"/>
      </w:r>
      <w:r>
        <w:rPr>
          <w:rFonts w:ascii="Amiri" w:hAnsi="Amiri" w:eastAsia="Amiri" w:cs="Amiri"/>
          <w:color w:val="111111"/>
          <w:sz w:val="28"/>
          <w:sz w:val="28"/>
          <w:szCs w:val="28"/>
          <w:rtl w:val="true"/>
          <w:lang w:bidi="ar-SA"/>
        </w:rPr>
        <w:t>، و عليه أكثر المخالفين</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الأصل عدمها؛ فإنّ المطهّرية من الاعتبارات المحتاجة إلى الإمضاء، لجواز سلبها عنه بالضرورة، و ما يستدلّ به</w:t>
      </w:r>
      <w:r>
        <w:rPr>
          <w:rStyle w:val="FootnoteAnchor"/>
          <w:rtl w:val="true"/>
        </w:rPr>
        <w:footnoteReference w:id="300"/>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الإطلاقات المثبتة لمطهّرية جميع المياه</w:t>
      </w:r>
      <w:r>
        <w:rPr>
          <w:rStyle w:val="FootnoteAnchor"/>
          <w:rtl w:val="true"/>
        </w:rPr>
        <w:footnoteReference w:id="301"/>
      </w:r>
      <w:r>
        <w:rPr>
          <w:rFonts w:ascii="Amiri" w:hAnsi="Amiri" w:eastAsia="Amiri" w:cs="Amiri"/>
          <w:color w:val="111111"/>
          <w:sz w:val="28"/>
          <w:sz w:val="28"/>
          <w:szCs w:val="28"/>
          <w:rtl w:val="true"/>
          <w:lang w:bidi="ar-SA"/>
        </w:rPr>
        <w:t>، محلّ إشكال مضى وجهه في أوائل البحوث السابقة</w:t>
      </w:r>
      <w:r>
        <w:rPr>
          <w:rStyle w:val="FootnoteAnchor"/>
          <w:rtl w:val="true"/>
        </w:rPr>
        <w:footnoteReference w:id="302"/>
      </w:r>
      <w:r>
        <w:rPr>
          <w:rFonts w:ascii="Amiri" w:hAnsi="Amiri" w:eastAsia="Amiri" w:cs="Amiri"/>
          <w:color w:val="111111"/>
          <w:sz w:val="28"/>
          <w:sz w:val="28"/>
          <w:szCs w:val="28"/>
          <w:rtl w:val="true"/>
          <w:lang w:bidi="ar-SA"/>
        </w:rPr>
        <w:t>، و تفصيله في كتابنا الكبير</w:t>
      </w:r>
      <w:r>
        <w:rPr>
          <w:rStyle w:val="FootnoteAnchor"/>
          <w:rtl w:val="true"/>
        </w:rPr>
        <w:footnoteReference w:id="303"/>
      </w:r>
      <w:r>
        <w:rPr>
          <w:rFonts w:ascii="Amiri" w:hAnsi="Amiri" w:eastAsia="Amiri" w:cs="Amiri"/>
          <w:color w:val="111111"/>
          <w:sz w:val="28"/>
          <w:sz w:val="28"/>
          <w:szCs w:val="28"/>
          <w:rtl w:val="true"/>
          <w:lang w:bidi="ar-SA"/>
        </w:rPr>
        <w:t xml:space="preserve">ضرورة أنّ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بعد بحسب اللّغة و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الأدلّة الخاصّة</w:t>
      </w:r>
      <w:r>
        <w:rPr>
          <w:rStyle w:val="FootnoteAnchor"/>
          <w:rtl w:val="true"/>
        </w:rPr>
        <w:footnoteReference w:id="304"/>
      </w:r>
      <w:r>
        <w:rPr>
          <w:rFonts w:ascii="Amiri" w:hAnsi="Amiri" w:eastAsia="Amiri" w:cs="Amiri"/>
          <w:color w:val="111111"/>
          <w:sz w:val="28"/>
          <w:sz w:val="28"/>
          <w:szCs w:val="28"/>
          <w:rtl w:val="true"/>
          <w:lang w:bidi="ar-SA"/>
        </w:rPr>
        <w:t>التي لا سند لها، لا يرجع إلى محصّل بتوهّم الانجبار؛ لأنّ الشهرة ليست عمليّة، حتّى ينجبر بها تلك الأخبار، مع أنّ من المحتمل اعتقاد السلف بأنّ المطهّرية مقتضى القواعد، فالاستناد إلى بعض أخبار</w:t>
      </w:r>
      <w:r>
        <w:rPr>
          <w:rStyle w:val="FootnoteAnchor"/>
          <w:rtl w:val="true"/>
        </w:rPr>
        <w:footnoteReference w:id="305"/>
      </w:r>
      <w:r>
        <w:rPr>
          <w:rFonts w:ascii="Amiri" w:hAnsi="Amiri" w:eastAsia="Amiri" w:cs="Amiri"/>
          <w:color w:val="111111"/>
          <w:sz w:val="28"/>
          <w:sz w:val="28"/>
          <w:szCs w:val="28"/>
          <w:rtl w:val="true"/>
          <w:lang w:bidi="ar-SA"/>
        </w:rPr>
        <w:t>مسألتنا لا يكفي؛ لعدم استفادة حصر دليلهم به، مع الحاجة إلى فهم الانحصار في الانجبار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فبقي أمر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الاستصحاب، و ما هو التعليقيّ منه غير جارٍ؛ لأنّه ليس من تلك التعليقيّات الجارية، و التنجيزيّ منه و هو نفس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الثابتة له قبل الاستعمال بالضرورة غير مخدوش بما قيل، و لكنّه مخدوش بما تحرّر منّا في الاستصحابات الحكميّة الكلّية،</w:t>
      </w:r>
    </w:p>
    <w:p>
      <w:pPr>
        <w:pStyle w:val="BookText"/>
        <w:rPr/>
      </w:pPr>
      <w:r>
        <w:rPr>
          <w:rFonts w:ascii="Amiri" w:hAnsi="Amiri" w:eastAsia="Amiri" w:cs="Amiri"/>
          <w:color w:val="111111"/>
          <w:sz w:val="28"/>
          <w:sz w:val="28"/>
          <w:szCs w:val="28"/>
          <w:rtl w:val="true"/>
          <w:lang w:bidi="ar-SA"/>
        </w:rPr>
        <w:t>كما أشرنا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مطهّرية الماء المستعمل في الوضوء غير ثابتة جدّاً، و هذا هو المناسب لروح الإيمان و أُصول النظافة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إليه يرجع ما عن المحقّق الأكبر و المفيد الأعظم رضوان اللَّه تعالى عليه حيث اعتبر التحرّي</w:t>
      </w:r>
      <w:r>
        <w:rPr>
          <w:rStyle w:val="FootnoteAnchor"/>
          <w:rtl w:val="true"/>
        </w:rPr>
        <w:footnoteReference w:id="306"/>
      </w:r>
      <w:r>
        <w:rPr>
          <w:rFonts w:ascii="Amiri" w:hAnsi="Amiri" w:eastAsia="Amiri" w:cs="Amiri"/>
          <w:color w:val="111111"/>
          <w:sz w:val="28"/>
          <w:sz w:val="28"/>
          <w:szCs w:val="28"/>
          <w:rtl w:val="true"/>
          <w:lang w:bidi="ar-SA"/>
        </w:rPr>
        <w:t>، و لكن قضيّة ما مرّ هو التعميم؛ لأنّ المستظهر من الكتاب و السنّة للانتقال إلى الترابيّة، فقدُ المطهِّر و لو كان ماءً عرفاً،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لا يجري استصحاب العدم الأزليّ؛ لحلّ مشكلة الماء الموجود بين يديك، فلا بدّ من الاحتياط بالتوضُّؤ به و الترابيّة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استصحاب عدم جعل المطهّرية، أيضاً غير جارٍ عندنا ذاتاً، فلا تصل النوبة إلى تخيّل المعارضة،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بفقد المعارض الوجوديّ، فيبقى الأزليّ العدميّ بلا معارض، فاغتنم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يجوز لأحد دعوى القطع؛ بأنّ مثل هذا الماء غير النظيف، غير مطهّر شرعاً، فلا حاجة إلى الجمع بينهما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التطهّر و المطهّرية، ليست لها حقيقة شرعيّة، بل لها ميزان عرفي رضي به الشرع، و العرف هنا غير مساعد، اللّهمّ إلّا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إشكال في كون المستعمل في رفع الحدث الأكبر، طاهراً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ينبغي للعاقل التفكّر لملاحظة جهة خاصّة في الأحكام الشرعيّة، مثلًا النظر في مسألة النظافة لازم، و لكنّ النظر في بقائها من الحرج، و عدمُ اختلال نظم جماعة هي الأكثر ألزم، مع أنّ للشرع أنظاراً أُخر معنويّة مخفيّة علينا، فاتباع الأدلّة أشدّ و أكثر لزوماً و تحفّظاً، فلا تكن من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 الإجماعات المنقولة</w:t>
      </w:r>
      <w:r>
        <w:rPr>
          <w:rStyle w:val="FootnoteAnchor"/>
          <w:rtl w:val="true"/>
        </w:rPr>
        <w:footnoteReference w:id="307"/>
      </w:r>
      <w:r>
        <w:rPr>
          <w:rFonts w:ascii="Amiri" w:hAnsi="Amiri" w:eastAsia="Amiri" w:cs="Amiri"/>
          <w:color w:val="111111"/>
          <w:sz w:val="28"/>
          <w:sz w:val="28"/>
          <w:szCs w:val="28"/>
          <w:rtl w:val="true"/>
          <w:lang w:bidi="ar-SA"/>
        </w:rPr>
        <w:t>، و الشهرات المحكيّة، و الاشتهار المحقّق بين المؤلّفين من الخاصّة و العامّة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بنجاسته</w:t>
      </w:r>
      <w:r>
        <w:rPr>
          <w:rStyle w:val="FootnoteAnchor"/>
          <w:rtl w:val="true"/>
        </w:rPr>
        <w:footnoteReference w:id="308"/>
      </w:r>
      <w:r>
        <w:rPr>
          <w:rFonts w:ascii="Amiri" w:hAnsi="Amiri" w:eastAsia="Amiri" w:cs="Amiri"/>
          <w:color w:val="111111"/>
          <w:sz w:val="28"/>
          <w:sz w:val="28"/>
          <w:szCs w:val="28"/>
          <w:rtl w:val="true"/>
          <w:lang w:bidi="ar-SA"/>
        </w:rPr>
        <w:t>، و ربّما ينسب</w:t>
      </w:r>
      <w:r>
        <w:rPr>
          <w:rStyle w:val="FootnoteAnchor"/>
          <w:rtl w:val="true"/>
        </w:rPr>
        <w:footnoteReference w:id="309"/>
      </w:r>
      <w:r>
        <w:rPr>
          <w:rFonts w:ascii="Amiri" w:hAnsi="Amiri" w:eastAsia="Amiri" w:cs="Amiri"/>
          <w:color w:val="111111"/>
          <w:sz w:val="28"/>
          <w:sz w:val="28"/>
          <w:szCs w:val="28"/>
          <w:rtl w:val="true"/>
          <w:lang w:bidi="ar-SA"/>
        </w:rPr>
        <w:t>إلى ابن حمزة</w:t>
      </w:r>
      <w:r>
        <w:rPr>
          <w:rStyle w:val="FootnoteAnchor"/>
          <w:rtl w:val="true"/>
        </w:rPr>
        <w:footnoteReference w:id="310"/>
      </w:r>
      <w:r>
        <w:rPr>
          <w:rFonts w:ascii="Amiri" w:hAnsi="Amiri" w:eastAsia="Amiri" w:cs="Amiri"/>
          <w:color w:val="111111"/>
          <w:sz w:val="28"/>
          <w:sz w:val="28"/>
          <w:szCs w:val="28"/>
          <w:rtl w:val="true"/>
          <w:lang w:bidi="ar-SA"/>
        </w:rPr>
        <w:t>، و هو حسب ما في عبارته غير تامّ، مع أنّ القائل بالنجاسة ربّما يكون نظره إلى النجاسة العرضيّة الآتية من قبل نجاسة البدن عادة، و تخيّل أنّه يرفع الحدث، كما ترفع الغسالة نجاسة الخبث، فهما في هذا الأمر</w:t>
      </w:r>
    </w:p>
    <w:p>
      <w:pPr>
        <w:pStyle w:val="BookText"/>
        <w:rPr/>
      </w:pPr>
      <w:r>
        <w:rPr>
          <w:rFonts w:ascii="Amiri" w:hAnsi="Amiri" w:eastAsia="Amiri" w:cs="Amiri"/>
          <w:color w:val="111111"/>
          <w:sz w:val="28"/>
          <w:sz w:val="28"/>
          <w:szCs w:val="28"/>
          <w:rtl w:val="true"/>
          <w:lang w:bidi="ar-SA"/>
        </w:rPr>
        <w:t xml:space="preserve">و مطهّراً للخبث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الأقوى كونه مطهّراً للحدث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مشتركان؛ لما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مقتضى معتبر ابن مسلم الآتي ذكره، نجاسته إلّا إذا كان كرّاً</w:t>
      </w:r>
      <w:r>
        <w:rPr>
          <w:rStyle w:val="FootnoteAnchor"/>
          <w:rtl w:val="true"/>
        </w:rPr>
        <w:footnoteReference w:id="311"/>
      </w:r>
      <w:r>
        <w:rPr>
          <w:rFonts w:ascii="Amiri" w:hAnsi="Amiri" w:eastAsia="Amiri" w:cs="Amiri"/>
          <w:color w:val="111111"/>
          <w:sz w:val="28"/>
          <w:sz w:val="28"/>
          <w:szCs w:val="28"/>
          <w:rtl w:val="true"/>
          <w:lang w:bidi="ar-SA"/>
        </w:rPr>
        <w:t>، و لكن غلبة تنجّس بدن الجنب تمنع عن انعقاد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مطهّراً للخبث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المعروف المتّفق عليه بين القديم و الجديد، إلّا ما عن ابن حمزة</w:t>
      </w:r>
      <w:r>
        <w:rPr>
          <w:rStyle w:val="FootnoteAnchor"/>
          <w:rtl w:val="true"/>
        </w:rPr>
        <w:footnoteReference w:id="312"/>
      </w:r>
      <w:r>
        <w:rPr>
          <w:rFonts w:ascii="Amiri" w:hAnsi="Amiri" w:eastAsia="Amiri" w:cs="Amiri"/>
          <w:color w:val="111111"/>
          <w:sz w:val="28"/>
          <w:sz w:val="28"/>
          <w:szCs w:val="28"/>
          <w:rtl w:val="true"/>
          <w:lang w:bidi="ar-SA"/>
        </w:rPr>
        <w:t>و قد مضى أنّه غير موافق للقواعد الاجتهاديّة و العمليّة، و تلك الشهرات و الإجماعات غير الواضحة عندنا، بل الواضح اتكاؤهم على هذه الآيات و السنّة التي بين أيدينا لا تنفع و لا تضرّ، و المتّبع هو البرهان، دون عقول الرجال و أفكار الفرسان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للحدث</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وفاقاً للشهرة الحديثة،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w:t>
      </w:r>
      <w:r>
        <w:rPr>
          <w:rStyle w:val="FootnoteAnchor"/>
          <w:rtl w:val="true"/>
        </w:rPr>
        <w:footnoteReference w:id="3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p>
    <w:p>
      <w:pPr>
        <w:pStyle w:val="BookText"/>
        <w:rPr/>
      </w:pP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إليه ذهب طائفة من القدماء</w:t>
      </w:r>
      <w:r>
        <w:rPr>
          <w:rStyle w:val="FootnoteAnchor"/>
          <w:rtl w:val="true"/>
        </w:rPr>
        <w:footnoteReference w:id="315"/>
      </w:r>
      <w:r>
        <w:rPr>
          <w:rFonts w:ascii="Amiri" w:hAnsi="Amiri" w:eastAsia="Amiri" w:cs="Amiri"/>
          <w:color w:val="111111"/>
          <w:sz w:val="28"/>
          <w:sz w:val="28"/>
          <w:szCs w:val="28"/>
          <w:rtl w:val="true"/>
          <w:lang w:bidi="ar-SA"/>
        </w:rPr>
        <w:t>، كالسيّد</w:t>
      </w:r>
      <w:r>
        <w:rPr>
          <w:rStyle w:val="FootnoteAnchor"/>
          <w:rtl w:val="true"/>
        </w:rPr>
        <w:footnoteReference w:id="316"/>
      </w:r>
      <w:r>
        <w:rPr>
          <w:rFonts w:ascii="Amiri" w:hAnsi="Amiri" w:eastAsia="Amiri" w:cs="Amiri"/>
          <w:color w:val="111111"/>
          <w:sz w:val="28"/>
          <w:sz w:val="28"/>
          <w:szCs w:val="28"/>
          <w:rtl w:val="true"/>
          <w:lang w:bidi="ar-SA"/>
        </w:rPr>
        <w:t>، و أبي يعلى</w:t>
      </w:r>
      <w:r>
        <w:rPr>
          <w:rStyle w:val="FootnoteAnchor"/>
          <w:rtl w:val="true"/>
        </w:rPr>
        <w:footnoteReference w:id="317"/>
      </w:r>
      <w:r>
        <w:rPr>
          <w:rFonts w:ascii="Amiri" w:hAnsi="Amiri" w:eastAsia="Amiri" w:cs="Amiri"/>
          <w:color w:val="111111"/>
          <w:sz w:val="28"/>
          <w:sz w:val="28"/>
          <w:szCs w:val="28"/>
          <w:rtl w:val="true"/>
          <w:lang w:bidi="ar-SA"/>
        </w:rPr>
        <w:t>، و ابن زهرة</w:t>
      </w:r>
      <w:r>
        <w:rPr>
          <w:rStyle w:val="FootnoteAnchor"/>
          <w:rtl w:val="true"/>
        </w:rPr>
        <w:footnoteReference w:id="318"/>
      </w:r>
      <w:r>
        <w:rPr>
          <w:rFonts w:ascii="IRNazanin" w:hAnsi="IRNazanin" w:eastAsia="IRNazanin"/>
          <w:color w:val="111111"/>
          <w:sz w:val="28"/>
          <w:sz w:val="28"/>
          <w:szCs w:val="28"/>
          <w:rtl w:val="true"/>
          <w:lang w:bidi="fa-IR"/>
        </w:rPr>
        <w:t>، و خلافاً لجمع</w:t>
      </w:r>
      <w:r>
        <w:rPr>
          <w:rStyle w:val="FootnoteAnchor"/>
          <w:rtl w:val="true"/>
        </w:rPr>
        <w:footnoteReference w:id="319"/>
      </w:r>
      <w:r>
        <w:rPr>
          <w:rFonts w:ascii="Amiri" w:hAnsi="Amiri" w:eastAsia="Amiri" w:cs="Amiri"/>
          <w:color w:val="111111"/>
          <w:sz w:val="28"/>
          <w:sz w:val="28"/>
          <w:szCs w:val="28"/>
          <w:rtl w:val="true"/>
          <w:lang w:bidi="ar-SA"/>
        </w:rPr>
        <w:t>، كالصدوقين</w:t>
      </w:r>
      <w:r>
        <w:rPr>
          <w:rStyle w:val="FootnoteAnchor"/>
          <w:rtl w:val="true"/>
        </w:rPr>
        <w:footnoteReference w:id="320"/>
      </w:r>
      <w:r>
        <w:rPr>
          <w:rFonts w:ascii="Amiri" w:hAnsi="Amiri" w:eastAsia="Amiri" w:cs="Amiri"/>
          <w:color w:val="111111"/>
          <w:sz w:val="28"/>
          <w:sz w:val="28"/>
          <w:szCs w:val="28"/>
          <w:rtl w:val="true"/>
          <w:lang w:bidi="ar-SA"/>
        </w:rPr>
        <w:t>، و الطوسيّ</w:t>
      </w:r>
      <w:r>
        <w:rPr>
          <w:rStyle w:val="FootnoteAnchor"/>
          <w:rtl w:val="true"/>
        </w:rPr>
        <w:footnoteReference w:id="321"/>
      </w:r>
      <w:r>
        <w:rPr>
          <w:rFonts w:ascii="Amiri" w:hAnsi="Amiri" w:eastAsia="Amiri" w:cs="Amiri"/>
          <w:color w:val="111111"/>
          <w:sz w:val="28"/>
          <w:sz w:val="28"/>
          <w:szCs w:val="28"/>
          <w:rtl w:val="true"/>
          <w:lang w:bidi="ar-SA"/>
        </w:rPr>
        <w:t>، و القاضي</w:t>
      </w:r>
      <w:r>
        <w:rPr>
          <w:rStyle w:val="FootnoteAnchor"/>
          <w:rtl w:val="true"/>
        </w:rPr>
        <w:footnoteReference w:id="322"/>
      </w:r>
      <w:r>
        <w:rPr>
          <w:rFonts w:ascii="Amiri" w:hAnsi="Amiri" w:eastAsia="Amiri" w:cs="Amiri"/>
          <w:color w:val="111111"/>
          <w:sz w:val="28"/>
          <w:sz w:val="28"/>
          <w:szCs w:val="28"/>
          <w:rtl w:val="true"/>
          <w:lang w:bidi="ar-SA"/>
        </w:rPr>
        <w:t>، و المحقّق</w:t>
      </w:r>
      <w:r>
        <w:rPr>
          <w:rStyle w:val="FootnoteAnchor"/>
          <w:rtl w:val="true"/>
        </w:rPr>
        <w:footnoteReference w:id="323"/>
      </w:r>
      <w:r>
        <w:rPr>
          <w:rFonts w:ascii="Amiri" w:hAnsi="Amiri" w:eastAsia="Amiri" w:cs="Amiri"/>
          <w:color w:val="111111"/>
          <w:sz w:val="28"/>
          <w:sz w:val="28"/>
          <w:szCs w:val="28"/>
          <w:rtl w:val="true"/>
          <w:lang w:bidi="ar-SA"/>
        </w:rPr>
        <w:t xml:space="preserve">،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مذهب أكثر أصحابنا</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ما نسب إلى أهل الخلاف</w:t>
      </w:r>
      <w:r>
        <w:rPr>
          <w:rStyle w:val="FootnoteAnchor"/>
          <w:rtl w:val="true"/>
        </w:rPr>
        <w:footnoteReference w:id="325"/>
      </w:r>
      <w:r>
        <w:rPr>
          <w:rFonts w:ascii="Amiri" w:hAnsi="Amiri" w:eastAsia="Amiri" w:cs="Amiri"/>
          <w:color w:val="111111"/>
          <w:sz w:val="28"/>
          <w:sz w:val="28"/>
          <w:szCs w:val="28"/>
          <w:rtl w:val="true"/>
          <w:lang w:bidi="ar-SA"/>
        </w:rPr>
        <w:t>، هي الطهارة بلا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ثالث</w:t>
      </w:r>
      <w:r>
        <w:rPr>
          <w:rStyle w:val="FootnoteAnchor"/>
          <w:rtl w:val="true"/>
        </w:rPr>
        <w:footnoteReference w:id="326"/>
      </w:r>
      <w:r>
        <w:rPr>
          <w:rFonts w:ascii="Amiri" w:hAnsi="Amiri" w:eastAsia="Amiri" w:cs="Amiri"/>
          <w:color w:val="111111"/>
          <w:sz w:val="28"/>
          <w:sz w:val="28"/>
          <w:szCs w:val="28"/>
          <w:rtl w:val="true"/>
          <w:lang w:bidi="ar-SA"/>
        </w:rPr>
        <w:t>، مذكور في الكتاب الكبير</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هو محطّ البحث، هو الماء القليل الوارد أو المورود، و أمّا</w:t>
      </w:r>
    </w:p>
    <w:p>
      <w:pPr>
        <w:pStyle w:val="BookText"/>
        <w:rPr/>
      </w:pPr>
      <w:r>
        <w:rPr>
          <w:rFonts w:ascii="Amiri" w:hAnsi="Amiri" w:eastAsia="Amiri" w:cs="Amiri"/>
          <w:color w:val="111111"/>
          <w:sz w:val="28"/>
          <w:sz w:val="28"/>
          <w:szCs w:val="28"/>
          <w:rtl w:val="true"/>
          <w:lang w:bidi="ar-SA"/>
        </w:rPr>
        <w:t>الكرّ و الجاري فهما على الظاهر خارجان عنه، و تفصيل البعض</w:t>
      </w:r>
      <w:r>
        <w:rPr>
          <w:rStyle w:val="FootnoteAnchor"/>
          <w:rtl w:val="true"/>
        </w:rPr>
        <w:footnoteReference w:id="328"/>
      </w:r>
      <w:r>
        <w:rPr>
          <w:rFonts w:ascii="Amiri" w:hAnsi="Amiri" w:eastAsia="Amiri" w:cs="Amiri"/>
          <w:color w:val="111111"/>
          <w:sz w:val="28"/>
          <w:sz w:val="28"/>
          <w:szCs w:val="28"/>
          <w:rtl w:val="true"/>
          <w:lang w:bidi="ar-SA"/>
        </w:rPr>
        <w:t>هنا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على حدود الخلاف بينهم، معتبر ابن مسلم المذكور في أخبار الكرّ،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الماء تبول فيه الدوابّ، و تلغ فيه الكلاب، و يغتسل فيه الجنب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كفاية الشكّ عندنا في ممنوعيّة المطهّرية، و هي هنا أقوى؛ لاعتضاد القاعدة بما أُشير إليه من الخلاف، و بطائفة من المآثير</w:t>
      </w:r>
      <w:r>
        <w:rPr>
          <w:rStyle w:val="FootnoteAnchor"/>
          <w:rtl w:val="true"/>
        </w:rPr>
        <w:footnoteReference w:id="330"/>
      </w:r>
      <w:r>
        <w:rPr>
          <w:rFonts w:ascii="Amiri" w:hAnsi="Amiri" w:eastAsia="Amiri" w:cs="Amiri"/>
          <w:color w:val="111111"/>
          <w:sz w:val="28"/>
          <w:sz w:val="28"/>
          <w:szCs w:val="28"/>
          <w:rtl w:val="true"/>
          <w:lang w:bidi="ar-SA"/>
        </w:rPr>
        <w:t>التي لا تخلو عن الضعف سنداً و دلالة على سبيل منع الخلوّ، المحمولة على صورة نجاسة بدن الجنب، أو الكراهة؛ نظراً إلى أنّ مقتضى إطلاق بعضها، المنع</w:t>
      </w:r>
      <w:r>
        <w:rPr>
          <w:rStyle w:val="FootnoteAnchor"/>
          <w:rtl w:val="true"/>
        </w:rPr>
        <w:footnoteReference w:id="331"/>
      </w:r>
      <w:r>
        <w:rPr>
          <w:rFonts w:ascii="Amiri" w:hAnsi="Amiri" w:eastAsia="Amiri" w:cs="Amiri"/>
          <w:color w:val="111111"/>
          <w:sz w:val="28"/>
          <w:sz w:val="28"/>
          <w:szCs w:val="28"/>
          <w:rtl w:val="true"/>
          <w:lang w:bidi="ar-SA"/>
        </w:rPr>
        <w:t>حتّى عن الكثير الذي اغتسل فيه الجنب، و هذا ممّا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مقتضى بعض الروايات، تجويز الاغتسال بالماء المستعمل</w:t>
      </w:r>
      <w:r>
        <w:rPr>
          <w:rStyle w:val="FootnoteAnchor"/>
          <w:rtl w:val="true"/>
        </w:rPr>
        <w:footnoteReference w:id="332"/>
      </w:r>
      <w:r>
        <w:rPr>
          <w:rFonts w:ascii="Amiri" w:hAnsi="Amiri" w:eastAsia="Amiri" w:cs="Amiri"/>
          <w:color w:val="111111"/>
          <w:sz w:val="28"/>
          <w:sz w:val="28"/>
          <w:szCs w:val="28"/>
          <w:rtl w:val="true"/>
          <w:lang w:bidi="ar-SA"/>
        </w:rPr>
        <w:t>، فهي مقدّمة على قضيّة القاعدة المشار إليها، و من تلك الأخبار معتبر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يغتسل فيه الجنب و غيره، أغتسل من مائه؟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لا بأس أن يغتسل منه الجنب، و لقد اغتسلت فيه </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الذي يغتسل منه في الحمّام، هي مياه الحياض الصغار، و هي عندنا كثير، مع أنّها متمادية بالمادّة الجعلية، فتكون خارجة عن محطّ الخلاف؛ ضرورة أنّه بحسب الطبع دائماً على التبادل، و ما هو مورد البحث هو الماء الذي اغتسل به الجنب، و انفصل من بدنه، و اجتمع في ظرف و إناء، فأراد هو أو غيره أن يغتسل به أو يتوضّأ، فإنّه حسب ما مرّ يحتاج مطهّريته إلى دليل، و قد عرفت قصور الأدلة برمّتها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يوجد في بعض الأخبار أيضاً، ما يقرب من الاستدلال المزبور، و هو خالٍ عن التحصيل، و ستمرّ عليك طائفة من الأخبار المتوهّم دلالتها</w:t>
      </w:r>
    </w:p>
    <w:p>
      <w:pPr>
        <w:pStyle w:val="BookText"/>
        <w:rPr/>
      </w:pPr>
      <w:r>
        <w:rPr>
          <w:rFonts w:ascii="Amiri" w:hAnsi="Amiri" w:eastAsia="Amiri" w:cs="Amiri"/>
          <w:color w:val="111111"/>
          <w:sz w:val="28"/>
          <w:sz w:val="28"/>
          <w:szCs w:val="28"/>
          <w:rtl w:val="true"/>
          <w:lang w:bidi="ar-SA"/>
        </w:rPr>
        <w:t>على هذه المسألة، مع أنّها تدلّ على طهارة ماء الغسالة، أو الماء المستعمل، دون المطهّرية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التوضّي من الإناء الذي فيه الماء، و إن يوجب صدق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المستعمل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غير مقصود الباحثين، و ما هو محطّ النظر كما مرّ ممنوع مطهّريته عندنا هنا، كما مرّ في الوضوء</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يؤيد ما أبدعناه؛ موثّق ابن ابي يعفور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تغتسل من البئر التي تجتمع فيها غسالة الحمّام</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bookmarkStart w:id="93" w:name="pg12366_122970"/>
    </w:p>
    <w:p>
      <w:pPr>
        <w:pStyle w:val="Heading4"/>
        <w:numPr>
          <w:ilvl w:val="3"/>
          <w:numId w:val="1"/>
        </w:numPr>
        <w:rPr/>
      </w:pPr>
      <w:bookmarkStart w:id="94" w:name="__RefHeading___Toc8895979_417432637"/>
      <w:bookmarkStart w:id="95" w:name="_Toc33"/>
      <w:bookmarkEnd w:id="93"/>
      <w:bookmarkEnd w:id="94"/>
      <w:r>
        <w:rPr>
          <w:rtl w:val="true"/>
        </w:rPr>
        <w:t>[</w:t>
      </w:r>
      <w:r>
        <w:rPr>
          <w:rtl w:val="true"/>
        </w:rPr>
        <w:t xml:space="preserve">مسألة </w:t>
      </w:r>
      <w:r>
        <w:rPr/>
        <w:t>24</w:t>
      </w:r>
      <w:r>
        <w:rPr>
          <w:rtl w:val="true"/>
        </w:rPr>
        <w:t xml:space="preserve">: </w:t>
      </w:r>
      <w:r>
        <w:rPr>
          <w:rtl w:val="true"/>
        </w:rPr>
        <w:t>الماء المستعمل في رفع الخبث</w:t>
      </w:r>
      <w:r>
        <w:rPr>
          <w:rtl w:val="true"/>
        </w:rPr>
        <w:t>]</w:t>
      </w:r>
      <w:bookmarkEnd w:id="9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المستعمل في رفع الخبث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نجس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نجس مطلقاً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وفاقاً للمعروف المشهور بين المتأخّرين</w:t>
      </w:r>
      <w:r>
        <w:rPr>
          <w:rStyle w:val="FootnoteAnchor"/>
          <w:rtl w:val="true"/>
        </w:rPr>
        <w:footnoteReference w:id="335"/>
      </w:r>
      <w:r>
        <w:rPr>
          <w:rFonts w:ascii="IRNazanin" w:hAnsi="IRNazanin" w:eastAsia="IRNazanin"/>
          <w:color w:val="111111"/>
          <w:sz w:val="28"/>
          <w:sz w:val="28"/>
          <w:szCs w:val="28"/>
          <w:rtl w:val="true"/>
          <w:lang w:bidi="fa-IR"/>
        </w:rPr>
        <w:t xml:space="preserve">، و هو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 xml:space="preserve">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Style w:val="FootnoteAnchor"/>
          <w:rtl w:val="true"/>
        </w:rPr>
        <w:footnoteReference w:id="33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و خلافاً لأكثر القدماء</w:t>
      </w:r>
      <w:r>
        <w:rPr>
          <w:rStyle w:val="FootnoteAnchor"/>
          <w:rtl w:val="true"/>
        </w:rPr>
        <w:footnoteReference w:id="340"/>
      </w:r>
      <w:r>
        <w:rPr>
          <w:rFonts w:ascii="Amiri" w:hAnsi="Amiri" w:eastAsia="Amiri" w:cs="Amiri"/>
          <w:color w:val="111111"/>
          <w:sz w:val="28"/>
          <w:sz w:val="28"/>
          <w:szCs w:val="28"/>
          <w:rtl w:val="true"/>
          <w:lang w:bidi="ar-SA"/>
        </w:rPr>
        <w:t>، و قد نسب إلى شيوخ المذهب، كالسيّد</w:t>
      </w:r>
      <w:r>
        <w:rPr>
          <w:rStyle w:val="FootnoteAnchor"/>
          <w:rtl w:val="true"/>
        </w:rPr>
        <w:footnoteReference w:id="341"/>
      </w:r>
      <w:r>
        <w:rPr>
          <w:rFonts w:ascii="Amiri" w:hAnsi="Amiri" w:eastAsia="Amiri" w:cs="Amiri"/>
          <w:color w:val="111111"/>
          <w:sz w:val="28"/>
          <w:sz w:val="28"/>
          <w:szCs w:val="28"/>
          <w:rtl w:val="true"/>
          <w:lang w:bidi="ar-SA"/>
        </w:rPr>
        <w:t xml:space="preserve">، و الشيخ في مسألة الولوغ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و إلى أبناء أبي عقيل، و حمزة</w:t>
      </w:r>
      <w:r>
        <w:rPr>
          <w:rStyle w:val="FootnoteAnchor"/>
          <w:rtl w:val="true"/>
        </w:rPr>
        <w:footnoteReference w:id="343"/>
      </w:r>
      <w:r>
        <w:rPr>
          <w:rFonts w:ascii="Amiri" w:hAnsi="Amiri" w:eastAsia="Amiri" w:cs="Amiri"/>
          <w:color w:val="111111"/>
          <w:sz w:val="28"/>
          <w:sz w:val="28"/>
          <w:szCs w:val="28"/>
          <w:rtl w:val="true"/>
          <w:lang w:bidi="ar-SA"/>
        </w:rPr>
        <w:t>، و إدريس</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ظاهر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345"/>
      </w:r>
      <w:r>
        <w:rPr>
          <w:rFonts w:ascii="Amiri" w:hAnsi="Amiri" w:eastAsia="Amiri" w:cs="Amiri"/>
          <w:color w:val="111111"/>
          <w:sz w:val="28"/>
          <w:sz w:val="28"/>
          <w:szCs w:val="28"/>
          <w:rtl w:val="true"/>
          <w:lang w:bidi="ar-SA"/>
        </w:rPr>
        <w:t>، و الأشبه إلى القواعد؛ ضرورة أنّ مقتضى الاستصحاب و قاعدة الطهارة ذلك، و لو نوقش في الأوّل تسلم الثاني عن الأصل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أوضحنا فساد الوجوه الخمسة التي يمكن الاتكاء عليه لنجاستها في الكتاب الكبير</w:t>
      </w:r>
      <w:r>
        <w:rPr>
          <w:rStyle w:val="FootnoteAnchor"/>
          <w:rtl w:val="true"/>
        </w:rPr>
        <w:footnoteReference w:id="346"/>
      </w:r>
      <w:r>
        <w:rPr>
          <w:rFonts w:ascii="Amiri" w:hAnsi="Amiri" w:eastAsia="Amiri" w:cs="Amiri"/>
          <w:color w:val="111111"/>
          <w:sz w:val="28"/>
          <w:sz w:val="28"/>
          <w:szCs w:val="28"/>
          <w:rtl w:val="true"/>
          <w:lang w:bidi="ar-SA"/>
        </w:rPr>
        <w:t>فإنّ حديث الإجماع</w:t>
      </w:r>
      <w:r>
        <w:rPr>
          <w:rStyle w:val="FootnoteAnchor"/>
          <w:rtl w:val="true"/>
        </w:rPr>
        <w:footnoteReference w:id="347"/>
      </w:r>
      <w:r>
        <w:rPr>
          <w:rFonts w:ascii="Amiri" w:hAnsi="Amiri" w:eastAsia="Amiri" w:cs="Amiri"/>
          <w:color w:val="111111"/>
          <w:sz w:val="28"/>
          <w:sz w:val="28"/>
          <w:szCs w:val="28"/>
          <w:rtl w:val="true"/>
          <w:lang w:bidi="ar-SA"/>
        </w:rPr>
        <w:t>، و إلغاء الخصوصيّة عرفاً، و ارتكاز العرف على حمل الماء نجاسة المحلّ إلى الخارج، فيكون الماء نجساً، غير راجعة إلى محصّل، حتّى تكون دليلًا و حجّة، كي لا يصل الشكّ في الحكم، حتّى تشمله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قضيّة مفهوم</w:t>
      </w:r>
      <w:r>
        <w:rPr>
          <w:rStyle w:val="FootnoteAnchor"/>
          <w:rtl w:val="true"/>
        </w:rPr>
        <w:footnoteReference w:id="348"/>
      </w:r>
      <w:r>
        <w:rPr>
          <w:rFonts w:ascii="Amiri" w:hAnsi="Amiri" w:eastAsia="Amiri" w:cs="Amiri"/>
          <w:color w:val="111111"/>
          <w:sz w:val="28"/>
          <w:sz w:val="28"/>
          <w:szCs w:val="28"/>
          <w:rtl w:val="true"/>
          <w:lang w:bidi="ar-SA"/>
        </w:rPr>
        <w:t>أخبار الكرّ</w:t>
      </w:r>
      <w:r>
        <w:rPr>
          <w:rStyle w:val="FootnoteAnchor"/>
          <w:rtl w:val="true"/>
        </w:rPr>
        <w:footnoteReference w:id="349"/>
      </w:r>
      <w:r>
        <w:rPr>
          <w:rFonts w:ascii="Amiri" w:hAnsi="Amiri" w:eastAsia="Amiri" w:cs="Amiri"/>
          <w:color w:val="111111"/>
          <w:sz w:val="28"/>
          <w:sz w:val="28"/>
          <w:szCs w:val="28"/>
          <w:rtl w:val="true"/>
          <w:lang w:bidi="ar-SA"/>
        </w:rPr>
        <w:t xml:space="preserve">فهي مضافاً إلى أنّ حجيّة مفهوم الشرط أوّلًا، و حجّية القضيّة الشرطيّة التي أداتها حروف وقتيّة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 فإنّها أقرب إلى بيان قيد للموضوع، دون التعليق للحكم، محلّ</w:t>
      </w:r>
    </w:p>
    <w:p>
      <w:pPr>
        <w:pStyle w:val="BookText"/>
        <w:rPr/>
      </w:pPr>
      <w:r>
        <w:rPr>
          <w:rFonts w:ascii="Amiri" w:hAnsi="Amiri" w:eastAsia="Amiri" w:cs="Amiri"/>
          <w:color w:val="111111"/>
          <w:sz w:val="28"/>
          <w:sz w:val="28"/>
          <w:szCs w:val="28"/>
          <w:rtl w:val="true"/>
          <w:lang w:bidi="ar-SA"/>
        </w:rPr>
        <w:t>المنع أنّ كشف الإطلاق للمفهوم من جهات محطّ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 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الأعيان و المتنجّسات غير واضح، فلا يثبت عموم الدعوى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المنطوق بعد 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المنجِّس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الماء إذا كان يبلغ كرّاً لا ينجّسه منجِّس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معقول بعد كونه منجَّساً، فلا بدّ أن أُريد به أنّه لا ينجِّسه ما يمكن أن يكون منجِّساً لغيره، و في ناحية المفهوم يثبت إمكان التنجّس؛ و هو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إثباتيّة كما في كلام القوم؛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المفهوم أيضاً سلب السلب جاء؛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لا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في الجزئيّة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سور القضيّة الجزئيّة</w:t>
      </w:r>
      <w:r>
        <w:rPr>
          <w:rStyle w:val="FootnoteAnchor"/>
          <w:rtl w:val="true"/>
        </w:rPr>
        <w:footnoteReference w:id="350"/>
      </w:r>
      <w:r>
        <w:rPr>
          <w:rFonts w:ascii="Amiri" w:hAnsi="Amiri" w:eastAsia="Amiri" w:cs="Amiri"/>
          <w:color w:val="111111"/>
          <w:sz w:val="28"/>
          <w:sz w:val="28"/>
          <w:szCs w:val="28"/>
          <w:rtl w:val="true"/>
          <w:lang w:bidi="ar-SA"/>
        </w:rPr>
        <w:t xml:space="preserve">، فالخلاف بين العلمين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في المسألة الكلّية و لو كان خلافاً مقيّد بها، ليس بخلاف في خصوص هذه القضيّة، و لا سيّما على الوجه الأخير؛ فإنّه و لو كان النكرة قائمة مقام أداة العموم، كي يستفاد هنا أنّ الماء المذكور</w:t>
      </w:r>
    </w:p>
    <w:p>
      <w:pPr>
        <w:pStyle w:val="BookText"/>
        <w:rPr/>
      </w:pPr>
      <w:r>
        <w:rPr>
          <w:rFonts w:ascii="Amiri" w:hAnsi="Amiri" w:eastAsia="Amiri" w:cs="Amiri"/>
          <w:color w:val="111111"/>
          <w:sz w:val="28"/>
          <w:sz w:val="28"/>
          <w:szCs w:val="28"/>
          <w:rtl w:val="true"/>
          <w:lang w:bidi="ar-SA"/>
        </w:rPr>
        <w:t xml:space="preserve">لا ينجّسه كلّ شي‌ء، و لكن إذا كان مفهومه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ينجّسه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العموم الأفراديّ، و في المرحلة الثانية العموم الأحواليّ، كما هو مرام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مفهومه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ينجّسه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بحكم الإهمال، و إثبات الإطلاق لأجل الفرار عن لغويّة الإهمال ممنوع؛ لإمكان الأخذ بالقدر المتيقّن؛ و هو القليل المورود، لا الوارد و القليل الوارد الباقي فيه عين النجس مثلًا، لا الزائل و لو كان ممّا لا يطهر إلّا بالتكرر، خلافاً لما ينسب إلى بعضهم من التفصيل بين الغسلة الأُولى و الثانية</w:t>
      </w:r>
      <w:r>
        <w:rPr>
          <w:rStyle w:val="FootnoteAnchor"/>
          <w:rtl w:val="true"/>
        </w:rPr>
        <w:footnoteReference w:id="352"/>
      </w:r>
      <w:r>
        <w:rPr>
          <w:rFonts w:ascii="Amiri" w:hAnsi="Amiri" w:eastAsia="Amiri" w:cs="Amiri"/>
          <w:color w:val="111111"/>
          <w:sz w:val="28"/>
          <w:sz w:val="28"/>
          <w:szCs w:val="28"/>
          <w:rtl w:val="true"/>
          <w:lang w:bidi="ar-SA"/>
        </w:rPr>
        <w:t>، و بين الغسلة المزيلة و غيرها</w:t>
      </w:r>
      <w:r>
        <w:rPr>
          <w:rStyle w:val="FootnoteAnchor"/>
          <w:rtl w:val="true"/>
        </w:rPr>
        <w:footnoteReference w:id="353"/>
      </w:r>
      <w:r>
        <w:rPr>
          <w:rFonts w:ascii="Amiri" w:hAnsi="Amiri" w:eastAsia="Amiri" w:cs="Amiri"/>
          <w:color w:val="111111"/>
          <w:sz w:val="28"/>
          <w:sz w:val="28"/>
          <w:szCs w:val="28"/>
          <w:rtl w:val="true"/>
          <w:lang w:bidi="ar-SA"/>
        </w:rPr>
        <w:t>، كما أومى في المتن إليهما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فالمهمّ في المسألة هي الأخبار الخاصّة، و من بينها ما هو الظاهر، كخبر العِيص بن القاسم، الذي رواه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xml:space="preserve">و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xml:space="preserve">على عادته، و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و المحقّق 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3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أصابته قطرة من طشت فيه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من بول أو قذر فيغسل ما أصابه</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من وَضوء الصلاة فلا بأس</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ذهاب الجلّ و فيهم الوالد المحقّق</w:t>
      </w:r>
      <w:r>
        <w:rPr>
          <w:rStyle w:val="FootnoteAnchor"/>
          <w:rtl w:val="true"/>
        </w:rPr>
        <w:footnoteReference w:id="360"/>
      </w:r>
      <w:r>
        <w:rPr>
          <w:rFonts w:ascii="Amiri" w:hAnsi="Amiri" w:eastAsia="Amiri" w:cs="Amiri"/>
          <w:color w:val="111111"/>
          <w:sz w:val="28"/>
          <w:sz w:val="28"/>
          <w:szCs w:val="28"/>
          <w:rtl w:val="true"/>
          <w:lang w:bidi="ar-SA"/>
        </w:rPr>
        <w:t xml:space="preserve">إلى أنّه نقيّ السند؛ لظهور نقل الشيخ عن كتابه، و طريقه إليه حسن، بل صحيح كما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Style w:val="FootnoteAnchor"/>
          <w:rtl w:val="true"/>
        </w:rPr>
        <w:footnoteReference w:id="361"/>
      </w:r>
      <w:r>
        <w:rPr>
          <w:rFonts w:ascii="IRNazanin" w:hAnsi="IRNazanin" w:eastAsia="IRNazanin"/>
          <w:color w:val="111111"/>
          <w:sz w:val="28"/>
          <w:sz w:val="28"/>
          <w:szCs w:val="28"/>
          <w:rtl w:val="true"/>
          <w:lang w:bidi="fa-IR"/>
        </w:rPr>
        <w:t xml:space="preserve">و صرّح بحسنه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362"/>
      </w:r>
      <w:r>
        <w:rPr>
          <w:rFonts w:ascii="Amiri" w:hAnsi="Amiri" w:eastAsia="Amiri" w:cs="Amiri"/>
          <w:color w:val="111111"/>
          <w:sz w:val="28"/>
          <w:sz w:val="28"/>
          <w:szCs w:val="28"/>
          <w:rtl w:val="true"/>
          <w:lang w:bidi="ar-SA"/>
        </w:rPr>
        <w:t>و غيره</w:t>
      </w:r>
      <w:r>
        <w:rPr>
          <w:rStyle w:val="FootnoteAnchor"/>
          <w:rtl w:val="true"/>
        </w:rPr>
        <w:footnoteReference w:id="363"/>
      </w:r>
      <w:r>
        <w:rPr>
          <w:rFonts w:ascii="Amiri" w:hAnsi="Amiri" w:eastAsia="Amiri" w:cs="Amiri"/>
          <w:color w:val="111111"/>
          <w:sz w:val="28"/>
          <w:sz w:val="28"/>
          <w:szCs w:val="28"/>
          <w:rtl w:val="true"/>
          <w:lang w:bidi="ar-SA"/>
        </w:rPr>
        <w:t>و يؤيده وجود مضمونها في المقنع</w:t>
      </w:r>
      <w:r>
        <w:rPr>
          <w:rStyle w:val="FootnoteAnchor"/>
          <w:rtl w:val="true"/>
        </w:rPr>
        <w:footnoteReference w:id="364"/>
      </w:r>
      <w:r>
        <w:rPr>
          <w:rFonts w:ascii="Amiri" w:hAnsi="Amiri" w:eastAsia="Amiri" w:cs="Amiri"/>
          <w:color w:val="111111"/>
          <w:sz w:val="28"/>
          <w:sz w:val="28"/>
          <w:szCs w:val="28"/>
          <w:rtl w:val="true"/>
          <w:lang w:bidi="ar-SA"/>
        </w:rPr>
        <w:t xml:space="preserve">جدّاً، فلا يضرّ إضمارها غير تامّ عندي؛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ألّفه الشيخ في شبابه، و لو كان عنده كتابه لحكاها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أفتى على خلافه في موضع على الإطلاق</w:t>
      </w:r>
      <w:r>
        <w:rPr>
          <w:rStyle w:val="FootnoteAnchor"/>
          <w:rtl w:val="true"/>
        </w:rPr>
        <w:footnoteReference w:id="365"/>
      </w:r>
      <w:r>
        <w:rPr>
          <w:rFonts w:ascii="Amiri" w:hAnsi="Amiri" w:eastAsia="Amiri" w:cs="Amiri"/>
          <w:color w:val="111111"/>
          <w:sz w:val="28"/>
          <w:sz w:val="28"/>
          <w:szCs w:val="28"/>
          <w:rtl w:val="true"/>
          <w:lang w:bidi="ar-SA"/>
        </w:rPr>
        <w:t>، و في موضع</w:t>
      </w:r>
    </w:p>
    <w:p>
      <w:pPr>
        <w:pStyle w:val="BookText"/>
        <w:rPr/>
      </w:pPr>
      <w:r>
        <w:rPr>
          <w:rFonts w:ascii="Amiri" w:hAnsi="Amiri" w:eastAsia="Amiri" w:cs="Amiri"/>
          <w:color w:val="111111"/>
          <w:sz w:val="28"/>
          <w:sz w:val="28"/>
          <w:szCs w:val="28"/>
          <w:rtl w:val="true"/>
          <w:lang w:bidi="ar-SA"/>
        </w:rPr>
        <w:t>بالتفصيل</w:t>
      </w:r>
      <w:r>
        <w:rPr>
          <w:rStyle w:val="FootnoteAnchor"/>
          <w:rtl w:val="true"/>
        </w:rPr>
        <w:footnoteReference w:id="366"/>
      </w:r>
      <w:r>
        <w:rPr>
          <w:rFonts w:ascii="Amiri" w:hAnsi="Amiri" w:eastAsia="Amiri" w:cs="Amiri"/>
          <w:color w:val="111111"/>
          <w:sz w:val="28"/>
          <w:sz w:val="28"/>
          <w:szCs w:val="28"/>
          <w:rtl w:val="true"/>
          <w:lang w:bidi="ar-SA"/>
        </w:rPr>
        <w:t>، فلم يعمل به هو و لا الصدوق، مع ما نسب إلى القدماء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بالطهارة</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أنّ في طريقه إليه ابن أبي جِيد، و هو عليّ بن أحمد القمّي</w:t>
      </w:r>
      <w:r>
        <w:rPr>
          <w:rStyle w:val="FootnoteAnchor"/>
          <w:rtl w:val="true"/>
        </w:rPr>
        <w:footnoteReference w:id="368"/>
      </w:r>
      <w:r>
        <w:rPr>
          <w:rFonts w:ascii="Amiri" w:hAnsi="Amiri" w:eastAsia="Amiri" w:cs="Amiri"/>
          <w:color w:val="111111"/>
          <w:sz w:val="28"/>
          <w:sz w:val="28"/>
          <w:szCs w:val="28"/>
          <w:rtl w:val="true"/>
          <w:lang w:bidi="ar-SA"/>
        </w:rPr>
        <w:t>غير المذكور بمدح و لا 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سائر الأخبار</w:t>
      </w:r>
      <w:r>
        <w:rPr>
          <w:rStyle w:val="FootnoteAnchor"/>
          <w:rtl w:val="true"/>
        </w:rPr>
        <w:footnoteReference w:id="369"/>
      </w:r>
      <w:r>
        <w:rPr>
          <w:rFonts w:ascii="Amiri" w:hAnsi="Amiri" w:eastAsia="Amiri" w:cs="Amiri"/>
          <w:color w:val="111111"/>
          <w:sz w:val="28"/>
          <w:sz w:val="28"/>
          <w:szCs w:val="28"/>
          <w:rtl w:val="true"/>
          <w:lang w:bidi="ar-SA"/>
        </w:rPr>
        <w:t>المستدلّ بها نظر واضح؛ لا يحتاج إلى التدبّر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هذه المسألة من المسائل المبتلى بها، فلو كانت نجسة لبانت غايتها، من غير حاجة إلى هذه الدلائل الساقطة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أوضحنا المؤيّدات للقول بالطهارة في الكتاب الكبير</w:t>
      </w:r>
      <w:r>
        <w:rPr>
          <w:rStyle w:val="FootnoteAnchor"/>
          <w:rtl w:val="true"/>
        </w:rPr>
        <w:footnoteReference w:id="370"/>
      </w:r>
      <w:r>
        <w:rPr>
          <w:rFonts w:ascii="Amiri" w:hAnsi="Amiri" w:eastAsia="Amiri" w:cs="Amiri"/>
          <w:color w:val="111111"/>
          <w:sz w:val="28"/>
          <w:sz w:val="28"/>
          <w:szCs w:val="28"/>
          <w:rtl w:val="true"/>
          <w:lang w:bidi="ar-SA"/>
        </w:rPr>
        <w:t>، و في روايات الاستنجاء</w:t>
      </w:r>
      <w:r>
        <w:rPr>
          <w:rStyle w:val="FootnoteAnchor"/>
          <w:rtl w:val="true"/>
        </w:rPr>
        <w:footnoteReference w:id="371"/>
      </w:r>
      <w:r>
        <w:rPr>
          <w:rFonts w:ascii="Amiri" w:hAnsi="Amiri" w:eastAsia="Amiri" w:cs="Amiri"/>
          <w:color w:val="111111"/>
          <w:sz w:val="28"/>
          <w:sz w:val="28"/>
          <w:szCs w:val="28"/>
          <w:rtl w:val="true"/>
          <w:lang w:bidi="ar-SA"/>
        </w:rPr>
        <w:t>أيضاً بعض الشواهد القويّة</w:t>
      </w:r>
      <w:r>
        <w:rPr>
          <w:rStyle w:val="FootnoteAnchor"/>
          <w:rtl w:val="true"/>
        </w:rPr>
        <w:footnoteReference w:id="372"/>
      </w:r>
      <w:r>
        <w:rPr>
          <w:rFonts w:ascii="Amiri" w:hAnsi="Amiri" w:eastAsia="Amiri" w:cs="Amiri"/>
          <w:color w:val="111111"/>
          <w:sz w:val="28"/>
          <w:sz w:val="28"/>
          <w:szCs w:val="28"/>
          <w:rtl w:val="true"/>
          <w:lang w:bidi="ar-SA"/>
        </w:rPr>
        <w:t>على المسألة، و قول</w:t>
      </w:r>
    </w:p>
    <w:p>
      <w:pPr>
        <w:pStyle w:val="BookText"/>
        <w:rPr/>
      </w:pPr>
      <w:r>
        <w:rPr>
          <w:rFonts w:ascii="Amiri" w:hAnsi="Amiri" w:eastAsia="Amiri" w:cs="Amiri"/>
          <w:color w:val="111111"/>
          <w:sz w:val="28"/>
          <w:sz w:val="28"/>
          <w:szCs w:val="28"/>
          <w:rtl w:val="true"/>
          <w:lang w:bidi="ar-SA"/>
        </w:rPr>
        <w:t xml:space="preserve">الفقيه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من استثناء ماء الاستنجاء يكشف نجاسة الغسالة</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من الظرافة في الاستدلال، أو كشف الاتفاق المعلوم حاله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وصلت النوبة إلى تمسّكهم بالأخبار، تقع العارضة بين ما مرّ و ما يأتي في مسائل الاستنجاء إن شاء اللَّه تعالى، و الترجيح مع الثانية؛ لذهاب المعروفين من العامّة إلى النجاسة</w:t>
      </w:r>
      <w:r>
        <w:rPr>
          <w:rStyle w:val="FootnoteAnchor"/>
          <w:rtl w:val="true"/>
        </w:rPr>
        <w:footnoteReference w:id="374"/>
      </w:r>
      <w:r>
        <w:rPr>
          <w:rFonts w:ascii="Amiri" w:hAnsi="Amiri" w:eastAsia="Amiri" w:cs="Amiri"/>
          <w:color w:val="111111"/>
          <w:sz w:val="28"/>
          <w:sz w:val="28"/>
          <w:szCs w:val="28"/>
          <w:rtl w:val="true"/>
          <w:lang w:bidi="ar-SA"/>
        </w:rPr>
        <w:t>، مع أنّ القول بالطهارة موافق للكتاب</w:t>
      </w:r>
      <w:r>
        <w:rPr>
          <w:rStyle w:val="FootnoteAnchor"/>
          <w:rtl w:val="true"/>
        </w:rPr>
        <w:footnoteReference w:id="375"/>
      </w:r>
      <w:r>
        <w:rPr>
          <w:rFonts w:ascii="Amiri" w:hAnsi="Amiri" w:eastAsia="Amiri" w:cs="Amiri"/>
          <w:color w:val="111111"/>
          <w:sz w:val="28"/>
          <w:sz w:val="28"/>
          <w:szCs w:val="28"/>
          <w:rtl w:val="true"/>
          <w:lang w:bidi="ar-SA"/>
        </w:rPr>
        <w:t>على وجه، كما لا يخفى</w:t>
      </w:r>
      <w:r>
        <w:rPr>
          <w:rFonts w:eastAsia="Amiri" w:cs="Amiri" w:ascii="Amiri" w:hAnsi="Amiri"/>
          <w:color w:val="111111"/>
          <w:sz w:val="28"/>
          <w:szCs w:val="28"/>
          <w:rtl w:val="true"/>
          <w:lang w:bidi="ar-SA"/>
        </w:rPr>
        <w:t>.</w:t>
      </w:r>
      <w:bookmarkStart w:id="96" w:name="pg12366_122977"/>
    </w:p>
    <w:p>
      <w:pPr>
        <w:pStyle w:val="Heading4"/>
        <w:numPr>
          <w:ilvl w:val="3"/>
          <w:numId w:val="1"/>
        </w:numPr>
        <w:rPr/>
      </w:pPr>
      <w:bookmarkStart w:id="97" w:name="__RefHeading___Toc8895981_417432637"/>
      <w:bookmarkStart w:id="98" w:name="_Toc34"/>
      <w:bookmarkEnd w:id="96"/>
      <w:bookmarkEnd w:id="97"/>
      <w:r>
        <w:rPr>
          <w:rtl w:val="true"/>
        </w:rPr>
        <w:t>[</w:t>
      </w:r>
      <w:r>
        <w:rPr>
          <w:rtl w:val="true"/>
        </w:rPr>
        <w:t xml:space="preserve">مسألة </w:t>
      </w:r>
      <w:r>
        <w:rPr/>
        <w:t>25</w:t>
      </w:r>
      <w:r>
        <w:rPr>
          <w:rtl w:val="true"/>
        </w:rPr>
        <w:t xml:space="preserve">: </w:t>
      </w:r>
      <w:r>
        <w:rPr>
          <w:rtl w:val="true"/>
        </w:rPr>
        <w:t>ماء الاستنجاء</w:t>
      </w:r>
      <w:r>
        <w:rPr>
          <w:rtl w:val="true"/>
        </w:rPr>
        <w:t>]</w:t>
      </w:r>
      <w:bookmarkEnd w:id="9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الاستنجاء سواء كان من البول أو الغائط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المعروف و المشهور، و المصرّح به في كلام جمع عدم الفرق بين الخبثين</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ما هو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xml:space="preserve">بل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3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عدم الفرق بمقتضى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جدّاً؛ لعدم ورود نصّ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قضيّة اللّغة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بالخبث الأكبر، و إن ألحقوا به الأصغر في الحكم من الطهارة أو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أعمّية الاستنجاء قد تبيّن عندنا في كتابنا الكبير</w:t>
      </w:r>
      <w:r>
        <w:rPr>
          <w:rStyle w:val="FootnoteAnchor"/>
          <w:rtl w:val="true"/>
        </w:rPr>
        <w:footnoteReference w:id="379"/>
      </w:r>
      <w:r>
        <w:rPr>
          <w:rFonts w:ascii="Amiri" w:hAnsi="Amiri" w:eastAsia="Amiri" w:cs="Amiri"/>
          <w:color w:val="111111"/>
          <w:sz w:val="28"/>
          <w:sz w:val="28"/>
          <w:szCs w:val="28"/>
          <w:rtl w:val="true"/>
          <w:lang w:bidi="ar-SA"/>
        </w:rPr>
        <w:t>أنّه أعمّ بلا شبهة في محيط الاستعمال و الأخبار، ففي خبر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إذا أراد أن يستنجي بالماء، يبدأ بالمقعدة أو بالإحليل؟</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بالمقعدة </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أراد أن يستنجي من الغائط</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عبد الملك بن عمرو في الباب الثالث عشر من أبواب نواقض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يبول ثمّ يستنجي، ثمّ يجد بعد ذلك بللًا</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عن سَماعة مثله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مقتضى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حقيقة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القطع من أُصول الشجرة، فالمستنجي كأنّه يقطع في الجانبين أُصول الخبثين، فراجع و تدبّر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مسألة طهارته على الإطلاق، أو نجاسته على الإطلاق، أو عفو بعض أحكامه، أو التفصيل بين البول و الغائط؛ بنجاسة الأوّل دون الثاني، أو العفو عن الثاني دون الأوّل، فهي وجوه بل أقوال، يلحق بالاتفاق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بالطهارة الموضوعيّة أو الحكميّة، المعبّر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يقتضيه</w:t>
      </w:r>
    </w:p>
    <w:p>
      <w:pPr>
        <w:pStyle w:val="BookText"/>
        <w:rPr/>
      </w:pPr>
      <w:r>
        <w:rPr>
          <w:rFonts w:ascii="Amiri" w:hAnsi="Amiri" w:eastAsia="Amiri" w:cs="Amiri"/>
          <w:color w:val="111111"/>
          <w:sz w:val="28"/>
          <w:sz w:val="28"/>
          <w:szCs w:val="28"/>
          <w:rtl w:val="true"/>
          <w:lang w:bidi="ar-SA"/>
        </w:rPr>
        <w:t>الدليل، و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بطهارته، فالمنع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ماء الاستنجاء بالمعنى المراد عندهم كما يأتي عند ذكر الشرائط يعدّ من الغُسالة، و قد مرّ طهارتها عندنا</w:t>
      </w:r>
      <w:r>
        <w:rPr>
          <w:rStyle w:val="FootnoteAnchor"/>
          <w:rtl w:val="true"/>
        </w:rPr>
        <w:footnoteReference w:id="384"/>
      </w:r>
      <w:r>
        <w:rPr>
          <w:rFonts w:ascii="Amiri" w:hAnsi="Amiri" w:eastAsia="Amiri" w:cs="Amiri"/>
          <w:color w:val="111111"/>
          <w:sz w:val="28"/>
          <w:sz w:val="28"/>
          <w:szCs w:val="28"/>
          <w:rtl w:val="true"/>
          <w:lang w:bidi="ar-SA"/>
        </w:rPr>
        <w:t>، فهي هنا تكون أقوى، و لا سبيل إلى التمسّك</w:t>
      </w:r>
      <w:r>
        <w:rPr>
          <w:rStyle w:val="FootnoteAnchor"/>
          <w:rtl w:val="true"/>
        </w:rPr>
        <w:footnoteReference w:id="385"/>
      </w:r>
      <w:r>
        <w:rPr>
          <w:rFonts w:ascii="Amiri" w:hAnsi="Amiri" w:eastAsia="Amiri" w:cs="Amiri"/>
          <w:color w:val="111111"/>
          <w:sz w:val="28"/>
          <w:sz w:val="28"/>
          <w:szCs w:val="28"/>
          <w:rtl w:val="true"/>
          <w:lang w:bidi="ar-SA"/>
        </w:rPr>
        <w:t>بأدلّة انفعال القليل؛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بنجاسة الغسالة، فالأشبه و الأقرب نجاسة الاستنجاء؛ جمعاً بين أدلّة انفعال القليل، و بين أدلّة منجّسية المتنجّس</w:t>
      </w:r>
      <w:r>
        <w:rPr>
          <w:rStyle w:val="FootnoteAnchor"/>
          <w:rtl w:val="true"/>
        </w:rPr>
        <w:footnoteReference w:id="386"/>
      </w:r>
      <w:r>
        <w:rPr>
          <w:rFonts w:ascii="Amiri" w:hAnsi="Amiri" w:eastAsia="Amiri" w:cs="Amiri"/>
          <w:color w:val="111111"/>
          <w:sz w:val="28"/>
          <w:sz w:val="28"/>
          <w:szCs w:val="28"/>
          <w:rtl w:val="true"/>
          <w:lang w:bidi="ar-SA"/>
        </w:rPr>
        <w:t>، و بين أخبار المسألة؛ بحملها على عدم شرطيّة طهارة الثوب الذي يصلّى فيه الواقع في ماء الاستنجاء، كما في روايات الاستنجاء</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في كتب المتأخّرين بعيد عن الصواب؛ لأنّ هذه الأخبار إمّا تدلّ على طهارة الغسالة، و لا خصوصيّة لها، بل كثرة الابتلاء بغيرها في حدّها، و إمّا لا تدلّ على شي‌ء إلّا جواز الصلاة في الثوب الواقع فيه؛ ضرورة أنّ الجهة المسئول عنها بين السائل و المجيب في الثوب المذكور في الروايات الكثيرة، هو الصلاة فيه، دون شي‌ء آخر؛ فإنّه بعيد، كشرب</w:t>
      </w:r>
    </w:p>
    <w:p>
      <w:pPr>
        <w:pStyle w:val="BookText"/>
        <w:rPr/>
      </w:pPr>
      <w:r>
        <w:rPr>
          <w:rFonts w:ascii="Amiri" w:hAnsi="Amiri" w:eastAsia="Amiri" w:cs="Amiri"/>
          <w:color w:val="111111"/>
          <w:sz w:val="28"/>
          <w:sz w:val="28"/>
          <w:szCs w:val="28"/>
          <w:rtl w:val="true"/>
          <w:lang w:bidi="ar-SA"/>
        </w:rPr>
        <w:t>الماء إذا وقع فيه الثوب، أو الطواف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المتفاهم منها اختصاص الحكم بالماء الذي استنجي به الخبث الأكبر؛ لأنّه الذي يقع فيه الثوب المتعارف في بلد الأخبار و الروايات، فلا تصل النوبة إلى معارضة العمومات الثلاثة، و الابتلاء بما لا يُعتنى به، كما في كتب بعض المتأخّرين، كالشيخ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388"/>
      </w:r>
      <w:r>
        <w:rPr>
          <w:rFonts w:ascii="IRNazanin" w:hAnsi="IRNazanin" w:eastAsia="IRNazanin"/>
          <w:color w:val="111111"/>
          <w:sz w:val="28"/>
          <w:sz w:val="28"/>
          <w:szCs w:val="28"/>
          <w:rtl w:val="true"/>
          <w:lang w:bidi="fa-IR"/>
        </w:rPr>
        <w:t>و أتباعه</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في تلك الأخبار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معتبر، عن عبد الكريم ابن عتبة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يقع ثوبه على الماء الذي استنجى به، أ ينجِّس ذلك ثوبَه؟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و إن يشهد على نجاسة الماء كما هو خيرة القائلين بالعفو، و تكون شاهدة على مفاد سائر الأخبار الساكتة عن الحكم الوضعيّ، و لكنّها تدلّ على طهارة الملاقي، و لازم ذلك تخصيص منجّسية المتنجّس على القول بإطلاق دليله، كما لا يخفى</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أن يكون عدم منجّسيته؛ لأجل عدم نجاسته، فتدلّ على الطهارة،</w:t>
      </w:r>
    </w:p>
    <w:p>
      <w:pPr>
        <w:pStyle w:val="BookText"/>
        <w:rPr/>
      </w:pPr>
      <w:r>
        <w:rPr>
          <w:rFonts w:ascii="Amiri" w:hAnsi="Amiri" w:eastAsia="Amiri" w:cs="Amiri"/>
          <w:color w:val="111111"/>
          <w:sz w:val="28"/>
          <w:sz w:val="28"/>
          <w:szCs w:val="28"/>
          <w:rtl w:val="true"/>
          <w:lang w:bidi="ar-SA"/>
        </w:rPr>
        <w:t>و تؤيّد التفاهم البدويّ من سائر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تكون ناظرة إلى عدم تنجّس الثوب حكماً؛ لجواز الصلاة فيه، و حيث إنّه الأثر الواضح صحّ السلب المذكور، فلا يلزم تخصيص في أخبار انفعال القليل، و لا في منجّسية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خصّص أخبار الانفعال بتلك الأدلّة، فيلزم خروجه موضوعاً عن إطلاق دليل تنجيس المنجّس، و لا تقييد، كما أنّ الأمر كذلك بالنسبة إلى دليل شرطيّة طهارة ثوب الصلاة</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نجس غير منجِّس، يبقى عموم أدلّة الانفعال على حاله، دون العموم الثاني، و يخرج موضوعاً عن العامّ الثالث، فتلك العمومات ليست عرضيّة، بل هي طوليّة غير متعارضة صناعةً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يسهّل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عُتْبة اللهبيّ الهاشميّ أمره مريب عندي، و لا يكفي مجرّد توثيق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و رواية بعض أصحاب الإجماع</w:t>
      </w:r>
      <w:r>
        <w:rPr>
          <w:rStyle w:val="FootnoteAnchor"/>
          <w:rtl w:val="true"/>
        </w:rPr>
        <w:footnoteReference w:id="393"/>
      </w:r>
      <w:r>
        <w:rPr>
          <w:rFonts w:ascii="Amiri" w:hAnsi="Amiri" w:eastAsia="Amiri" w:cs="Amiri"/>
          <w:color w:val="111111"/>
          <w:sz w:val="28"/>
          <w:sz w:val="28"/>
          <w:szCs w:val="28"/>
          <w:rtl w:val="true"/>
          <w:lang w:bidi="ar-SA"/>
        </w:rPr>
        <w:t>لما في تأريخه بعض الكلام، و لذلك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توثيق الشيخ</w:t>
      </w:r>
    </w:p>
    <w:p>
      <w:pPr>
        <w:pStyle w:val="BookText"/>
        <w:rPr/>
      </w:pPr>
      <w:r>
        <w:rPr>
          <w:rFonts w:ascii="Amiri" w:hAnsi="Amiri" w:eastAsia="Amiri" w:cs="Amiri"/>
          <w:color w:val="111111"/>
          <w:sz w:val="28"/>
          <w:sz w:val="28"/>
          <w:szCs w:val="28"/>
          <w:rtl w:val="true"/>
          <w:lang w:bidi="ar-SA"/>
        </w:rPr>
        <w:t xml:space="preserve">إذا لم يتغيّر أحد أوصافه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فيه أجزاء متميّزة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عدّه من أصحاب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لكونه منهم غير واضح، و لم يوثّقه غيره إلّا تبعاً له</w:t>
      </w:r>
      <w:r>
        <w:rPr>
          <w:rStyle w:val="FootnoteAnchor"/>
          <w:rtl w:val="true"/>
        </w:rPr>
        <w:footnoteReference w:id="395"/>
      </w:r>
      <w:r>
        <w:rPr>
          <w:rFonts w:ascii="Amiri" w:hAnsi="Amiri" w:eastAsia="Amiri" w:cs="Amiri"/>
          <w:color w:val="111111"/>
          <w:sz w:val="28"/>
          <w:sz w:val="28"/>
          <w:szCs w:val="28"/>
          <w:rtl w:val="true"/>
          <w:lang w:bidi="ar-SA"/>
        </w:rPr>
        <w:t>، و لا هو إلّا في ذلك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كلّه، لا يبعد اعتباره؛ لإمكان ما قيل في حياته من الخدشة</w:t>
      </w:r>
      <w:r>
        <w:rPr>
          <w:rStyle w:val="FootnoteAnchor"/>
          <w:rtl w:val="true"/>
        </w:rPr>
        <w:footnoteReference w:id="396"/>
      </w:r>
      <w:r>
        <w:rPr>
          <w:rFonts w:ascii="Amiri" w:hAnsi="Amiri" w:eastAsia="Amiri" w:cs="Amiri"/>
          <w:color w:val="111111"/>
          <w:sz w:val="28"/>
          <w:sz w:val="28"/>
          <w:szCs w:val="28"/>
          <w:rtl w:val="true"/>
          <w:lang w:bidi="ar-SA"/>
        </w:rPr>
        <w:t>فراجع، نعم هو من المعمّرين ظاهراً، و مع ذلك قليل الرواية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الانجبار في غير محلّه؛ لأنّ الشهرة أوّلًا على الطهارة غير معلومة، مع أنّها شهرة غير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أوصافه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 ما فيه و ما في اختصاص الحكم بالثلاثة</w:t>
      </w:r>
      <w:r>
        <w:rPr>
          <w:rStyle w:val="FootnoteAnchor"/>
          <w:rtl w:val="true"/>
        </w:rPr>
        <w:footnoteReference w:id="397"/>
      </w:r>
      <w:r>
        <w:rPr>
          <w:rFonts w:ascii="Amiri" w:hAnsi="Amiri" w:eastAsia="Amiri" w:cs="Amiri"/>
          <w:color w:val="111111"/>
          <w:sz w:val="28"/>
          <w:sz w:val="28"/>
          <w:szCs w:val="28"/>
          <w:rtl w:val="true"/>
          <w:lang w:bidi="ar-SA"/>
        </w:rPr>
        <w:t>، فالاحتياط لا يترك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متميّزة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في رواياتها من الاختصاص بالماء المستنجى به</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المتعارف وجودها فيه، و دعوى أنّ وقوع الثوب في ذلك الماء بعد تبديل المكان، غير واضحة، مع أنّ السكوت و عدم ذكر</w:t>
      </w:r>
    </w:p>
    <w:p>
      <w:pPr>
        <w:pStyle w:val="BookText"/>
        <w:rPr/>
      </w:pPr>
      <w:r>
        <w:rPr>
          <w:rFonts w:ascii="Amiri" w:hAnsi="Amiri" w:eastAsia="Amiri" w:cs="Amiri"/>
          <w:color w:val="111111"/>
          <w:sz w:val="28"/>
          <w:sz w:val="28"/>
          <w:szCs w:val="28"/>
          <w:rtl w:val="true"/>
          <w:lang w:bidi="ar-SA"/>
        </w:rPr>
        <w:t xml:space="preserve">من الغائط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يعدّ فاحشاً على وجه لا يصدق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الاستنجاء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من قبل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الحال، أيضاً يؤكّد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يقع الفرق بين ماء الغسالة و ماء الاستنجاء عندنا؛ فإنّ الأوّل طاهر بالشرط، و الثاني غير مشروط بما أُفيد على الأشبه،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الذي استنجي منه، و أمّا ما هو الخارج الأجنبيّ عنه فالانفعال 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يصدق معه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منع من صدقه إذا كان يستنجي بالنسبة إلى محلّ النجوة و المحلّ المتعدّى إليه، فإنّه يصدق، و مع ذلك يشكل؛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مقروناً بغسل المحلّ الآخر،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نجاسة الغسالة، و إلّا فمع شرائط طهارة الغسالة فلا يضرّ التجاوز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يتوهّم في صورة اختلاط ماء الاستنجاء مع ماء المحلّ الزائد الفاحش، تعارضُ الإطلاقين إذا صدق على الماء الموجود الواقع فيه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الغسالة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تخيّل تقدّم الإطلاق الثاني على الأوّل، في غير محلّه، كما أنّ توهّم انصراف الإطلاق إلى غير هذه الصورة،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تصل إليه نجاسة من 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 ما إذا خرج مع البول أو الغائط نجاسة أُخرى مثل 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ما يعدّ جزءً منهما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إنكار الإطلاق لأخبار الباب من أجل أنّه إطلاق سكوتيّ ممكن؛ لأنّ الغلبة مع عدم التعدّي الفاحش، فلا يحصل من ترك الاستفصال شي‌ء،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 وجهه، و لا يختصّ الحكم بالنجاسة؛ فإنّ بحكمها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لا يتنجَّس بمنجِّس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يشمل صورة وصولها إليه، أو ورود الماء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يندرج ذلك في الشرط السابق؛ لأنّه شي‌ء أجنبيّ خارج، كدم البواسير و النواسير و أمثالهما، فما في بعض الكتب؛ من عدّه شرطاً آخر</w:t>
      </w:r>
      <w:r>
        <w:rPr>
          <w:rStyle w:val="FootnoteAnchor"/>
          <w:rtl w:val="true"/>
        </w:rPr>
        <w:footnoteReference w:id="399"/>
      </w:r>
      <w:r>
        <w:rPr>
          <w:rFonts w:ascii="Amiri" w:hAnsi="Amiri" w:eastAsia="Amiri" w:cs="Amiri"/>
          <w:color w:val="111111"/>
          <w:sz w:val="28"/>
          <w:sz w:val="28"/>
          <w:szCs w:val="28"/>
          <w:rtl w:val="true"/>
          <w:lang w:bidi="ar-SA"/>
        </w:rPr>
        <w:t>،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إذا كان يتبدّل الخرء بالدم في الجوف، ربّما يشكل القول بنجاسته</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ثبوت الإطلاق في الباب رأساً، فيرجع إلى</w:t>
      </w:r>
    </w:p>
    <w:p>
      <w:pPr>
        <w:pStyle w:val="BookText"/>
        <w:rPr/>
      </w:pPr>
      <w:r>
        <w:rPr>
          <w:rFonts w:ascii="Amiri" w:hAnsi="Amiri" w:eastAsia="Amiri" w:cs="Amiri"/>
          <w:color w:val="111111"/>
          <w:sz w:val="28"/>
          <w:sz w:val="28"/>
          <w:szCs w:val="28"/>
          <w:rtl w:val="true"/>
          <w:lang w:bidi="ar-SA"/>
        </w:rPr>
        <w:t>أدلّة انفعال القليل، و ما في كلام القوم؛ من توهّم الإهمال من هذه الجهة في أخبار المسألة</w:t>
      </w:r>
      <w:r>
        <w:rPr>
          <w:rStyle w:val="FootnoteAnchor"/>
          <w:rtl w:val="true"/>
        </w:rPr>
        <w:footnoteReference w:id="401"/>
      </w:r>
      <w:r>
        <w:rPr>
          <w:rFonts w:ascii="Amiri" w:hAnsi="Amiri" w:eastAsia="Amiri" w:cs="Amiri"/>
          <w:color w:val="111111"/>
          <w:sz w:val="28"/>
          <w:sz w:val="28"/>
          <w:szCs w:val="28"/>
          <w:rtl w:val="true"/>
          <w:lang w:bidi="ar-SA"/>
        </w:rPr>
        <w:t>، غير تامّ، و لا تختلط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الاحتياط في صورة عدّه جزءً من الخرء و الغائط فواضح؛ ضرورة أنّه قويّاً يحتمل كون المورد وارداً في محطّ الأخبار؛ ممّا يعدّ ماؤه من ماء الاستنجاء بالنسبة إلى الجزء الآخر، و قضيّة المعارضة هو الاحتياط؛ لإمكان ترجيح كلّ من الإطلاقين على الآخر كما مرّ، فلا تثبت المعارضة حتّى تندرج في الأخبار العلاجيّة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ما عرفت منّا، يقدّم أخبار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ثبوت الإطلاق هناك أيضاً بحث، فاغتنم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هاهنا شروطاً أُخر ذكرناها في كتابنا الكبير</w:t>
      </w:r>
      <w:r>
        <w:rPr>
          <w:rStyle w:val="FootnoteAnchor"/>
          <w:rtl w:val="true"/>
        </w:rPr>
        <w:footnoteReference w:id="402"/>
      </w:r>
      <w:r>
        <w:rPr>
          <w:rFonts w:ascii="Amiri" w:hAnsi="Amiri" w:eastAsia="Amiri" w:cs="Amiri"/>
          <w:color w:val="111111"/>
          <w:sz w:val="28"/>
          <w:sz w:val="28"/>
          <w:szCs w:val="28"/>
          <w:rtl w:val="true"/>
          <w:lang w:bidi="ar-SA"/>
        </w:rPr>
        <w:t xml:space="preserve">، و في بعض تعاليقنا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فليراجع، و من تلك الشرائط؛ الاستنجاء في المحلّ الذي بال عليه كما هو المتعارف، و ترشّح من مائه على ثوبه مثلًا بعد ملاقاته لذلك المحلّ،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يستظهر منهم نجس؛ لكونه ملاقياً للنجاسة الخارجيّة، إلّا أنّ احتمال طهارته قويّ؛ للتعارف في البول، كما مرّ في الغائط،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التعارف غير معلوم، فتأمّل</w:t>
      </w:r>
      <w:r>
        <w:rPr>
          <w:rFonts w:eastAsia="Amiri" w:cs="Amiri" w:ascii="Amiri" w:hAnsi="Amiri"/>
          <w:color w:val="111111"/>
          <w:sz w:val="28"/>
          <w:szCs w:val="28"/>
          <w:rtl w:val="true"/>
          <w:lang w:bidi="ar-SA"/>
        </w:rPr>
        <w:t>.</w:t>
      </w:r>
      <w:bookmarkStart w:id="99" w:name="pg12366_122986"/>
    </w:p>
    <w:p>
      <w:pPr>
        <w:pStyle w:val="Heading4"/>
        <w:numPr>
          <w:ilvl w:val="3"/>
          <w:numId w:val="1"/>
        </w:numPr>
        <w:rPr/>
      </w:pPr>
      <w:bookmarkStart w:id="100" w:name="__RefHeading___Toc8895983_417432637"/>
      <w:bookmarkStart w:id="101" w:name="_Toc35"/>
      <w:bookmarkEnd w:id="99"/>
      <w:bookmarkEnd w:id="100"/>
      <w:r>
        <w:rPr>
          <w:rtl w:val="true"/>
        </w:rPr>
        <w:t>[</w:t>
      </w:r>
      <w:r>
        <w:rPr>
          <w:rtl w:val="true"/>
        </w:rPr>
        <w:t xml:space="preserve">مسألة </w:t>
      </w:r>
      <w:r>
        <w:rPr/>
        <w:t>26</w:t>
      </w:r>
      <w:r>
        <w:rPr>
          <w:rtl w:val="true"/>
        </w:rPr>
        <w:t xml:space="preserve">: </w:t>
      </w:r>
      <w:r>
        <w:rPr>
          <w:rtl w:val="true"/>
        </w:rPr>
        <w:t>لا يشترط في طهارة ماء الاستنجاء، سبقُ الماء على اليد</w:t>
      </w:r>
      <w:r>
        <w:rPr>
          <w:rtl w:val="true"/>
        </w:rPr>
        <w:t>]</w:t>
      </w:r>
      <w:bookmarkEnd w:id="10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طهارة ماء الاستنجاء، سبقُ الماء على اليد و إن كان أحوط</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8895985_417432637"/>
      <w:bookmarkStart w:id="103" w:name="_Toc36"/>
      <w:bookmarkEnd w:id="102"/>
      <w:r>
        <w:rPr>
          <w:rtl w:val="true"/>
        </w:rPr>
        <w:t>[</w:t>
      </w:r>
      <w:r>
        <w:rPr>
          <w:rtl w:val="true"/>
        </w:rPr>
        <w:t xml:space="preserve">مسألة </w:t>
      </w:r>
      <w:r>
        <w:rPr/>
        <w:t>27</w:t>
      </w:r>
      <w:r>
        <w:rPr>
          <w:rtl w:val="true"/>
        </w:rPr>
        <w:t xml:space="preserve">: </w:t>
      </w:r>
      <w:r>
        <w:rPr>
          <w:rtl w:val="true"/>
        </w:rPr>
        <w:t>إذا اشتبه نجس بين أطراف محصورة</w:t>
      </w:r>
      <w:r>
        <w:rPr>
          <w:rtl w:val="true"/>
        </w:rPr>
        <w:t>]</w:t>
      </w:r>
      <w:bookmarkEnd w:id="10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اشتبه نجس بين أطراف محصورة كإناء في عشرة يجب الاجتناب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الجميع، و إذا لاقى بعضَ أطرافه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المعروف و المشهور بين المحصّلين، و الكلام هنا في مفروض الماتن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العلم الإجماليّ هو الاجتناب عقلًا، كما تحرّر في محلّه</w:t>
      </w:r>
      <w:r>
        <w:rPr>
          <w:rStyle w:val="FootnoteAnchor"/>
          <w:rtl w:val="true"/>
        </w:rPr>
        <w:footnoteReference w:id="404"/>
      </w:r>
      <w:r>
        <w:rPr>
          <w:rFonts w:ascii="Amiri" w:hAnsi="Amiri" w:eastAsia="Amiri" w:cs="Amiri"/>
          <w:color w:val="111111"/>
          <w:sz w:val="28"/>
          <w:sz w:val="28"/>
          <w:szCs w:val="28"/>
          <w:rtl w:val="true"/>
          <w:lang w:bidi="ar-SA"/>
        </w:rPr>
        <w:t>، من غير فرق بين تعلّقه بالحكم، أو بالحجّة القائمة على وجوب الاجتناب عن النجس شرعاً، هذا هو مقتضى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قضيّة النقل، ففيما إذا تكن الحالة السابقة في بعضها النجاسة، فالمعروف عنهم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أدلّة الأُصول رأساً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جريانها ذاتاً، و سقوط الكلّ بالمعارضة، سواء كانت الأُصولَ العدميّة الأزليّة، أو الأُصولَ الوجوديّة؛ من الاستصحاب، أو 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قوّيناه في محلّه</w:t>
      </w:r>
      <w:r>
        <w:rPr>
          <w:rStyle w:val="FootnoteAnchor"/>
          <w:rtl w:val="true"/>
        </w:rPr>
        <w:footnoteReference w:id="405"/>
      </w:r>
      <w:r>
        <w:rPr>
          <w:rFonts w:ascii="Amiri" w:hAnsi="Amiri" w:eastAsia="Amiri" w:cs="Amiri"/>
          <w:color w:val="111111"/>
          <w:sz w:val="28"/>
          <w:sz w:val="28"/>
          <w:szCs w:val="28"/>
          <w:rtl w:val="true"/>
          <w:lang w:bidi="ar-SA"/>
        </w:rPr>
        <w:t>، جريانُها و عدم سقوطها، من غير أن يلزم المناقضة و الرخصة في المعصية أو اللّغوية، كما تحرّر في كتابنا الكبير فقهاً</w:t>
      </w:r>
      <w:r>
        <w:rPr>
          <w:rStyle w:val="FootnoteAnchor"/>
          <w:rtl w:val="true"/>
        </w:rPr>
        <w:footnoteReference w:id="406"/>
      </w:r>
      <w:r>
        <w:rPr>
          <w:rFonts w:ascii="Amiri" w:hAnsi="Amiri" w:eastAsia="Amiri" w:cs="Amiri"/>
          <w:color w:val="111111"/>
          <w:sz w:val="28"/>
          <w:sz w:val="28"/>
          <w:szCs w:val="28"/>
          <w:rtl w:val="true"/>
          <w:lang w:bidi="ar-SA"/>
        </w:rPr>
        <w:t>و أُصولًا</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بحسب جميع أطراف المعلوم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خصوص المعلوم نجاسته، فربّما يستظهر من قاعدة الطهارة، دخالة العلم بالنجاسة تفصيلًا،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يستظهر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هو موضوع القاعدة،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المشكوك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بينه و بين عنوان النجس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عموم من وجه، و في موارد العلم الإجماليّ يكون كلّ واحد موضوعاً للقاعدة، و ما هو البول واقعاً موضوع دليل تحريم النجس، فتقع المعارضة، و يلزم إنكار الحكم الظاهريّ؛ فإنّ الطهارة حكم مجعول واقعاً على العنوان المزبور، كالنجاسة على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أحرزنا أهمّية جانب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الشبهات المهتمّ بها يقدّم جانبه، و إلّا فيقدّم جانب الحكم الآخر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نظير موارد الاضطرار و الاستكراه في صورة اعتبار الشرع عذريّة</w:t>
      </w:r>
    </w:p>
    <w:p>
      <w:pPr>
        <w:pStyle w:val="BookText"/>
        <w:rPr/>
      </w:pPr>
      <w:r>
        <w:rPr>
          <w:rFonts w:ascii="Amiri" w:hAnsi="Amiri" w:eastAsia="Amiri" w:cs="Amiri"/>
          <w:color w:val="111111"/>
          <w:sz w:val="28"/>
          <w:sz w:val="28"/>
          <w:szCs w:val="28"/>
          <w:rtl w:val="true"/>
          <w:lang w:bidi="ar-SA"/>
        </w:rPr>
        <w:t>الاضطرار و الاستكراه، فإنّه لا يلزم على ما هو الحقّ رفع الحكم في مواردهما، بل الحكم الفعليّ باقٍ، و الرخصة ثابتة؛ لأهمّية جانب الرخصة، و الشرع في موارد الشكّ اعتبر الرخصة ذات أهمّية؛ لما فيها من السهولة و السماحة التي بنيت عليها الشريعة، و تمام الكلام في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أبيت عن تصديق الوجه الأخير، فيكفيك الوجه العامّ المقتضي لجريان جميع الأُصول في أطراف جميع موارد العلم الإجماليّ، و كما في الشبهات المهتمّ بها، فإنّه في غيرها يجوز ارتكاب الكلّ على الأشبه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إلى ما ذكرناه يرجع ما نسب</w:t>
      </w:r>
      <w:r>
        <w:rPr>
          <w:rStyle w:val="FootnoteAnchor"/>
          <w:rtl w:val="true"/>
        </w:rPr>
        <w:footnoteReference w:id="408"/>
      </w:r>
      <w:r>
        <w:rPr>
          <w:rFonts w:ascii="Amiri" w:hAnsi="Amiri" w:eastAsia="Amiri" w:cs="Amiri"/>
          <w:color w:val="111111"/>
          <w:sz w:val="28"/>
          <w:sz w:val="28"/>
          <w:szCs w:val="28"/>
          <w:rtl w:val="true"/>
          <w:lang w:bidi="ar-SA"/>
        </w:rPr>
        <w:t xml:space="preserve">إلى العلمين؛ الخوانساري و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فإنّهما لا ينكرون تنجيز العلم ظاهراً، بل يرخّصان ارتكاب المجموع، فليراجع، و اغتنم جيّداً</w:t>
      </w:r>
      <w:r>
        <w:rPr>
          <w:rFonts w:eastAsia="Amiri" w:cs="Amiri" w:ascii="Amiri" w:hAnsi="Amiri"/>
          <w:color w:val="111111"/>
          <w:sz w:val="28"/>
          <w:szCs w:val="28"/>
          <w:rtl w:val="true"/>
          <w:lang w:bidi="ar-SA"/>
        </w:rPr>
        <w:t>.</w:t>
      </w:r>
      <w:bookmarkStart w:id="104" w:name="pg12366_122990"/>
    </w:p>
    <w:p>
      <w:pPr>
        <w:pStyle w:val="Heading2"/>
        <w:numPr>
          <w:ilvl w:val="1"/>
          <w:numId w:val="1"/>
        </w:numPr>
        <w:rPr/>
      </w:pPr>
      <w:bookmarkStart w:id="105" w:name="__RefHeading___Toc8895987_417432637"/>
      <w:bookmarkStart w:id="106" w:name="_Toc37"/>
      <w:bookmarkEnd w:id="104"/>
      <w:bookmarkEnd w:id="105"/>
      <w:r>
        <w:rPr>
          <w:rtl w:val="true"/>
        </w:rPr>
        <w:t>[</w:t>
      </w:r>
      <w:r>
        <w:rPr>
          <w:rtl w:val="true"/>
        </w:rPr>
        <w:t>كتاب الصلاة</w:t>
      </w:r>
      <w:r>
        <w:rPr>
          <w:rtl w:val="true"/>
        </w:rPr>
        <w:t>]</w:t>
      </w:r>
      <w:bookmarkEnd w:id="106"/>
    </w:p>
    <w:p>
      <w:pPr>
        <w:pStyle w:val="Heading3"/>
        <w:numPr>
          <w:ilvl w:val="2"/>
          <w:numId w:val="1"/>
        </w:numPr>
        <w:rPr/>
      </w:pPr>
      <w:bookmarkStart w:id="107" w:name="__RefHeading___Toc8895989_417432637"/>
      <w:bookmarkStart w:id="108" w:name="_Toc38"/>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كتاب الصلاة</w:t>
      </w:r>
    </w:p>
    <w:p>
      <w:pPr>
        <w:pStyle w:val="Heading3"/>
        <w:numPr>
          <w:ilvl w:val="2"/>
          <w:numId w:val="1"/>
        </w:numPr>
        <w:rPr/>
      </w:pPr>
      <w:bookmarkStart w:id="109" w:name="__RefHeading___Toc8895991_417432637"/>
      <w:bookmarkStart w:id="110" w:name="_Toc39"/>
      <w:bookmarkEnd w:id="109"/>
      <w:r>
        <w:rPr>
          <w:rtl w:val="true"/>
        </w:rPr>
        <w:t>القول في الخلل‌</w:t>
      </w:r>
      <w:bookmarkEnd w:id="11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1" w:name="__RefHeading___Toc8895993_417432637"/>
      <w:bookmarkStart w:id="112" w:name="_Toc40"/>
      <w:bookmarkEnd w:id="111"/>
      <w:r>
        <w:rPr>
          <w:rtl w:val="true"/>
        </w:rPr>
        <w:t>اشارة</w:t>
      </w:r>
      <w:bookmarkStart w:id="113" w:name="pg12366_122992"/>
      <w:bookmarkEnd w:id="112"/>
    </w:p>
    <w:p>
      <w:pPr>
        <w:pStyle w:val="BookText"/>
        <w:rPr/>
      </w:pPr>
      <w:bookmarkEnd w:id="113"/>
      <w:r>
        <w:rPr>
          <w:rFonts w:ascii="Amiri" w:hAnsi="Amiri" w:eastAsia="Amiri" w:cs="Amiri"/>
          <w:color w:val="111111"/>
          <w:sz w:val="28"/>
          <w:sz w:val="28"/>
          <w:szCs w:val="28"/>
          <w:rtl w:val="true"/>
          <w:lang w:bidi="ar-SA"/>
        </w:rPr>
        <w:t>القول في الخلل القبلة</w:t>
      </w:r>
    </w:p>
    <w:p>
      <w:pPr>
        <w:pStyle w:val="Heading4"/>
        <w:numPr>
          <w:ilvl w:val="3"/>
          <w:numId w:val="1"/>
        </w:numPr>
        <w:rPr/>
      </w:pPr>
      <w:bookmarkStart w:id="114" w:name="__RefHeading___Toc8895995_417432637"/>
      <w:bookmarkStart w:id="115" w:name="_Toc41"/>
      <w:bookmarkEnd w:id="114"/>
      <w:r>
        <w:rPr>
          <w:rtl w:val="true"/>
        </w:rPr>
        <w:t>[</w:t>
      </w:r>
      <w:r>
        <w:rPr>
          <w:rtl w:val="true"/>
        </w:rPr>
        <w:t xml:space="preserve">مسألة </w:t>
      </w:r>
      <w:r>
        <w:rPr/>
        <w:t>4</w:t>
      </w:r>
      <w:r>
        <w:rPr>
          <w:rtl w:val="true"/>
        </w:rPr>
        <w:t xml:space="preserve">: </w:t>
      </w:r>
      <w:r>
        <w:rPr>
          <w:rtl w:val="true"/>
        </w:rPr>
        <w:t>من صلّى إلى جهة بطريق معتبر، ثم تبيّن خطأه</w:t>
      </w:r>
      <w:r>
        <w:rPr>
          <w:rtl w:val="true"/>
        </w:rPr>
        <w:t>]</w:t>
      </w:r>
      <w:bookmarkEnd w:id="11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إلى جهة بطريق معتبر، ثم تبيّن خطأه، فإن كان منحرفاً عنها إلى ما بين اليمين و الشمال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القول في خلل القبلة</w:t>
      </w:r>
      <w:r>
        <w:rPr>
          <w:rStyle w:val="FootnoteAnchor"/>
          <w:rtl w:val="true"/>
        </w:rPr>
        <w:footnoteReference w:id="410"/>
      </w: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اليمين و الشمال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النصوص عنوانان، عنوان المشرق و المغرب، كما في معتبر زرارة</w:t>
      </w:r>
      <w:r>
        <w:rPr>
          <w:rStyle w:val="FootnoteAnchor"/>
          <w:rtl w:val="true"/>
        </w:rPr>
        <w:footnoteReference w:id="411"/>
      </w:r>
      <w:r>
        <w:rPr>
          <w:rFonts w:ascii="Amiri" w:hAnsi="Amiri" w:eastAsia="Amiri" w:cs="Amiri"/>
          <w:color w:val="111111"/>
          <w:sz w:val="28"/>
          <w:sz w:val="28"/>
          <w:szCs w:val="28"/>
          <w:rtl w:val="true"/>
          <w:lang w:bidi="ar-SA"/>
        </w:rPr>
        <w:t>و غيره</w:t>
      </w:r>
      <w:r>
        <w:rPr>
          <w:rStyle w:val="FootnoteAnchor"/>
          <w:rtl w:val="true"/>
        </w:rPr>
        <w:footnoteReference w:id="412"/>
      </w:r>
      <w:r>
        <w:rPr>
          <w:rFonts w:ascii="Amiri" w:hAnsi="Amiri" w:eastAsia="Amiri" w:cs="Amiri"/>
          <w:color w:val="111111"/>
          <w:sz w:val="28"/>
          <w:sz w:val="28"/>
          <w:szCs w:val="28"/>
          <w:rtl w:val="true"/>
          <w:lang w:bidi="ar-SA"/>
        </w:rPr>
        <w:t>، و عنوان اليمين و الشمال، كما في معتبر معاوية بن عمّار</w:t>
      </w:r>
      <w:r>
        <w:rPr>
          <w:rStyle w:val="FootnoteAnchor"/>
          <w:rtl w:val="true"/>
        </w:rPr>
        <w:footnoteReference w:id="413"/>
      </w:r>
      <w:r>
        <w:rPr>
          <w:rFonts w:ascii="Amiri" w:hAnsi="Amiri" w:eastAsia="Amiri" w:cs="Amiri"/>
          <w:color w:val="111111"/>
          <w:sz w:val="28"/>
          <w:sz w:val="28"/>
          <w:szCs w:val="28"/>
          <w:rtl w:val="true"/>
          <w:lang w:bidi="ar-SA"/>
        </w:rPr>
        <w:t>الآتي إن شاء اللَّه تعالى، و عبائر القوم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 عن قبل الفاضلين اعتبار المشرق و المغرب</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الأمر عند المحقّق سهل؛ لأنّ النظر الى المحدود في الأخبار دون المشرق و المغرب، كي يذهب بعضهم إلى أنّ المتعيّن ما في المتن، غافلًا عن اختلاف الأخبار في المعتبر، مع أنّ اتّباع عناوين الأخبار أقرب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الإطلاق بالنسبة إلى الصلوات، و المفروض هنا هو الملتفت العالم، الخاطئ طريقه المعتبر شرعاً الذي مرّ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لتوهّم البطلان بعد الشهرة</w:t>
      </w:r>
      <w:r>
        <w:rPr>
          <w:rStyle w:val="FootnoteAnchor"/>
          <w:rtl w:val="true"/>
        </w:rPr>
        <w:footnoteReference w:id="415"/>
      </w:r>
      <w:r>
        <w:rPr>
          <w:rFonts w:ascii="Amiri" w:hAnsi="Amiri" w:eastAsia="Amiri" w:cs="Amiri"/>
          <w:color w:val="111111"/>
          <w:sz w:val="28"/>
          <w:sz w:val="28"/>
          <w:szCs w:val="28"/>
          <w:rtl w:val="true"/>
          <w:lang w:bidi="ar-SA"/>
        </w:rPr>
        <w:t>و الأخبار الكثيرة</w:t>
      </w:r>
      <w:r>
        <w:rPr>
          <w:rStyle w:val="FootnoteAnchor"/>
          <w:rtl w:val="true"/>
        </w:rPr>
        <w:footnoteReference w:id="416"/>
      </w:r>
      <w:r>
        <w:rPr>
          <w:rFonts w:ascii="Amiri" w:hAnsi="Amiri" w:eastAsia="Amiri" w:cs="Amiri"/>
          <w:color w:val="111111"/>
          <w:sz w:val="28"/>
          <w:sz w:val="28"/>
          <w:szCs w:val="28"/>
          <w:rtl w:val="true"/>
          <w:lang w:bidi="ar-SA"/>
        </w:rPr>
        <w:t>، و القدر المتيقّن منها هو المجتهد، أو الأعمّ منه، و من المتحرر المختبر الفاحص عن العلامات المستخرجة من قبل المجتهدين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متعرّض لحكم سائر الفرق، كالجاهل،</w:t>
      </w:r>
    </w:p>
    <w:p>
      <w:pPr>
        <w:pStyle w:val="BookText"/>
        <w:rPr/>
      </w:pPr>
      <w:r>
        <w:rPr>
          <w:rFonts w:ascii="Amiri" w:hAnsi="Amiri" w:eastAsia="Amiri" w:cs="Amiri"/>
          <w:color w:val="111111"/>
          <w:sz w:val="28"/>
          <w:sz w:val="28"/>
          <w:szCs w:val="28"/>
          <w:rtl w:val="true"/>
          <w:lang w:bidi="ar-SA"/>
        </w:rPr>
        <w:t>و الناسي بقسميه، و الغافل و غيره هنا، و لا في فصل الخلل، و قد أوضحنا حال المسألة في الكتاب الكبير</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قد يتوهّم</w:t>
      </w:r>
      <w:r>
        <w:rPr>
          <w:rStyle w:val="FootnoteAnchor"/>
          <w:rtl w:val="true"/>
        </w:rPr>
        <w:footnoteReference w:id="418"/>
      </w:r>
      <w:r>
        <w:rPr>
          <w:rFonts w:ascii="Amiri" w:hAnsi="Amiri" w:eastAsia="Amiri" w:cs="Amiri"/>
          <w:color w:val="111111"/>
          <w:sz w:val="28"/>
          <w:sz w:val="28"/>
          <w:szCs w:val="28"/>
          <w:rtl w:val="true"/>
          <w:lang w:bidi="ar-SA"/>
        </w:rPr>
        <w:t>من ذهاب جملة من الأقدمين إلى الإعادة في الصورة المذكورة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كمثل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xml:space="preserve">بل و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 xml:space="preserve">و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42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423"/>
      </w:r>
      <w:r>
        <w:rPr>
          <w:rFonts w:ascii="Amiri" w:hAnsi="Amiri" w:eastAsia="Amiri" w:cs="Amiri"/>
          <w:color w:val="111111"/>
          <w:sz w:val="28"/>
          <w:sz w:val="28"/>
          <w:szCs w:val="28"/>
          <w:rtl w:val="true"/>
          <w:lang w:bidi="ar-SA"/>
        </w:rPr>
        <w:t>و جملة من تلامذته</w:t>
      </w:r>
      <w:r>
        <w:rPr>
          <w:rStyle w:val="FootnoteAnchor"/>
          <w:rtl w:val="true"/>
        </w:rPr>
        <w:footnoteReference w:id="424"/>
      </w:r>
      <w:r>
        <w:rPr>
          <w:rFonts w:ascii="Amiri" w:hAnsi="Amiri" w:eastAsia="Amiri" w:cs="Amiri"/>
          <w:color w:val="111111"/>
          <w:sz w:val="28"/>
          <w:sz w:val="28"/>
          <w:szCs w:val="28"/>
          <w:rtl w:val="true"/>
          <w:lang w:bidi="ar-SA"/>
        </w:rPr>
        <w:t xml:space="preserve">، و ابن إدريس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فهو باطل؛ لأنّ المفروض هو أن يصلّي إلى غير القبلة، مع أنّ القبلة لمثل المجتهد مثلًا، ما بين المشرق و المغرب، كما في جملة من الأخبار</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كان في أثنائها مضى ما تقدّم منها، و استقام في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يكفيك ذهاب المشهور إلى صحّة صلاته، فيعلم منه أنّ المقصود في كلامهم، هو أن يصلّي دبر القبلة، و أنّه هو غير القبلة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 القاعدة؛ لأنّ الشرط بحسب الجعل هو استقبال الكعبة، لا استقبال ما بين المشرق و المغرب، فإنّه خلاف الضرورة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كانت الصلاة الواقعة بتمامها حال الاجتهاد الخاطئ صحيحة حسب الأخبار، فإذا وقع بعضها الى ما بين المشرق و المغرب، و بعضها إلى الكعبة، فهو أولى بالصحّة، و إلّا فمقتضى الفهم العقلائي شرطيّة القبلة في الصلاة مطلقة، فيلزم بطلانها إذا توجّه إلى الإخلال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صحتها، حسب إطلاق عقد المستثنى؛ لكفاية كون بعض الصلاة الى القبلة، و انصرافه عن العامد، فاغتنم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ذهاب الجميع</w:t>
      </w:r>
      <w:r>
        <w:rPr>
          <w:rStyle w:val="FootnoteAnchor"/>
          <w:rtl w:val="true"/>
        </w:rPr>
        <w:footnoteReference w:id="427"/>
      </w:r>
      <w:r>
        <w:rPr>
          <w:rFonts w:ascii="Amiri" w:hAnsi="Amiri" w:eastAsia="Amiri" w:cs="Amiri"/>
          <w:color w:val="111111"/>
          <w:sz w:val="28"/>
          <w:sz w:val="28"/>
          <w:szCs w:val="28"/>
          <w:rtl w:val="true"/>
          <w:lang w:bidi="ar-SA"/>
        </w:rPr>
        <w:t xml:space="preserve">إلى الصحّة، و الاستقبال في الأثناء، وفاقاً لبعض النصوص، و معتبرها ما عن الكتب الثلاثة عن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صلّى على غير القبلة، فيعلم و هو في الصلاة قبل أن يفرغ عن صلاته،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غير فرق بين بقاء الوقت و عدمه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متوجّهاً فيما بين المشرق و المغرب، فليحوّل وجهه إلى القبلة ساعة يعلم، و إن كان متوجّهاً إلى دبر القبلة، فليقطع ثمّ يحوّل وجهه إلى القبلة، ثمّ يفتتح الصلاة</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 ما ذكرنا في المسألة السابقة، ذهاب الأقدمين في هذه المسألة إلى ما مرّ، و إلّا يلزم طرح مجموع أخبار المسألة،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زمان العلم بالانحراف إلى زمان الانحراف مضرّاً بالصحة فرضاً، يلزم أيضاً طرح خبر الساباطيّ،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تقريب عرفت أنّ الصّحة حسب القاعدة، و بناءً على إطلاق المعتبر السابق، و حمله على ضيق الوقت، حمل على النادر، و لو كان مورده سعة الوقت ففي الضيق أوضح، فليتدّبر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يتبيّن عدم الفرق من الجهتين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تجاوز انحرافه عمّا بينهما، أعاد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دون خارجه و إن بان استدباره، إلّا أنّ الأحوط القضاء مع الاستدبار،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المشهور القريب من الإجماع</w:t>
      </w:r>
      <w:r>
        <w:rPr>
          <w:rStyle w:val="FootnoteAnchor"/>
          <w:rtl w:val="true"/>
        </w:rPr>
        <w:footnoteReference w:id="429"/>
      </w:r>
      <w:r>
        <w:rPr>
          <w:rFonts w:ascii="Amiri" w:hAnsi="Amiri" w:eastAsia="Amiri" w:cs="Amiri"/>
          <w:color w:val="111111"/>
          <w:sz w:val="28"/>
          <w:sz w:val="28"/>
          <w:szCs w:val="28"/>
          <w:rtl w:val="true"/>
          <w:lang w:bidi="ar-SA"/>
        </w:rPr>
        <w:t xml:space="preserve">، إلّا أنّ الأشبه عندنا خلافه؛ و ذلك لأنّ مقتضى معتبر زرارة في الفقيه، 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حدّ القبلة؟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المشرق و المغرب قبلة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صلّى لغير القبلة، أو في يوم غيم في غير الوقت؟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لوحظ ذلك إلى عقد المستثنى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يتبيّن سعة القبلة تعبّداً، بل صدر الرواية تومئ إلى أنّ الصلاة بدون القبلة ليست بصلاة ادّعاءً، كي تكون مصداق المأمور به، و يسقط بها الأمر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بين المشرق و المغرب ليس إلّا المحدودة، التي تتراوح فيها الشمس شرقاً و غرباً، و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دائرة فلك المصلّي تقريباً، و دبر القبلة</w:t>
      </w:r>
    </w:p>
    <w:p>
      <w:pPr>
        <w:pStyle w:val="BookText"/>
        <w:rPr/>
      </w:pPr>
      <w:r>
        <w:rPr>
          <w:rFonts w:ascii="Amiri" w:hAnsi="Amiri" w:eastAsia="Amiri" w:cs="Amiri"/>
          <w:color w:val="111111"/>
          <w:sz w:val="28"/>
          <w:sz w:val="28"/>
          <w:szCs w:val="28"/>
          <w:rtl w:val="true"/>
          <w:lang w:bidi="ar-SA"/>
        </w:rPr>
        <w:t>يكون ذلك الربع الباقي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لحمل الرواية على المشرق و المغرب الشتائي أو الاعتدالي، أو المشرق و المغرب بالنسبة إلى المصلّي في زمان الصلاة، فإنّ كلّ ذلك تصرف فيه، بل مقتضى الإطلاق، و لا سيّما التأكيد المذكور سعة القبلة، و كأنّ النظر في الأخبار إلى أنّ التقسيم ثنائي، و الباطل من الصلاة ما وقع دبر القبلة، و الصحيح غير ذلك، و لا ثالث كما ترى في معتبر الساباطي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المشتملة بكثرتها على أنّ الصلاة لغير القبلة باطلة، للأمر فيها بالإعادة في الوقت، و عدمها خارجه</w:t>
      </w:r>
      <w:r>
        <w:rPr>
          <w:rStyle w:val="FootnoteAnchor"/>
          <w:rtl w:val="true"/>
        </w:rPr>
        <w:footnoteReference w:id="432"/>
      </w:r>
      <w:r>
        <w:rPr>
          <w:rFonts w:ascii="Amiri" w:hAnsi="Amiri" w:eastAsia="Amiri" w:cs="Amiri"/>
          <w:color w:val="111111"/>
          <w:sz w:val="28"/>
          <w:sz w:val="28"/>
          <w:szCs w:val="28"/>
          <w:rtl w:val="true"/>
          <w:lang w:bidi="ar-SA"/>
        </w:rPr>
        <w:t>، ناظرة إلى مثل هذه القبلة المذكورة في معتبر زرارة، و هو مشتمل أيضاً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صلّى لغير القبلة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ما في المفصّلات، من توهم المعارضة أو غير ذلك</w:t>
      </w:r>
      <w:r>
        <w:rPr>
          <w:rStyle w:val="FootnoteAnchor"/>
          <w:rtl w:val="true"/>
        </w:rPr>
        <w:footnoteReference w:id="433"/>
      </w:r>
      <w:r>
        <w:rPr>
          <w:rFonts w:ascii="Amiri" w:hAnsi="Amiri" w:eastAsia="Amiri" w:cs="Amiri"/>
          <w:color w:val="111111"/>
          <w:sz w:val="28"/>
          <w:sz w:val="28"/>
          <w:szCs w:val="28"/>
          <w:rtl w:val="true"/>
          <w:lang w:bidi="ar-SA"/>
        </w:rPr>
        <w:t>، أو التمسّك ببعض الأخبار الضعيفة الأُخر، كرواية معمّر بن يحيى</w:t>
      </w:r>
      <w:r>
        <w:rPr>
          <w:rStyle w:val="FootnoteAnchor"/>
          <w:rtl w:val="true"/>
        </w:rPr>
        <w:footnoteReference w:id="434"/>
      </w:r>
      <w:r>
        <w:rPr>
          <w:rFonts w:ascii="Amiri" w:hAnsi="Amiri" w:eastAsia="Amiri" w:cs="Amiri"/>
          <w:color w:val="111111"/>
          <w:sz w:val="28"/>
          <w:sz w:val="28"/>
          <w:szCs w:val="28"/>
          <w:rtl w:val="true"/>
          <w:lang w:bidi="ar-SA"/>
        </w:rPr>
        <w:t>المشتملة على إيجاب الإعادة خارج الوقت، الدالّة طبعاً على بطلانها في</w:t>
      </w:r>
    </w:p>
    <w:p>
      <w:pPr>
        <w:pStyle w:val="BookText"/>
        <w:rPr/>
      </w:pPr>
      <w:r>
        <w:rPr>
          <w:rFonts w:ascii="Amiri" w:hAnsi="Amiri" w:eastAsia="Amiri" w:cs="Amiri"/>
          <w:color w:val="111111"/>
          <w:sz w:val="28"/>
          <w:sz w:val="28"/>
          <w:szCs w:val="28"/>
          <w:rtl w:val="true"/>
          <w:lang w:bidi="ar-SA"/>
        </w:rPr>
        <w:t>الوقت؛ كي يلزم إعادتها خارجه حسب القواعد، مع معارضته بالأخبار المفصّلة الآتية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خصوص المجتهد المخطئ يحتمل سعة القبلة، و صحّة صلاته و لو كان دبر القبلة؛ و ذلك لبعض روايات</w:t>
      </w:r>
      <w:r>
        <w:rPr>
          <w:rStyle w:val="FootnoteAnchor"/>
          <w:rtl w:val="true"/>
        </w:rPr>
        <w:footnoteReference w:id="435"/>
      </w:r>
      <w:r>
        <w:rPr>
          <w:rFonts w:ascii="Amiri" w:hAnsi="Amiri" w:eastAsia="Amiri" w:cs="Amiri"/>
          <w:color w:val="111111"/>
          <w:sz w:val="28"/>
          <w:sz w:val="28"/>
          <w:szCs w:val="28"/>
          <w:rtl w:val="true"/>
          <w:lang w:bidi="ar-SA"/>
        </w:rPr>
        <w:t xml:space="preserve">، و مهمّها و معتبرها خبر الحلبيّ في أبواب الجماعة، حيث اشتمل على أنّ الأعمى يؤمّ القوم و هو على غير القبلة،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 و لا يعيدون، فإنّهم قد تحرّوا</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ذلك لأنّ التعليل و إن كان قابلًا لأن تقيّد به الإطلاقات الادّعائية، أو قابلًا لأن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القبلة المنظورة في معتبر زرارة و غيره، مخصوصة بالمجتهد المخطئ، و لكنه مجرّد تخيّل القابليّة، و لا واقعيّة له جدّاً، لاحتمال كون مصبّ خبر الحلبي خارج الوقت، و في مورد يمكن التحري، فلم يتحرّ الأعمى و غير ذلك، إلّا أنّ الأشبه الأقرب أنّه صلّى إلى غير القبلة، و هو الدبر حسب ما عرفت منّا، فيعيد و لا يعيدون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الطوائف المختلفة من الآثار، صحّة صلاة المنحرف</w:t>
      </w:r>
    </w:p>
    <w:p>
      <w:pPr>
        <w:pStyle w:val="BookText"/>
        <w:rPr/>
      </w:pPr>
      <w:r>
        <w:rPr>
          <w:rFonts w:ascii="Amiri" w:hAnsi="Amiri" w:eastAsia="Amiri" w:cs="Amiri"/>
          <w:color w:val="111111"/>
          <w:sz w:val="28"/>
          <w:sz w:val="28"/>
          <w:szCs w:val="28"/>
          <w:rtl w:val="true"/>
          <w:lang w:bidi="ar-SA"/>
        </w:rPr>
        <w:t xml:space="preserve">بل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ما بين المشرق و المغرب، و إلى المشرق و المغرب، و عدم صحة المصلّي مستدبراً، و وجوب الإعادة، لوقوع صلاتهم إلى غير القبلة، إلّا المجتهد الخاطئ،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الأحوط هي الإعادة؛ لأنّ مثل معتبر زرارة و غيره، بعد ملاحظة سائر الأخبار، يصير مجملًا، و القدر المتقين منه هو ثُمن الدائرة، و إذا احتمل إعراض هؤلاء الأقدمون عنه، نرجع إلى مقتضى الضرورة، و هو أنّ نفس الكعبة قبلة؛ لأنّ احتمال الإعراض ليس كاحتمال التخصيص و التقييد، كما تحرر في محلّه</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يظهر وجه القول باعتقاد القبلة بالنسبة إلى ثُمن الدائرة، كما ذهب إليه سيدنا الأُستاذ الفقيه البروجردي، و تبيّن وجه اعتقاده بالنسبة إلى نصف الدائرة في المجموع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ربعها من جانب كما ظهر وجه ما أبدعناه، و هكذا وجه إيجاب الإعادة مطلقاً في الوقت، نعم بالنسبة إلى خارج الوقت، الإعادة للنصوص الكثيرة</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انكشف في الأثناء انحرافه عمّا بينهما، فإن وسع الوقت حتّى لإدراك ركعة قطع الصلاة و أعادها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مستقبلًا، و الّا استقام للباقي، و صحّت على الأقوى و لو مع الاستدبار، و الأحوط قضاؤها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الصورة المذكورة، أو يختصّ ذلك بما إذا كان مستدبر القبلة؛ فإنّه عندئذٍ لا دليل على اعتقاد القبلة، و لا على سعتها، فمقتضى القاعدة بطلانها، كما هو الظاهر، و هكذا مقتضى القاعدة الثانية، بناءً على إطلاق عقد المستثنى كما هو الأشبه، بل هي ليست بصلاة حسب صدر معتبر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عوده إلى القبلة، يشمله إطلاق عقد المستثنى على التقريب السابق، و تكون الصلاة التي بيده بعد العود إليها، صلاة واجدة للقبلة عقلًا و عرفاً، و لو كانت فاقده بالنسبة إلى بعض الأجزاء، و لا معنى لتوهّم فقدانها للقبلة، بعد العلم و قبل العود و حينه، كما هو واضح</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خبر القاسم بن الوليد</w:t>
      </w:r>
      <w:r>
        <w:rPr>
          <w:rStyle w:val="FootnoteAnchor"/>
          <w:rtl w:val="true"/>
        </w:rPr>
        <w:footnoteReference w:id="439"/>
      </w:r>
      <w:r>
        <w:rPr>
          <w:rFonts w:ascii="Amiri" w:hAnsi="Amiri" w:eastAsia="Amiri" w:cs="Amiri"/>
          <w:color w:val="111111"/>
          <w:sz w:val="28"/>
          <w:sz w:val="28"/>
          <w:szCs w:val="28"/>
          <w:rtl w:val="true"/>
          <w:lang w:bidi="ar-SA"/>
        </w:rPr>
        <w:t>فليس بمعتبر سنداً، على إضماره، بل و إعراضهم عنه، فتأمّل</w:t>
      </w:r>
      <w:r>
        <w:rPr>
          <w:rFonts w:eastAsia="Amiri" w:cs="Amiri" w:ascii="Amiri" w:hAnsi="Amiri"/>
          <w:color w:val="111111"/>
          <w:sz w:val="28"/>
          <w:szCs w:val="28"/>
          <w:rtl w:val="true"/>
          <w:lang w:bidi="ar-SA"/>
        </w:rPr>
        <w:t>.</w:t>
      </w:r>
      <w:bookmarkStart w:id="116" w:name="pg12366_123002"/>
    </w:p>
    <w:p>
      <w:pPr>
        <w:pStyle w:val="Heading3"/>
        <w:numPr>
          <w:ilvl w:val="2"/>
          <w:numId w:val="1"/>
        </w:numPr>
        <w:rPr/>
      </w:pPr>
      <w:bookmarkStart w:id="117" w:name="__RefHeading___Toc8895997_417432637"/>
      <w:bookmarkStart w:id="118" w:name="_Toc42"/>
      <w:bookmarkEnd w:id="116"/>
      <w:bookmarkEnd w:id="117"/>
      <w:r>
        <w:rPr>
          <w:rtl w:val="true"/>
        </w:rPr>
        <w:t>[</w:t>
      </w:r>
      <w:r>
        <w:rPr>
          <w:rtl w:val="true"/>
        </w:rPr>
        <w:t>القول في الخلل الواقع في الصلاة</w:t>
      </w:r>
      <w:r>
        <w:rPr>
          <w:rtl w:val="true"/>
        </w:rPr>
        <w:t>]</w:t>
      </w:r>
      <w:bookmarkEnd w:id="118"/>
    </w:p>
    <w:p>
      <w:pPr>
        <w:pStyle w:val="Heading4"/>
        <w:numPr>
          <w:ilvl w:val="3"/>
          <w:numId w:val="1"/>
        </w:numPr>
        <w:rPr/>
      </w:pPr>
      <w:bookmarkStart w:id="119" w:name="__RefHeading___Toc8895999_417432637"/>
      <w:bookmarkStart w:id="120" w:name="_Toc43"/>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القول في الخلل الواقع في الصلاة</w:t>
      </w:r>
    </w:p>
    <w:p>
      <w:pPr>
        <w:pStyle w:val="Heading4"/>
        <w:numPr>
          <w:ilvl w:val="3"/>
          <w:numId w:val="1"/>
        </w:numPr>
        <w:rPr/>
      </w:pPr>
      <w:bookmarkStart w:id="121" w:name="__RefHeading___Toc8896001_417432637"/>
      <w:bookmarkStart w:id="122" w:name="_Toc44"/>
      <w:bookmarkEnd w:id="121"/>
      <w:r>
        <w:rPr>
          <w:rtl w:val="true"/>
        </w:rPr>
        <w:t>[</w:t>
      </w:r>
      <w:r>
        <w:rPr>
          <w:rtl w:val="true"/>
        </w:rPr>
        <w:t xml:space="preserve">مسألة </w:t>
      </w:r>
      <w:r>
        <w:rPr/>
        <w:t>1</w:t>
      </w:r>
      <w:r>
        <w:rPr>
          <w:rtl w:val="true"/>
        </w:rPr>
        <w:t xml:space="preserve">: </w:t>
      </w:r>
      <w:r>
        <w:rPr>
          <w:rtl w:val="true"/>
        </w:rPr>
        <w:t>من أخلّ بالطهارة من الحدث، بطلت صلاته مع العمد</w:t>
      </w:r>
      <w:r>
        <w:rPr>
          <w:rtl w:val="true"/>
        </w:rPr>
        <w:t>]</w:t>
      </w:r>
      <w:bookmarkEnd w:id="12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أخلّ بالطهارة من الحدث، بطلت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العمد، و السهو، و العلم، و الجهل،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بطلت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اتّفاقاً قطعيّاً</w:t>
      </w:r>
      <w:r>
        <w:rPr>
          <w:rStyle w:val="FootnoteAnchor"/>
          <w:rtl w:val="true"/>
        </w:rPr>
        <w:footnoteReference w:id="440"/>
      </w:r>
      <w:r>
        <w:rPr>
          <w:rFonts w:ascii="Amiri" w:hAnsi="Amiri" w:eastAsia="Amiri" w:cs="Amiri"/>
          <w:color w:val="111111"/>
          <w:sz w:val="28"/>
          <w:sz w:val="28"/>
          <w:szCs w:val="28"/>
          <w:rtl w:val="true"/>
          <w:lang w:bidi="ar-SA"/>
        </w:rPr>
        <w:t>، و حسب النصوص الخاصّة</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كتاب الصلاة، أبواب قواطع الصلاة،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المتفرّقة في المسائل السابقة، و لم يعهد نقل خلاف من أحد في مطلق الإخلال العمدي و غيره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أخلّ بالطهارة المائيّة بأن أهرق الماء عمداً، و أتى بالترابيّة، فالمعروف صحّة صلاته</w:t>
      </w:r>
      <w:r>
        <w:rPr>
          <w:rStyle w:val="FootnoteAnchor"/>
          <w:rtl w:val="true"/>
        </w:rPr>
        <w:footnoteReference w:id="442"/>
      </w:r>
      <w:r>
        <w:rPr>
          <w:rFonts w:ascii="Amiri" w:hAnsi="Amiri" w:eastAsia="Amiri" w:cs="Amiri"/>
          <w:color w:val="111111"/>
          <w:sz w:val="28"/>
          <w:sz w:val="28"/>
          <w:szCs w:val="28"/>
          <w:rtl w:val="true"/>
          <w:lang w:bidi="ar-SA"/>
        </w:rPr>
        <w:t>، و عندي فيها مناقشة، و تفصيله في أحكام التيمّم، كما أنّه يمكن على وجه، اختيارُ الصحّة حتّى في صورة العمد بالإخلال بالطهور، و لكنّه عندي غير معقول، تحرّر تفصيله في</w:t>
      </w:r>
    </w:p>
    <w:p>
      <w:pPr>
        <w:pStyle w:val="BookText"/>
        <w:rPr/>
      </w:pPr>
      <w:r>
        <w:rPr>
          <w:rFonts w:ascii="Amiri" w:hAnsi="Amiri" w:eastAsia="Amiri" w:cs="Amiri"/>
          <w:color w:val="111111"/>
          <w:sz w:val="28"/>
          <w:sz w:val="28"/>
          <w:szCs w:val="28"/>
          <w:rtl w:val="true"/>
          <w:lang w:bidi="ar-SA"/>
        </w:rPr>
        <w:t xml:space="preserve">بخلاف الطهارة من الخبث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مرّ تفصيل الحال فيها و في غيرها من الشرائط، كالوقت، و الاستقبال، و الستر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الأُصول</w:t>
      </w:r>
      <w:r>
        <w:rPr>
          <w:rStyle w:val="FootnoteAnchor"/>
          <w:rtl w:val="true"/>
        </w:rPr>
        <w:footnoteReference w:id="443"/>
      </w:r>
      <w:r>
        <w:rPr>
          <w:rFonts w:ascii="Amiri" w:hAnsi="Amiri" w:eastAsia="Amiri" w:cs="Amiri"/>
          <w:color w:val="111111"/>
          <w:sz w:val="28"/>
          <w:sz w:val="28"/>
          <w:szCs w:val="28"/>
          <w:rtl w:val="true"/>
          <w:lang w:bidi="ar-SA"/>
        </w:rPr>
        <w:t xml:space="preserve">، و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لو أخلّ بالطهور بالنسبة إلى بعض أجزاء الصلاة، فهو من نقصان الشرط، إلّا أنّ المركّب واجد له في الجملة، فربّما يكفي ذلك، كما في مثل الوقت، و لا ينافيه مستثنى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فلو توجّه في أثناء الصلاة إلى فقدان الطهور فتوضأ، صحّت صلاته حسب القاعدة،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الخبث</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يستظهر أنّ الفاقدة للطهور الخبثي و الحدثي ليست بصلاة، فكيف بكونها صحيحة، نظراً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و هذا أصل، و الصحّة في بعض الفروض ربّما لا تنافي التعبير المذكور، و تفصيله في محلّه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أخلّ بشي‌ء من واجبات صلاته 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حركة من قراءتها و أذكارها الواجبة، بطلت،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صلاته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 درك العقل في المركّبات، و حكم العقلاء، بعد الفراغ عن جزئيّة حال العمد، و هو المفروغ عنه عند الأصحاب كافّة، قديماً و حديثاً</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أشرنا إلى توهّم إمكان الالتزام بالصحّة</w:t>
      </w:r>
      <w:r>
        <w:rPr>
          <w:rStyle w:val="FootnoteAnchor"/>
          <w:rtl w:val="true"/>
        </w:rPr>
        <w:footnoteReference w:id="448"/>
      </w:r>
      <w:r>
        <w:rPr>
          <w:rFonts w:ascii="Amiri" w:hAnsi="Amiri" w:eastAsia="Amiri" w:cs="Amiri"/>
          <w:color w:val="111111"/>
          <w:sz w:val="28"/>
          <w:sz w:val="28"/>
          <w:szCs w:val="28"/>
          <w:rtl w:val="true"/>
          <w:lang w:bidi="ar-SA"/>
        </w:rPr>
        <w:t>، كما في كلام العلّامة التقيّ الشيرازيّ</w:t>
      </w:r>
      <w:r>
        <w:rPr>
          <w:rStyle w:val="FootnoteAnchor"/>
          <w:rtl w:val="true"/>
        </w:rPr>
        <w:footnoteReference w:id="449"/>
      </w:r>
      <w:r>
        <w:rPr>
          <w:rFonts w:ascii="IRNazanin" w:hAnsi="IRNazanin" w:eastAsia="IRNazanin"/>
          <w:color w:val="111111"/>
          <w:sz w:val="28"/>
          <w:sz w:val="28"/>
          <w:szCs w:val="28"/>
          <w:rtl w:val="true"/>
          <w:lang w:bidi="fa-IR"/>
        </w:rPr>
        <w:t>، و الوالد المحقّق</w:t>
      </w:r>
      <w:r>
        <w:rPr>
          <w:rStyle w:val="FootnoteAnchor"/>
          <w:rtl w:val="true"/>
        </w:rPr>
        <w:footnoteReference w:id="450"/>
      </w:r>
      <w:r>
        <w:rPr>
          <w:rFonts w:ascii="Amiri" w:hAnsi="Amiri" w:eastAsia="Amiri" w:cs="Amiri"/>
          <w:color w:val="111111"/>
          <w:sz w:val="28"/>
          <w:sz w:val="28"/>
          <w:szCs w:val="28"/>
          <w:rtl w:val="true"/>
          <w:lang w:bidi="ar-SA"/>
        </w:rPr>
        <w:t>، و العلّامة الأراكي</w:t>
      </w:r>
      <w:r>
        <w:rPr>
          <w:rStyle w:val="FootnoteAnchor"/>
          <w:rtl w:val="true"/>
        </w:rPr>
        <w:footnoteReference w:id="451"/>
      </w:r>
      <w:r>
        <w:rPr>
          <w:rFonts w:ascii="Amiri" w:hAnsi="Amiri" w:eastAsia="Amiri" w:cs="Amiri"/>
          <w:color w:val="111111"/>
          <w:sz w:val="28"/>
          <w:sz w:val="28"/>
          <w:szCs w:val="28"/>
          <w:rtl w:val="true"/>
          <w:lang w:bidi="ar-SA"/>
        </w:rPr>
        <w:t>عفي عنهم و لكنّه ممتنع عندنا</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ترك القراءة فمضافاً إلى ترك الجزء، أخلّ بشرط تكبيرة الافتتاح و السورة، لاشتراط كلّ منهما بلحوق القراءة و سبقها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 بممنوعيّة ذلك؛ لأنّه مجرد انتزاع، أو اعتبار و تحليل عقلي، و لا يكون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إن 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جزء متعمّداً، قولًا أو فعلًا من غير فرق بين الركن و غيره،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ان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تمكّن من ذلك و لو عرفاً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زيادة عرفيّة يكون باطلًا للإجماع</w:t>
      </w:r>
      <w:r>
        <w:rPr>
          <w:rStyle w:val="FootnoteAnchor"/>
          <w:rtl w:val="true"/>
        </w:rPr>
        <w:footnoteReference w:id="453"/>
      </w:r>
      <w:r>
        <w:rPr>
          <w:rFonts w:ascii="Amiri" w:hAnsi="Amiri" w:eastAsia="Amiri" w:cs="Amiri"/>
          <w:color w:val="111111"/>
          <w:sz w:val="28"/>
          <w:sz w:val="28"/>
          <w:szCs w:val="28"/>
          <w:rtl w:val="true"/>
          <w:lang w:bidi="ar-SA"/>
        </w:rPr>
        <w:t xml:space="preserve">، بل الضرورة، و 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بالنقيصة، و إطلاق معتبر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زاد في صلاته فعليه الإعادة</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تحرّر منّا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الفرد الممتثل به، المقرون بالمحرم و البدعة، بأن يزيد في صلاته على وجه يعدّ بدعة، أو يحسب تشريعاً، و لو لا يعقل التشريع بحسب القصد، إلّا أنّه يريد بذلك عدّ عمله من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يريد امتثال الأمر و التقرّب، قليل الوجود إن يريد ذلك، إلّا أنّه إذا اتّفق لأجل جهة ذلك، يلزم بطلانه، و لا معنى لدعوى صرفه عن العالم العامد، بحيث تصحّ صلاته لو اتفق، بل لو قيل بذلك فلأجل عدم اتّفاقه خارجاً، لما لا يخفى</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المحرر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الزيادة في مثل الماهيّة المحدودة تكون مبطلة، حسب الأصل كالنقيصة</w:t>
      </w:r>
      <w:r>
        <w:rPr>
          <w:rStyle w:val="FootnoteAnchor"/>
          <w:rtl w:val="true"/>
        </w:rPr>
        <w:footnoteReference w:id="455"/>
      </w:r>
      <w:r>
        <w:rPr>
          <w:rFonts w:ascii="Amiri" w:hAnsi="Amiri" w:eastAsia="Amiri" w:cs="Amiri"/>
          <w:color w:val="111111"/>
          <w:sz w:val="28"/>
          <w:sz w:val="28"/>
          <w:szCs w:val="28"/>
          <w:rtl w:val="true"/>
          <w:lang w:bidi="ar-SA"/>
        </w:rPr>
        <w:t>، و كما أنّ السهو من</w:t>
      </w:r>
    </w:p>
    <w:p>
      <w:pPr>
        <w:pStyle w:val="BookText"/>
        <w:rPr/>
      </w:pPr>
      <w:r>
        <w:rPr>
          <w:rFonts w:ascii="Amiri" w:hAnsi="Amiri" w:eastAsia="Amiri" w:cs="Amiri"/>
          <w:color w:val="111111"/>
          <w:sz w:val="28"/>
          <w:sz w:val="28"/>
          <w:szCs w:val="28"/>
          <w:rtl w:val="true"/>
          <w:lang w:bidi="ar-SA"/>
        </w:rPr>
        <w:t xml:space="preserve">بل و لا بين كونه موافقاً لأجزائها أو مخالفاً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الحكم في المخالف، بل و في غير الجزء الركني لا يخلو من تأمّل و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النقيصة في غير الأركان لا يبطل، كذلك في الزيادة، و كلّ ذلك لاستفادة أنّ الصلاة في الشريعة ماهيّة محدودة عرفيّة اعتباريّة تأليفيّة، و إن لم يلزم من الزيادة نقصان، كالإخلال بالتوالي و الماهيّة الاتّصاليّة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هو ناشئ عن القاعدة الدالّة على محدوديّة الماهيّة و الصلاة، فاغتنم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مخالفاً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المعروف المشهور</w:t>
      </w:r>
      <w:r>
        <w:rPr>
          <w:rStyle w:val="FootnoteAnchor"/>
          <w:rtl w:val="true"/>
        </w:rPr>
        <w:footnoteReference w:id="456"/>
      </w:r>
      <w:r>
        <w:rPr>
          <w:rFonts w:ascii="Amiri" w:hAnsi="Amiri" w:eastAsia="Amiri" w:cs="Amiri"/>
          <w:color w:val="111111"/>
          <w:sz w:val="28"/>
          <w:sz w:val="28"/>
          <w:szCs w:val="28"/>
          <w:rtl w:val="true"/>
          <w:lang w:bidi="ar-SA"/>
        </w:rPr>
        <w:t>لأنّ الزيادة لا تعقل إلّا بلحاظ لحوق الفرد، و المأتي به حتّى في المماثل، فعليه يمكن إلحاق الأجنبي به، حسب النيّة، و القصد و الإرادة، كما ترى ذلك في العمد المعذور، بالنسبة إلى التكتّف و قول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إشكال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هو في المستند بالنسبة إلى المخالف</w:t>
      </w:r>
      <w:r>
        <w:rPr>
          <w:rStyle w:val="FootnoteAnchor"/>
          <w:rtl w:val="true"/>
        </w:rPr>
        <w:footnoteReference w:id="457"/>
      </w:r>
      <w:r>
        <w:rPr>
          <w:rFonts w:ascii="Amiri" w:hAnsi="Amiri" w:eastAsia="Amiri" w:cs="Amiri"/>
          <w:color w:val="111111"/>
          <w:sz w:val="28"/>
          <w:sz w:val="28"/>
          <w:szCs w:val="28"/>
          <w:rtl w:val="true"/>
          <w:lang w:bidi="ar-SA"/>
        </w:rPr>
        <w:t>، و في كتب بعض أصحابنا، بالنسبة إلى الجزء غير الركني</w:t>
      </w:r>
      <w:r>
        <w:rPr>
          <w:rStyle w:val="FootnoteAnchor"/>
          <w:rtl w:val="true"/>
        </w:rPr>
        <w:footnoteReference w:id="458"/>
      </w:r>
      <w:r>
        <w:rPr>
          <w:rFonts w:ascii="Amiri" w:hAnsi="Amiri" w:eastAsia="Amiri" w:cs="Amiri"/>
          <w:color w:val="111111"/>
          <w:sz w:val="28"/>
          <w:sz w:val="28"/>
          <w:szCs w:val="28"/>
          <w:rtl w:val="true"/>
          <w:lang w:bidi="ar-SA"/>
        </w:rPr>
        <w:t>، و قد عرفت وجه البطلان و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ممّا يناجي به ربّه، و يذكر به اللَّه تعالى، فهو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اللواحق المصداقيّة كما هو يعلم بالقياس إلى المركّبات التأليفيّة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عموم المستثنى منه، و 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الركعة، أو تقدّمه عليه، و إن لم يكن منصرفاً، لا تبطل الصلاة بتلك الزيادة العرفيّة؛ لأنّه إذا كان قاصداً به الصلاة يكون منها تعبّداً، بل حقيقةً، و يشمله ما ورد من جواز ما يناجي به ربّه، و لأجله قال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كان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فيعلم منه أنّه لا تردد له في كونه زيادة و لاحقاً، و لا تردّد له في بطلان الصلاة بالمخالف، لما لا يناجي به ربّه، و لا يذكر به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الأخبار ناظرة إلى صورة الإتيان بها ذكراً و تقرّباً، لا تشريعاً و تعبّداً، على الوجه الممكن المحرّر في محلّه، فيبقى إطلاق المستثنى منه، و هو أعمّ من الموافق و المخالف، بعد كونه لاحقاً بالمصداق</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استشكل في إمكان الزيادة لتقوّمها بالقصد، فلا فرق بينهما أيضاً، بل دعوى بطلانها بالموافق أقوى، لحصول الزيادة قهراً؛ لأجل السنخيّة، بخلاف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يعتبر في تحقّق الزيادة في غير الأركان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الإتيان بالشي‌ء بعنوان أنّه من الصلاة أو أجزائها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منها الإتيان بالقراءة و الذكر و الدعاء في أثنائها، إذا لم يأتِ بها بعنوان أنّها منها، فلا بأس بها ما لم يحصل بها المحو للصورة، كما لا بأس بتخلّل الأفعال المباحة الخارجيّة، كحكّ الجسد و نحوه، لو لم يكن مفوّتاً للموالاة، أو ماحياً للصورة كما مرّ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غير 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وجه له؛ لأنّ بطلان الصلاة بزيادة الركن مسألة أجنبيّة عن مسألة الزيادة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أجزائها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يعتبر أكثر من الإتيان بعنوان الصلاة، فإنّ الجزئيّة تحصل قهراً، كما يستفاد من إفاداته مدّ ظلّه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قصد الشي‌ء الآخر ربّما يضّر بذلك كما إذا قرأ في الصلاة بعد تكبيرة الافتتاح، بعنوان الترحيم و النفسيّة لمؤمن، فإنّها لا تكون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بكفايتها، لدليل أنّه يذكر و يناجي به الربّ، و يكون من الصلاة مقيّداً أو واقعاً، فتأمّل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من المحتمل قويّاً كون الزيادة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يبطل الصلاة،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يستكمل بها الصلاة، بعد الفراغ عن إمكان الزيادة بالنسبة إلى الماهيّة التقديريّة، اللاحقة بالفرد الممتثل به و على</w:t>
      </w:r>
    </w:p>
    <w:p>
      <w:pPr>
        <w:pStyle w:val="BookText"/>
        <w:rPr/>
      </w:pPr>
      <w:r>
        <w:rPr>
          <w:rFonts w:ascii="Amiri" w:hAnsi="Amiri" w:eastAsia="Amiri" w:cs="Amiri"/>
          <w:color w:val="111111"/>
          <w:sz w:val="28"/>
          <w:sz w:val="28"/>
          <w:szCs w:val="28"/>
          <w:rtl w:val="true"/>
          <w:lang w:bidi="ar-SA"/>
        </w:rPr>
        <w:t>هذا لا وجه لمحو الصلاة بتلك الزيادة، للزوم محو الصلاة بالصلاة، حسب ما يستفاد من المتن، و لا بما يوجب كمالها حسب ما ذكرناه، فقوله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عن الحقّ حسب مختاره،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الإتيان بالزيادة المستحبّة تشريعاً على الوجه المذكور، خلاف، و الأشبه بطلانها بها، كما تحرّر في التعبّدي و التوصّلي</w:t>
      </w:r>
      <w:r>
        <w:rPr>
          <w:rStyle w:val="FootnoteAnchor"/>
          <w:rtl w:val="true"/>
        </w:rPr>
        <w:footnoteReference w:id="459"/>
      </w:r>
      <w:r>
        <w:rPr>
          <w:rFonts w:ascii="Amiri" w:hAnsi="Amiri" w:eastAsia="Amiri" w:cs="Amiri"/>
          <w:color w:val="111111"/>
          <w:sz w:val="28"/>
          <w:sz w:val="28"/>
          <w:szCs w:val="28"/>
          <w:rtl w:val="true"/>
          <w:lang w:bidi="ar-SA"/>
        </w:rPr>
        <w:t>، و في الإتيان بها لا بعنوانه، ففي بطلانها بها قولان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توهّم أنّ ما في رواية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ما ذكرت اللَّه عزّ و جلّ به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الصلاة</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يشعر بوجوبه، لكونه منها</w:t>
      </w:r>
      <w:r>
        <w:rPr>
          <w:rStyle w:val="FootnoteAnchor"/>
          <w:rtl w:val="true"/>
        </w:rPr>
        <w:footnoteReference w:id="461"/>
      </w:r>
      <w:r>
        <w:rPr>
          <w:rFonts w:ascii="Amiri" w:hAnsi="Amiri" w:eastAsia="Amiri" w:cs="Amiri"/>
          <w:color w:val="111111"/>
          <w:sz w:val="28"/>
          <w:sz w:val="28"/>
          <w:szCs w:val="28"/>
          <w:rtl w:val="true"/>
          <w:lang w:bidi="ar-SA"/>
        </w:rPr>
        <w:t>، غافلًا عن أنّه ناظر إلى أنّ الإتيان به حين الاشتغال بها، فهو منها قهراً أو تعبّداً، و على هذا، الإتيان بالقنوت في الأُولى حسب القاعدة مبطل، لكونه من الزيادة، فعليه الإعادة، إلّا أنّ مقتضى هذه الرواية و أشباهها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يناجي به اللَّه في الصلاة لا يضرّ بها،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الزيادة السهويّة، فمن زاد ركعة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وجه للتعرّض له، بعد كون المراد مجموع الركوع و السجدتين، و بعد بطلانها بزيادة واحد منهما، إلّا أنّ المسألة في هذه الصورة أظهر؛ للنصوص الكثيرة</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الاتّفاق القطعي، و لم يعرف من أحد خلافه، و هو مقتضى القاعدة الأوّليّة و الثانويّة، إلّا إطلاق حديث الرفع</w:t>
      </w:r>
      <w:r>
        <w:rPr>
          <w:rStyle w:val="FootnoteAnchor"/>
          <w:rtl w:val="true"/>
        </w:rPr>
        <w:footnoteReference w:id="463"/>
      </w:r>
      <w:r>
        <w:rPr>
          <w:rFonts w:ascii="Amiri" w:hAnsi="Amiri" w:eastAsia="Amiri" w:cs="Amiri"/>
          <w:color w:val="111111"/>
          <w:sz w:val="28"/>
          <w:sz w:val="28"/>
          <w:szCs w:val="28"/>
          <w:rtl w:val="true"/>
          <w:lang w:bidi="ar-SA"/>
        </w:rPr>
        <w:t>، بناءً على جريانه في سهو الموضوع، و لكنّه محكوم الأدلّة الخاصّة، كما هو كذلك بالنسبة إلى خبر سفيان بن السمط</w:t>
      </w:r>
      <w:r>
        <w:rPr>
          <w:rStyle w:val="FootnoteAnchor"/>
          <w:rtl w:val="true"/>
        </w:rPr>
        <w:footnoteReference w:id="464"/>
      </w:r>
      <w:r>
        <w:rPr>
          <w:rFonts w:ascii="Amiri" w:hAnsi="Amiri" w:eastAsia="Amiri" w:cs="Amiri"/>
          <w:color w:val="111111"/>
          <w:sz w:val="28"/>
          <w:sz w:val="28"/>
          <w:szCs w:val="28"/>
          <w:rtl w:val="true"/>
          <w:lang w:bidi="ar-SA"/>
        </w:rPr>
        <w:t>الماضي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الشحّام يكفي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يصلّي العصر ستّ ركعات، أو خمس ركعات،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استيقن أنّه صلّى خمساً أو ستّاً فليعد</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و غير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اختصاص مثله بالفارغ عن الصلاة غير</w:t>
      </w:r>
    </w:p>
    <w:p>
      <w:pPr>
        <w:pStyle w:val="BookText"/>
        <w:rPr/>
      </w:pPr>
      <w:r>
        <w:rPr>
          <w:rFonts w:ascii="IRNazanin" w:hAnsi="IRNazanin" w:eastAsia="IRNazanin"/>
          <w:color w:val="111111"/>
          <w:sz w:val="28"/>
          <w:sz w:val="28"/>
          <w:szCs w:val="28"/>
          <w:rtl w:val="true"/>
          <w:lang w:bidi="fa-IR"/>
        </w:rPr>
        <w:t>معلوم، بل إطلاقه أعمّ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هذا لا فرق بين ما إذا استيقن قبل التشهد، أو بعده، أو جلس بمقداره في الرابعة و في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الغريب ما ذهب إليه جلّ من أصحابنا، كالشيخ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 xml:space="preserve">و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و العلّامة في جمع من كتبه</w:t>
      </w:r>
      <w:r>
        <w:rPr>
          <w:rStyle w:val="FootnoteAnchor"/>
          <w:rtl w:val="true"/>
        </w:rPr>
        <w:footnoteReference w:id="468"/>
      </w:r>
      <w:r>
        <w:rPr>
          <w:rFonts w:ascii="Amiri" w:hAnsi="Amiri" w:eastAsia="Amiri" w:cs="Amiri"/>
          <w:color w:val="111111"/>
          <w:sz w:val="28"/>
          <w:sz w:val="28"/>
          <w:szCs w:val="28"/>
          <w:rtl w:val="true"/>
          <w:lang w:bidi="ar-SA"/>
        </w:rPr>
        <w:t>، و عن ثاني الشهيدين نسبته إلى المتأخّرين، و هو أنّه إن كان جلس آخر الرابعة بقدر واجب التشهّد، صحّت صلاته</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التدبّر في أخبار المسألة، يؤيّد المذهب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التشهّد سنّة، و هي لا تنقض الفريضة، و الجلوس المذكور بمقداره، يوجب الخروج و لا تكون الخامسة من الزيادة موضوعاً، بخلاف زيادة الركوع؛ فإنّ مقتضى الأخبار الآتية بطلانها بها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بالنقيصة، و الزيادة خارجة عنها،</w:t>
      </w:r>
    </w:p>
    <w:p>
      <w:pPr>
        <w:pStyle w:val="BookText"/>
        <w:rPr/>
      </w:pPr>
      <w:r>
        <w:rPr>
          <w:rFonts w:ascii="Amiri" w:hAnsi="Amiri" w:eastAsia="Amiri" w:cs="Amiri"/>
          <w:color w:val="111111"/>
          <w:sz w:val="28"/>
          <w:sz w:val="28"/>
          <w:szCs w:val="28"/>
          <w:rtl w:val="true"/>
          <w:lang w:bidi="ar-SA"/>
        </w:rPr>
        <w:t xml:space="preserve">و لو كانت مبطلة، فهو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السنّة لا تنقض الفريضة</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لأنّ اشتراطها بعدم الخامسة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الإعراض عن الأخبار الناطقة بالتفصيل المذكور</w:t>
      </w:r>
      <w:r>
        <w:rPr>
          <w:rStyle w:val="FootnoteAnchor"/>
          <w:rtl w:val="true"/>
        </w:rPr>
        <w:footnoteReference w:id="471"/>
      </w:r>
      <w:r>
        <w:rPr>
          <w:rFonts w:ascii="Amiri" w:hAnsi="Amiri" w:eastAsia="Amiri" w:cs="Amiri"/>
          <w:color w:val="111111"/>
          <w:sz w:val="28"/>
          <w:sz w:val="28"/>
          <w:szCs w:val="28"/>
          <w:rtl w:val="true"/>
          <w:lang w:bidi="ar-SA"/>
        </w:rPr>
        <w:t xml:space="preserve">، في غير محلّه، بعد ذهاب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المحقّق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الأخبار المفصّلة</w:t>
      </w:r>
      <w:r>
        <w:rPr>
          <w:rStyle w:val="FootnoteAnchor"/>
          <w:rtl w:val="true"/>
        </w:rPr>
        <w:footnoteReference w:id="472"/>
      </w:r>
      <w:r>
        <w:rPr>
          <w:rFonts w:ascii="Amiri" w:hAnsi="Amiri" w:eastAsia="Amiri" w:cs="Amiri"/>
          <w:color w:val="111111"/>
          <w:sz w:val="28"/>
          <w:sz w:val="28"/>
          <w:szCs w:val="28"/>
          <w:rtl w:val="true"/>
          <w:lang w:bidi="ar-SA"/>
        </w:rPr>
        <w:t>مخصوصة بالخامسة دون الرابعة، في المغرب، و الثالثة في الغداة، و صلاة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يقيّد الإطلاق السابق، الحاكم ببطلان الصلاة بزيادة الركعة بمثل هذه النصوص، كصحيح ابن مسلم</w:t>
      </w:r>
      <w:r>
        <w:rPr>
          <w:rStyle w:val="FootnoteAnchor"/>
          <w:rtl w:val="true"/>
        </w:rPr>
        <w:footnoteReference w:id="473"/>
      </w:r>
      <w:r>
        <w:rPr>
          <w:rFonts w:ascii="Amiri" w:hAnsi="Amiri" w:eastAsia="Amiri" w:cs="Amiri"/>
          <w:color w:val="111111"/>
          <w:sz w:val="28"/>
          <w:sz w:val="28"/>
          <w:szCs w:val="28"/>
          <w:rtl w:val="true"/>
          <w:lang w:bidi="ar-SA"/>
        </w:rPr>
        <w:t>و جميل</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ما عن بعضهم بحمل هذه الأخبار على الجلوس بمقدار التشهّد و الإتيان بوظائفه، و السلام</w:t>
      </w:r>
      <w:r>
        <w:rPr>
          <w:rStyle w:val="FootnoteAnchor"/>
          <w:rtl w:val="true"/>
        </w:rPr>
        <w:footnoteReference w:id="475"/>
      </w:r>
      <w:r>
        <w:rPr>
          <w:rFonts w:ascii="Amiri" w:hAnsi="Amiri" w:eastAsia="Amiri" w:cs="Amiri"/>
          <w:color w:val="111111"/>
          <w:sz w:val="28"/>
          <w:sz w:val="28"/>
          <w:szCs w:val="28"/>
          <w:rtl w:val="true"/>
          <w:lang w:bidi="ar-SA"/>
        </w:rPr>
        <w:t>، غافلًا عن أنّ هذه الأخبار بصدد أنّ</w:t>
      </w:r>
    </w:p>
    <w:p>
      <w:pPr>
        <w:pStyle w:val="BookText"/>
        <w:rPr/>
      </w:pPr>
      <w:r>
        <w:rPr>
          <w:rFonts w:ascii="Amiri" w:hAnsi="Amiri" w:eastAsia="Amiri" w:cs="Amiri"/>
          <w:color w:val="111111"/>
          <w:sz w:val="28"/>
          <w:sz w:val="28"/>
          <w:szCs w:val="28"/>
          <w:rtl w:val="true"/>
          <w:lang w:bidi="ar-SA"/>
        </w:rPr>
        <w:t>مثل هذه الركعة ليست زيادة؛ لأنّه قد أتى بما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يؤيّدهم الأخبار الأُخر الحاكمة بتماميّة الواجب يأتيان الطهور و الركوع و السجود</w:t>
      </w:r>
      <w:r>
        <w:rPr>
          <w:rStyle w:val="FootnoteAnchor"/>
          <w:rtl w:val="true"/>
        </w:rPr>
        <w:footnoteReference w:id="476"/>
      </w:r>
      <w:r>
        <w:rPr>
          <w:rFonts w:ascii="Amiri" w:hAnsi="Amiri" w:eastAsia="Amiri" w:cs="Amiri"/>
          <w:color w:val="111111"/>
          <w:sz w:val="28"/>
          <w:sz w:val="28"/>
          <w:szCs w:val="28"/>
          <w:rtl w:val="true"/>
          <w:lang w:bidi="ar-SA"/>
        </w:rPr>
        <w:t>، و حيث أنّ الفرض المذكور في الأخبار نادر الاتّفاق، فيلزم بطلان الصلاة بالركعة الزائدة دائماً،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يسهّل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كيفيّة الصلاة اليوميّة، و بطلانها بالركعة الزائدة، ممّا قامت عليها السيرة العمليّة الشرعيّة أباً عن جدّ، مع ذهاب أبي حنيفة و الثوري</w:t>
      </w:r>
      <w:r>
        <w:rPr>
          <w:rStyle w:val="FootnoteAnchor"/>
          <w:rtl w:val="true"/>
        </w:rPr>
        <w:footnoteReference w:id="477"/>
      </w:r>
      <w:r>
        <w:rPr>
          <w:rFonts w:ascii="Amiri" w:hAnsi="Amiri" w:eastAsia="Amiri" w:cs="Amiri"/>
          <w:color w:val="111111"/>
          <w:sz w:val="28"/>
          <w:sz w:val="28"/>
          <w:szCs w:val="28"/>
          <w:rtl w:val="true"/>
          <w:lang w:bidi="ar-SA"/>
        </w:rPr>
        <w:t>إلى التفصيل المذكور، و مع أنّ إخبارها عن الأئمّة المعاصرين لهما، و لذلك يعدّ القول المذكور منكراً في الفقه، و عند الخواصّ، فضلًا عن عوامّ الشيعة، فيكون هناك معارضة لا جمع عقلائي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معتبر محمّد بن مسلم لا يخلو عن غرابة،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العلاء،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صلّى الظهر خمساً،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لا يدري جلس في الرابعة أم لم يجلس، فليجعل أربع ركعات منها الظهر، و يجلس و يتشهّد، ثمّ يصلّي و هو جالس ركعتين و أربع سجدات، فيضيفهما إلى الخامسة، فتكون نافلة</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ركناً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ركوع و سجدتين من ركعة أو تكبيرة الإحرام سهواً، فإنّ ذلك و إن كان ناظراً بحسب الذيل إلى عدّ الركعتين جلوساً ركعة من قيام، إلّا أنّه أمر مبتدع أيضاً في الشريعة،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الصناعة و لو كان ذلك، و لكنّه خلاف المرتكز في الشريعة، و يعدّ مستنكراً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إجماعاً، بل لم يعهد الخلاف في الطائفة، و هكذا في السجدتين،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 xml:space="preserve">و غيره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أنّه مقتضى الركنيّة في غير محلّه، كما أنّ التمسّك بالأخبار الخاصّة المتعرّضة لبطلان الصلاة كمعتبرين على إشكال جدّاً لمحمّد ابن مسلم</w:t>
      </w:r>
      <w:r>
        <w:rPr>
          <w:rStyle w:val="FootnoteAnchor"/>
          <w:rtl w:val="true"/>
        </w:rPr>
        <w:footnoteReference w:id="481"/>
      </w:r>
      <w:r>
        <w:rPr>
          <w:rFonts w:ascii="Amiri" w:hAnsi="Amiri" w:eastAsia="Amiri" w:cs="Amiri"/>
          <w:color w:val="111111"/>
          <w:sz w:val="28"/>
          <w:sz w:val="28"/>
          <w:szCs w:val="28"/>
          <w:rtl w:val="true"/>
          <w:lang w:bidi="ar-SA"/>
        </w:rPr>
        <w:t>الآتيين، و بعض الأخبار الأُخر المشتملة على بطلان الصلاة بالركعة، نظراً إلى أنّ الأصل أنّ الركعة هي الواحد من الركوع، فإنّه مصدر مثله، و يطلق في طائفة من الأخبار</w:t>
      </w:r>
      <w:r>
        <w:rPr>
          <w:rStyle w:val="FootnoteAnchor"/>
          <w:rtl w:val="true"/>
        </w:rPr>
        <w:footnoteReference w:id="482"/>
      </w:r>
      <w:r>
        <w:rPr>
          <w:rFonts w:ascii="Amiri" w:hAnsi="Amiri" w:eastAsia="Amiri" w:cs="Amiri"/>
          <w:color w:val="111111"/>
          <w:sz w:val="28"/>
          <w:sz w:val="28"/>
          <w:szCs w:val="28"/>
          <w:rtl w:val="true"/>
          <w:lang w:bidi="ar-SA"/>
        </w:rPr>
        <w:t>على الركوع بقرينة المقابلة</w:t>
      </w:r>
    </w:p>
    <w:p>
      <w:pPr>
        <w:pStyle w:val="BookText"/>
        <w:rPr/>
      </w:pPr>
      <w:r>
        <w:rPr>
          <w:rFonts w:ascii="Amiri" w:hAnsi="Amiri" w:eastAsia="Amiri" w:cs="Amiri"/>
          <w:color w:val="111111"/>
          <w:sz w:val="28"/>
          <w:sz w:val="28"/>
          <w:szCs w:val="28"/>
          <w:rtl w:val="true"/>
          <w:lang w:bidi="ar-SA"/>
        </w:rPr>
        <w:t>مع السجدة، غير تامّ؛ لأنّه، إمّا بحمل أو منصرف إلى تمام أجزاء الركعة، و لا يبعد الثاني، فينحصر الوجه في غير الإجماعات و الشهرات المستقيمة و غير المستقيمة؛ لأنّها لا تكشف عن شي‌ء وراء ما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هي ليست عمليّة، فليست جابرة لبعض الأخبار الخاصّة الناطقة بالبطلان كخبر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صلّى فذكر أنّه زاد سجدة،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يعيد صلاته من سجدةٍ، و يعيدها من ركعة</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خبر عبيد بن زرارة</w:t>
      </w:r>
      <w:r>
        <w:rPr>
          <w:rStyle w:val="FootnoteAnchor"/>
          <w:rtl w:val="true"/>
        </w:rPr>
        <w:footnoteReference w:id="484"/>
      </w:r>
      <w:r>
        <w:rPr>
          <w:rFonts w:ascii="Amiri" w:hAnsi="Amiri" w:eastAsia="Amiri" w:cs="Amiri"/>
          <w:color w:val="111111"/>
          <w:sz w:val="28"/>
          <w:sz w:val="28"/>
          <w:szCs w:val="28"/>
          <w:rtl w:val="true"/>
          <w:lang w:bidi="ar-SA"/>
        </w:rPr>
        <w:t xml:space="preserve">و لو أمكن تصحيح الخبرين، و لا سيّما الأوّل، فكونها صريحة في المراد، محل منع، و في نسخة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يعيدها من ركوعه</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يعيدها من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الركع و الركوع مصدران، و لكنّه بعيد، إلّا أنّ أضبطيّة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تورث الوثوق بعد ذهاب المشهور إليه، على القول بكفاية التطابق بين مفاد الخبر و الشهرة الفتوائيّة</w:t>
      </w:r>
    </w:p>
    <w:p>
      <w:pPr>
        <w:pStyle w:val="BookText"/>
        <w:rPr/>
      </w:pPr>
      <w:r>
        <w:rPr>
          <w:rFonts w:ascii="Amiri" w:hAnsi="Amiri" w:eastAsia="Amiri" w:cs="Amiri"/>
          <w:color w:val="111111"/>
          <w:sz w:val="28"/>
          <w:sz w:val="28"/>
          <w:szCs w:val="28"/>
          <w:rtl w:val="true"/>
          <w:lang w:bidi="ar-SA"/>
        </w:rPr>
        <w:t xml:space="preserve">بطلت صلاته على إشكال في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زيادة القيام الركني، للجبر، كما عن سيّدنا الأُستاذ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إلّا أنّه غير تامّ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منصور معتبر عندي، فلا حاجة معه إلى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يكون البطلان بزيادة الركوع و السجود،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عرفت منّا، و أجنبيّة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الزيادة على الإطلاق، إلّا في بعض الفروض، و ما نحن فيه ليس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سفيان أيضاً حسب ما في ذيله، يومئ إلى أنّ ترك سجدة واحدة يجتمع مع الصحّة دون السجدتين، كما أنّ في الأخبار</w:t>
      </w:r>
      <w:r>
        <w:rPr>
          <w:rStyle w:val="FootnoteAnchor"/>
          <w:rtl w:val="true"/>
        </w:rPr>
        <w:footnoteReference w:id="487"/>
      </w:r>
      <w:r>
        <w:rPr>
          <w:rFonts w:ascii="Amiri" w:hAnsi="Amiri" w:eastAsia="Amiri" w:cs="Amiri"/>
          <w:color w:val="111111"/>
          <w:sz w:val="28"/>
          <w:sz w:val="28"/>
          <w:szCs w:val="28"/>
          <w:rtl w:val="true"/>
          <w:lang w:bidi="ar-SA"/>
        </w:rPr>
        <w:t>الحاكمة بالإعادة في صورة ترك الركوع و الدخول في السجدة، إشعاراً قوياً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يكفيك ارتكاز ذهن المتشرّعة بمثله، الذي ابتلي به المسلمون في كلّ يوم مرّات، و لا يقاس مثله بمسألة طهارة ماء البئر و نجاسته بتوهّم أنّ تلك الارتكازات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إشكال في الأخير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بلا إشكال عند كافّة الأصحاب</w:t>
      </w:r>
      <w:r>
        <w:rPr>
          <w:rStyle w:val="FootnoteAnchor"/>
          <w:rtl w:val="true"/>
        </w:rPr>
        <w:footnoteReference w:id="488"/>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إجماعي</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و يحتمل لزوم الأخذ بالقدر المتيقّن منه، و هو الزيادة العمديّة، أو التقصيريّة الجهليّة دون السهويّة، و حيث لا نصّ على بطلانها بزيادتها، فالأصل يقتضي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خلاف الأصل عندنا في الماهيّات المعدودة اعتباراً، و خلاف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زاد في صلاته</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 xml:space="preserve">بعد عدم جواز الاعتماد على مرسلة سفيان السابقة، و 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بالنقيصة، يكون معقد الإجماع ظاهراً في السهويّة و الجهليّة، دون العمديّة، مع تعرض كثير منهم لصورة المسألة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صلاته إمّا معناه أنّ الزيادة مانعة عن تحقّق الصلاة ادعاء، فهي ليست من الزيادة في الصلاة، و إن كان معناه أنّه يشترط في الصلاة عدم الزيادة، و وحدة التكبيرة و الركوع مثلًا، فلازمه بطلانها من جانب النقيصة، فيندرج في المستثنى منه 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تكبيرة الإحرام ليست من الخمسة، مع ظهور المستثنى في النقيصة، مع أنّه لا يعقل خلافه كما تحرّر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زيادة الركوع أو تكبيرة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 بأنّ الزيادة الموجبة للنقيصة، لا تكون إلّا في صورة كونها في الصلاة بحسب المصداق، كزيادة الركوع، و القراءة، و القنوت و أمثالها، و إِلّا فلا توجب النقيصة، فلازمه كون الموانع و القواطع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دعوى أنّ في مثل الموانع و القواطع يلزم النقيصة، و لا يعدّ المخلّ بها من الصلاة بالضرورة، و أمّا ما كان من جنس الصلاة و أجزائها، ففي صورة الإتيان بها سهواً تعدّ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اقتضت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بطلانها، يقدّم الثاني، لما تحرّر في وجه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فزيادة تكبيرة الإحرام، مبطلة حسب الصناعة الدقيقة، مؤيّدة بتلك المحكيّات من الشهرة و الإجماعات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بعدم البطلان</w:t>
      </w:r>
      <w:r>
        <w:rPr>
          <w:rStyle w:val="FootnoteAnchor"/>
          <w:rtl w:val="true"/>
        </w:rPr>
        <w:footnoteReference w:id="491"/>
      </w:r>
      <w:r>
        <w:rPr>
          <w:rFonts w:ascii="Amiri" w:hAnsi="Amiri" w:eastAsia="Amiri" w:cs="Amiri"/>
          <w:color w:val="111111"/>
          <w:sz w:val="28"/>
          <w:sz w:val="28"/>
          <w:szCs w:val="28"/>
          <w:rtl w:val="true"/>
          <w:lang w:bidi="ar-SA"/>
        </w:rPr>
        <w:t>، و هو غير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و لا دليل على أنّ زيادة الركن بما هو هو، توجب البطلان، و لا على أنّ حقيقة الركن ما يوجب نقصانه و زيادته البطلان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مجرّد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 البارع</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مع أنّه معارض بكلام المحقّق</w:t>
      </w:r>
    </w:p>
    <w:p>
      <w:pPr>
        <w:pStyle w:val="BookText"/>
        <w:rPr/>
      </w:pPr>
      <w:r>
        <w:rPr>
          <w:rFonts w:ascii="Amiri" w:hAnsi="Amiri" w:eastAsia="Amiri" w:cs="Amiri"/>
          <w:color w:val="111111"/>
          <w:sz w:val="28"/>
          <w:sz w:val="28"/>
          <w:szCs w:val="28"/>
          <w:rtl w:val="true"/>
          <w:lang w:bidi="ar-SA"/>
        </w:rPr>
        <w:t>الثاني</w:t>
      </w:r>
      <w:r>
        <w:rPr>
          <w:rStyle w:val="FootnoteAnchor"/>
          <w:rtl w:val="true"/>
        </w:rPr>
        <w:footnoteReference w:id="494"/>
      </w:r>
      <w:r>
        <w:rPr>
          <w:rFonts w:ascii="Amiri" w:hAnsi="Amiri" w:eastAsia="Amiri" w:cs="Amiri"/>
          <w:color w:val="111111"/>
          <w:sz w:val="28"/>
          <w:sz w:val="28"/>
          <w:szCs w:val="28"/>
          <w:rtl w:val="true"/>
          <w:lang w:bidi="ar-SA"/>
        </w:rPr>
        <w:t>و غيره</w:t>
      </w:r>
      <w:r>
        <w:rPr>
          <w:rStyle w:val="FootnoteAnchor"/>
          <w:rtl w:val="true"/>
        </w:rPr>
        <w:footnoteReference w:id="495"/>
      </w:r>
      <w:r>
        <w:rPr>
          <w:rFonts w:ascii="Amiri" w:hAnsi="Amiri" w:eastAsia="Amiri" w:cs="Amiri"/>
          <w:color w:val="111111"/>
          <w:sz w:val="28"/>
          <w:sz w:val="28"/>
          <w:szCs w:val="28"/>
          <w:rtl w:val="true"/>
          <w:lang w:bidi="ar-SA"/>
        </w:rPr>
        <w:t xml:space="preserve">، غير كافٍ، و ليست المسألة إلّا فقهية اصطلاحيّة، مصطادة عن اختلاف الأحكام، و تعابير الأخبار، و ربّما تكون بعض الأمور مقوّم الماهيّة تعبّداً،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لم يقم صلبه</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لكن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يقم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صلاة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إشكال في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على هذا ترجع إلى زيادة الركوع و الافتتاحيّة، و غير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في خصوص القيام حال تكبيرة الإحرام مثلًا دليل على أنّه مبطل، يمكن الأخذ بإطلاقه، و لو كانت تكبيرة الإحرام باطلة شرعاً، و صحيحة على الأعمّ، فافهم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نمنع الملازمة، كما لا ملازمة بين صدق الركوع و القيام، و لأجله يعدّ حراماً ركوع القاعد للأصنام و الأزلام، مع أنّه ركوع عرفاً، كما لو هوى من الجلوس إلى حدّ الركوع، لا يشمله مستثنى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w:t>
      </w:r>
    </w:p>
    <w:p>
      <w:pPr>
        <w:pStyle w:val="BookText"/>
        <w:rPr/>
      </w:pPr>
      <w:r>
        <w:rPr>
          <w:rFonts w:ascii="Amiri" w:hAnsi="Amiri" w:eastAsia="Amiri" w:cs="Amiri"/>
          <w:color w:val="111111"/>
          <w:sz w:val="28"/>
          <w:sz w:val="28"/>
          <w:szCs w:val="28"/>
          <w:rtl w:val="true"/>
          <w:lang w:bidi="ar-SA"/>
        </w:rPr>
        <w:t xml:space="preserve">و أمّا النيّة فبناء على أنّها الداعي لا تتصور زيادتها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القول بالإخطار لا تضر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زيادة غير الأركان سهواً، لا تبطل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أوجبت سجدتي السهو على الأحوط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عندنا، و تفصيله في أفعال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تتصور زيادتها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نوى الظهر، ثمّ غفل غفلة موجبة للذهول عن خزانة النفس، فإن قلنا بأنّ الصلاة على ما افتتحت، معناه كفاية تلك النيّة البدويّة، فتلزم الزيادة الداعية إلى إتمام ما بيده ظهراً، إلّا أنّها لا تضرّ مثلًا، أو يلزم بطلان الصلاة بذهولها بتاتاً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من قصده التشريع، و بالجملة لو كان ملازماً لعمل محرّم، فكفاية ما يأتي به عندي محلّ تردّد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المشهور المعروف قديماً و حديثاً</w:t>
      </w:r>
      <w:r>
        <w:rPr>
          <w:rStyle w:val="FootnoteAnchor"/>
          <w:rtl w:val="true"/>
        </w:rPr>
        <w:footnoteReference w:id="498"/>
      </w:r>
      <w:r>
        <w:rPr>
          <w:rFonts w:ascii="Amiri" w:hAnsi="Amiri" w:eastAsia="Amiri" w:cs="Amiri"/>
          <w:color w:val="111111"/>
          <w:sz w:val="28"/>
          <w:sz w:val="28"/>
          <w:szCs w:val="28"/>
          <w:rtl w:val="true"/>
          <w:lang w:bidi="ar-SA"/>
        </w:rPr>
        <w:t xml:space="preserve">، و قد عرفت قصور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شمول الزيادة، بل قد حرّرنا مناقشة في جواز التمسّك بها في النقيصة على إشكال، و أوضحنا امتناع شمولها للزيادة، كما حرّرنا وجه بطلان مثل</w:t>
      </w:r>
    </w:p>
    <w:p>
      <w:pPr>
        <w:pStyle w:val="BookText"/>
        <w:rPr/>
      </w:pPr>
      <w:r>
        <w:rPr>
          <w:rFonts w:ascii="Amiri" w:hAnsi="Amiri" w:eastAsia="Amiri" w:cs="Amiri"/>
          <w:color w:val="111111"/>
          <w:sz w:val="28"/>
          <w:sz w:val="28"/>
          <w:szCs w:val="28"/>
          <w:rtl w:val="true"/>
          <w:lang w:bidi="ar-SA"/>
        </w:rPr>
        <w:t>الصلاة بالزيادة</w:t>
      </w:r>
      <w:r>
        <w:rPr>
          <w:rStyle w:val="FootnoteAnchor"/>
          <w:rtl w:val="true"/>
        </w:rPr>
        <w:footnoteReference w:id="499"/>
      </w:r>
      <w:r>
        <w:rPr>
          <w:rFonts w:ascii="Amiri" w:hAnsi="Amiri" w:eastAsia="Amiri" w:cs="Amiri"/>
          <w:color w:val="111111"/>
          <w:sz w:val="28"/>
          <w:sz w:val="28"/>
          <w:szCs w:val="28"/>
          <w:rtl w:val="true"/>
          <w:lang w:bidi="ar-SA"/>
        </w:rPr>
        <w:t xml:space="preserve">، حسب القاعدة، و هو مقتضى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زاد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لا إرسال خير سفيان بن السمط كان الاعتماد عليه وجيهاً؛ لتقدّمه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وجه، و لا شاهد على الشهرة العمليّة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بكفاية الشهرة الروائيّة حجّة، حسب ما حرّرناه في الأُصول</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الغريب إنكار دلالته على صحّة الصلاة، مع أنّ قاعدة الملازمة، تكشف عن مفروغيّة صحّة الصلاة المزيد فيها على الإطلاق</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w:t>
      </w:r>
      <w:bookmarkStart w:id="123" w:name="pg12366_123023"/>
    </w:p>
    <w:p>
      <w:pPr>
        <w:pStyle w:val="Heading2"/>
        <w:numPr>
          <w:ilvl w:val="1"/>
          <w:numId w:val="1"/>
        </w:numPr>
        <w:rPr/>
      </w:pPr>
      <w:bookmarkStart w:id="124" w:name="__RefHeading___Toc8896003_417432637"/>
      <w:bookmarkStart w:id="125" w:name="_Toc45"/>
      <w:bookmarkEnd w:id="123"/>
      <w:bookmarkEnd w:id="124"/>
      <w:r>
        <w:rPr>
          <w:rtl w:val="true"/>
        </w:rPr>
        <w:t>[</w:t>
      </w:r>
      <w:r>
        <w:rPr>
          <w:rtl w:val="true"/>
        </w:rPr>
        <w:t>كتاب الصوم</w:t>
      </w:r>
      <w:r>
        <w:rPr>
          <w:rtl w:val="true"/>
        </w:rPr>
        <w:t>]</w:t>
      </w:r>
      <w:bookmarkEnd w:id="125"/>
    </w:p>
    <w:p>
      <w:pPr>
        <w:pStyle w:val="Heading3"/>
        <w:numPr>
          <w:ilvl w:val="2"/>
          <w:numId w:val="1"/>
        </w:numPr>
        <w:rPr/>
      </w:pPr>
      <w:bookmarkStart w:id="126" w:name="__RefHeading___Toc8896005_417432637"/>
      <w:bookmarkStart w:id="127" w:name="_Toc46"/>
      <w:bookmarkEnd w:id="126"/>
      <w:r>
        <w:rPr>
          <w:rtl w:val="true"/>
        </w:rPr>
        <w:t>اشارة</w:t>
      </w:r>
      <w:bookmarkEnd w:id="12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الصوم</w:t>
      </w:r>
      <w:bookmarkStart w:id="128" w:name="pg12366_123024"/>
    </w:p>
    <w:p>
      <w:pPr>
        <w:pStyle w:val="Heading3"/>
        <w:numPr>
          <w:ilvl w:val="2"/>
          <w:numId w:val="1"/>
        </w:numPr>
        <w:rPr/>
      </w:pPr>
      <w:bookmarkStart w:id="129" w:name="__RefHeading___Toc8896007_417432637"/>
      <w:bookmarkStart w:id="130" w:name="_Toc47"/>
      <w:bookmarkEnd w:id="128"/>
      <w:bookmarkEnd w:id="129"/>
      <w:r>
        <w:rPr>
          <w:rtl w:val="true"/>
        </w:rPr>
        <w:t>[</w:t>
      </w:r>
      <w:r>
        <w:rPr>
          <w:rtl w:val="true"/>
        </w:rPr>
        <w:t>القول في النيّة</w:t>
      </w:r>
      <w:r>
        <w:rPr>
          <w:rtl w:val="true"/>
        </w:rPr>
        <w:t>]</w:t>
      </w:r>
      <w:bookmarkEnd w:id="130"/>
    </w:p>
    <w:p>
      <w:pPr>
        <w:pStyle w:val="Heading4"/>
        <w:numPr>
          <w:ilvl w:val="3"/>
          <w:numId w:val="1"/>
        </w:numPr>
        <w:rPr/>
      </w:pPr>
      <w:bookmarkStart w:id="131" w:name="__RefHeading___Toc8896009_417432637"/>
      <w:bookmarkStart w:id="132" w:name="_Toc48"/>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القول في النيّة</w:t>
      </w:r>
    </w:p>
    <w:p>
      <w:pPr>
        <w:pStyle w:val="Heading4"/>
        <w:numPr>
          <w:ilvl w:val="3"/>
          <w:numId w:val="1"/>
        </w:numPr>
        <w:rPr/>
      </w:pPr>
      <w:bookmarkStart w:id="133" w:name="__RefHeading___Toc8896011_417432637"/>
      <w:bookmarkStart w:id="134" w:name="_Toc49"/>
      <w:bookmarkEnd w:id="133"/>
      <w:r>
        <w:rPr>
          <w:rtl w:val="true"/>
        </w:rPr>
        <w:t>[</w:t>
      </w:r>
      <w:r>
        <w:rPr>
          <w:rtl w:val="true"/>
        </w:rPr>
        <w:t xml:space="preserve">مسألة </w:t>
      </w:r>
      <w:r>
        <w:rPr/>
        <w:t>1</w:t>
      </w:r>
      <w:r>
        <w:rPr>
          <w:rtl w:val="true"/>
        </w:rPr>
        <w:t xml:space="preserve">: </w:t>
      </w:r>
      <w:r>
        <w:rPr>
          <w:rtl w:val="true"/>
        </w:rPr>
        <w:t>يشترط في الصوم النيّة</w:t>
      </w:r>
      <w:r>
        <w:rPr>
          <w:rtl w:val="true"/>
        </w:rPr>
        <w:t>]</w:t>
      </w:r>
      <w:bookmarkEnd w:id="13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الصوم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يقصد إلى تلك العبادة المقرّرة في الشريعة، و يعزم على الإمساك عن المفطرات المعهودة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بالضرورة؛ لأنّه من الواجبات العنوانيّة التي لا تحصل خارجاً إلّا بها، بخلاف مثل الغسل، فإنّه يحصل و لو كان من باب الاتّفاق، و هذا هو المراد من النيّة المعتبرة قبال القربة، و سائر العناوين الأُخر التي تأتي 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المفطرات المعهودة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سيمرّ عليك تفصيله</w:t>
      </w:r>
      <w:r>
        <w:rPr>
          <w:rStyle w:val="FootnoteAnchor"/>
          <w:rtl w:val="true"/>
        </w:rPr>
        <w:footnoteReference w:id="501"/>
      </w:r>
      <w:r>
        <w:rPr>
          <w:rFonts w:ascii="Amiri" w:hAnsi="Amiri" w:eastAsia="Amiri" w:cs="Amiri"/>
          <w:color w:val="111111"/>
          <w:sz w:val="28"/>
          <w:sz w:val="28"/>
          <w:szCs w:val="28"/>
          <w:rtl w:val="true"/>
          <w:lang w:bidi="ar-SA"/>
        </w:rPr>
        <w:t>، و قد صرّح المصنّف بعدم لزوم ذلك، و قال بصحّة صوم من يعتقد أنّ الاحتقان ليس بمفطر و تركه من باب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بقصد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يعتبر في الصحّة، العلم بالمفطرات على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نوى الإمساك عن كلّ مفطر، و لم يعلم بمفطريّة بعض الأشياء كالاحتقان مثلًا، أو زعم عدمها و لكن لم يرتكبه، صحّ صومه،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بالضرورة؛ لأنّه من العبادات، و قضيّة الإطلاق عدم اعتباره، و القول بعدم جواز التمسّك بمثله في مثلها ناشئ عن شبهات عقليّة مندفعة في محلّها</w:t>
      </w:r>
      <w:r>
        <w:rPr>
          <w:rStyle w:val="FootnoteAnchor"/>
          <w:rtl w:val="true"/>
        </w:rPr>
        <w:footnoteReference w:id="502"/>
      </w:r>
      <w:r>
        <w:rPr>
          <w:rFonts w:ascii="Amiri" w:hAnsi="Amiri" w:eastAsia="Amiri" w:cs="Amiri"/>
          <w:color w:val="111111"/>
          <w:sz w:val="28"/>
          <w:sz w:val="28"/>
          <w:szCs w:val="28"/>
          <w:rtl w:val="true"/>
          <w:lang w:bidi="ar-SA"/>
        </w:rPr>
        <w:t>، فالتقييد ثابت من سيرة المتشرّعة، و الإجماعات المحكيّة</w:t>
      </w:r>
      <w:r>
        <w:rPr>
          <w:rStyle w:val="FootnoteAnchor"/>
          <w:rtl w:val="true"/>
        </w:rPr>
        <w:footnoteReference w:id="503"/>
      </w:r>
      <w:r>
        <w:rPr>
          <w:rFonts w:ascii="Amiri" w:hAnsi="Amiri" w:eastAsia="Amiri" w:cs="Amiri"/>
          <w:color w:val="111111"/>
          <w:sz w:val="28"/>
          <w:sz w:val="28"/>
          <w:szCs w:val="28"/>
          <w:rtl w:val="true"/>
          <w:lang w:bidi="ar-SA"/>
        </w:rPr>
        <w:t>، و الشهرات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طبيعة الصوم ليست إلّا الإمساك و قصد التجنّب عن مثل الأكل و الشرب، و للشرع إضافات و أحكام، فلا يعتبر العلم الإجمالي، كما يظهر من الفرع الآتي الّذي تفرّع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نوى 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خفيّ أنّه ليس متفرّعاً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المتفرّع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كذا لو 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الأمر سهل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التحقيق أنّ الصوم متقوّم بقصد الإمساك عن شي‌ء،</w:t>
      </w:r>
    </w:p>
    <w:p>
      <w:pPr>
        <w:pStyle w:val="BookText"/>
        <w:rPr/>
      </w:pPr>
      <w:r>
        <w:rPr>
          <w:rFonts w:ascii="Amiri" w:hAnsi="Amiri" w:eastAsia="Amiri" w:cs="Amiri"/>
          <w:color w:val="111111"/>
          <w:sz w:val="28"/>
          <w:sz w:val="28"/>
          <w:szCs w:val="28"/>
          <w:rtl w:val="true"/>
          <w:lang w:bidi="ar-SA"/>
        </w:rPr>
        <w:t xml:space="preserve">و كذا لو نوى الإمساك عن أُمور يعلم باشتمالها على المفطرات، صحّ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ذلك مثل الأكل و الشرب، و أمّا سائر المفطرات، فهي إضافات شرعيّة، فلا يعتبر الالتفات إليها و قصد تركها، كما في مثل ترك القهقهة في الصلاة، و ترك تروك الإحرام في الحجّ، بناءً على ما تحرّر منّا في محلّه</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لو كان يعزم على ترك الأُمور التي ليست من المفطرات الشرعيّة؛ جهلًا، و اتّفق أن ترك المفطرات في ظرف الصوم، فلا يبعد صحّة صومه؛ لأنّ قصد القربة المعتبرة ليس مصبّه إلّا نفس الصوم، على أنّ القيود خارجة و التقيّد داخل، و من الواضح أنّ ما هو مورد الأمر هو الصوم، لا ترك هذه الأُمور بعناوينها حتّى يعتبر العلم بها، و يعتبر قصد القربة بالنسبة إلى تلك التروك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 على الأقوى</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أولى بالصحّة من الفرع السابق، لما أنّه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 جميع المفطرات، و الزائد عليها كالحجر جنب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في قصده التشريع بالنسبة إلى الزائد، فيمكن المناقشة في الصحّة،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يعتبر في النيّة بعد القربة و الإخلاص، سوى تعيين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قصد إطاعة أمره، و يكفي في صوم شهر رمضان نيّة صوم غد،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تعيين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المفروض تقسيم الصوم إلى الأنواع و الأصناف كسائر العناوين، و منها الصلاة، فلا يكفي مجرّد قصد الصوم القربي؛ لأنّ المأمور به متقيّد بقيد آخر داخل في محطّ الأمر غير حاصل إلّا بالقصد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يكون القيد المأخوذ في محطّ الأمر غير دخيل في الملاك، و قد تشبّث به المولى الآمر؛ نظراً إلى أنّه لا يتمكّن من تكثير الأمر التأسيسي إلّا بفرض القيد في الطبيعة؛ فإنّ تكثّر المتعلّق لازم في تكثّر الأمر المتعلّق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تحرّر في الأُصول</w:t>
      </w:r>
      <w:r>
        <w:rPr>
          <w:rStyle w:val="FootnoteAnchor"/>
          <w:rtl w:val="true"/>
        </w:rPr>
        <w:footnoteReference w:id="505"/>
      </w:r>
      <w:r>
        <w:rPr>
          <w:rFonts w:ascii="Amiri" w:hAnsi="Amiri" w:eastAsia="Amiri" w:cs="Amiri"/>
          <w:color w:val="111111"/>
          <w:sz w:val="28"/>
          <w:sz w:val="28"/>
          <w:szCs w:val="28"/>
          <w:rtl w:val="true"/>
          <w:lang w:bidi="ar-SA"/>
        </w:rPr>
        <w:t>فحينئذٍ لا يلزم قصد ذلك القيد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لو أتى بصلاة الغفيلة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غافلًا عن وقت مشروعيّتها، صحّت صلاته نافلة مطلقة؛ لأنّها مورد الأمر و الطلب بحسب اللبّ، و إن كان بحسب الإثبات متقوّماً بقيد؛ حتّى يمكن تكرار الأمر المتعلّق بالغفيلة و بالنافلة المطلقة، فاغتنم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غير 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تعيينه،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المشهور عندنا، و به قال بعض المخالفين</w:t>
      </w:r>
      <w:r>
        <w:rPr>
          <w:rStyle w:val="FootnoteAnchor"/>
          <w:rtl w:val="true"/>
        </w:rPr>
        <w:footnoteReference w:id="506"/>
      </w:r>
      <w:r>
        <w:rPr>
          <w:rFonts w:ascii="Amiri" w:hAnsi="Amiri" w:eastAsia="Amiri" w:cs="Amiri"/>
          <w:color w:val="111111"/>
          <w:sz w:val="28"/>
          <w:sz w:val="28"/>
          <w:szCs w:val="28"/>
          <w:rtl w:val="true"/>
          <w:lang w:bidi="ar-SA"/>
        </w:rPr>
        <w:t xml:space="preserve">،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Style w:val="FootnoteAnchor"/>
          <w:rtl w:val="true"/>
        </w:rPr>
        <w:footnoteReference w:id="507"/>
      </w:r>
      <w:r>
        <w:rPr>
          <w:rFonts w:ascii="Amiri" w:hAnsi="Amiri" w:eastAsia="Amiri" w:cs="Amiri"/>
          <w:color w:val="111111"/>
          <w:sz w:val="28"/>
          <w:sz w:val="28"/>
          <w:szCs w:val="28"/>
          <w:rtl w:val="true"/>
          <w:lang w:bidi="ar-SA"/>
        </w:rPr>
        <w:t>، و هو مقتضى الإطلاق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القصد من نيّة التعيين تمييز أحد الفعلين، و لا يتحقّق التعدّد هنا فأشبه ردّ الوديعة</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ليس كذلك و لو لم يصحّ فيه غير صومه؛ لأنّ القربة معتبرة بالنسبة إلى خصوصيّات المأمور به</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في غير محلّه؛ لأنّ مراد القائلين عدم خصوصيّة للصوم في رمضان، و أنّه في شهر رمضان لا يكون المأمور به إلّا نفس الطبيعة الفارغة عن مطلق القيود، فما أُفيدَ خالٍ عن التحصيل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يظهر لي، و أُشير إليه آنفاً، عدم إمكان تعلّق الأمر التأسيسي بالطبيعة المطلقة ثمّ الأمر التأسيسي الآخر بها أو بالمقيّدة، بل لا بدّ من</w:t>
      </w:r>
    </w:p>
    <w:p>
      <w:pPr>
        <w:pStyle w:val="BookText"/>
        <w:rPr/>
      </w:pPr>
      <w:r>
        <w:rPr>
          <w:rFonts w:ascii="Amiri" w:hAnsi="Amiri" w:eastAsia="Amiri" w:cs="Amiri"/>
          <w:color w:val="111111"/>
          <w:sz w:val="28"/>
          <w:sz w:val="28"/>
          <w:szCs w:val="28"/>
          <w:rtl w:val="true"/>
          <w:lang w:bidi="ar-SA"/>
        </w:rPr>
        <w:t xml:space="preserve">بل لو نوى غيره فيه جاهلًا به أو ناسياً له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من رمضان، التباين بينهما في مرحلة الجعل و التشريع، فصوم شهر رمضان بما أنّه مضاف إلى الشهر مورد الأمر، و هو قيد له يوجب تمييزه عن غيره، كالظهريّة و العصريّة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لا يكون القيد بحسب مرحلة الامتثال واجب التحصيل إذا اقتضت القرينة ذلك، فالخصوصيّة لازمة جعلًا، و غير لازمة أحياناً امتثالًا، و من القرينة الإجماع و الشهرة، و عدم وقوع غيره فيه على الإطلاق، و وقوع غيره فيه، منه حال الجهل و النسيان، مع أنّ المكلّف قصد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نوقش في ذلك كما سيمرّ عليك أحياناً</w:t>
      </w:r>
      <w:r>
        <w:rPr>
          <w:rStyle w:val="FootnoteAnchor"/>
          <w:rtl w:val="true"/>
        </w:rPr>
        <w:footnoteReference w:id="510"/>
      </w:r>
      <w:r>
        <w:rPr>
          <w:rFonts w:ascii="Amiri" w:hAnsi="Amiri" w:eastAsia="Amiri" w:cs="Amiri"/>
          <w:color w:val="111111"/>
          <w:sz w:val="28"/>
          <w:sz w:val="28"/>
          <w:szCs w:val="28"/>
          <w:rtl w:val="true"/>
          <w:lang w:bidi="ar-SA"/>
        </w:rPr>
        <w:t>لكان لنا استظهار كفاية ذلك من الكتاب؛ لقوله تعالى فَمَنْ شَهِدَ مِنْكُمُ الشَّهْرَ فَلْيَصُمْهُ</w:t>
      </w:r>
      <w:r>
        <w:rPr>
          <w:rStyle w:val="FootnoteAnchor"/>
          <w:rtl w:val="true"/>
        </w:rPr>
        <w:footnoteReference w:id="511"/>
      </w:r>
      <w:r>
        <w:rPr>
          <w:rFonts w:ascii="Amiri" w:hAnsi="Amiri" w:eastAsia="Amiri" w:cs="Amiri"/>
          <w:color w:val="111111"/>
          <w:sz w:val="28"/>
          <w:sz w:val="28"/>
          <w:szCs w:val="28"/>
          <w:rtl w:val="true"/>
          <w:lang w:bidi="ar-SA"/>
        </w:rPr>
        <w:t>فإنّ الشهر مفعول به، فلا بدّ أن يكفي نفس الطبيعة في مرحلة الامتثال، و لو كانت مقيّدة عقلًا بحسب مرحلة الجعل و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ناسياً له، صحّ</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المعروف بينهم المحكي عليه الإجماعات الكثيرة</w:t>
      </w:r>
      <w:r>
        <w:rPr>
          <w:rStyle w:val="FootnoteAnchor"/>
          <w:rtl w:val="true"/>
        </w:rPr>
        <w:footnoteReference w:id="512"/>
      </w:r>
      <w:r>
        <w:rPr>
          <w:rFonts w:ascii="Amiri" w:hAnsi="Amiri" w:eastAsia="Amiri" w:cs="Amiri"/>
          <w:color w:val="111111"/>
          <w:sz w:val="28"/>
          <w:sz w:val="28"/>
          <w:szCs w:val="28"/>
          <w:rtl w:val="true"/>
          <w:lang w:bidi="ar-SA"/>
        </w:rPr>
        <w:t>، و قد أُشير</w:t>
      </w:r>
    </w:p>
    <w:p>
      <w:pPr>
        <w:pStyle w:val="BookText"/>
        <w:rPr/>
      </w:pPr>
      <w:r>
        <w:rPr>
          <w:rFonts w:ascii="Amiri" w:hAnsi="Amiri" w:eastAsia="Amiri" w:cs="Amiri"/>
          <w:color w:val="111111"/>
          <w:sz w:val="28"/>
          <w:sz w:val="28"/>
          <w:szCs w:val="28"/>
          <w:rtl w:val="true"/>
          <w:lang w:bidi="ar-SA"/>
        </w:rPr>
        <w:t xml:space="preserve">بخلاف العالم به، فإنّه لا يقع لواحد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قضيّة القواعد فيما يُستفاد من الأدلّة، هو الاجتزاء أيضاً؛ لأنّ صوم رمضان غير متلوّن بلون الخصوصيّة إلّا في مرحلة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لا يلزم في مرحلة الامتثال مراعاته فعليه يصحّ عن رمضان، و يقع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لخصوص صورة الجهل معتبر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صام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ينوي من الليلة أنّه يصوم من شعبان، فإن كان شهر رمضان أجزأ عنه، بتفضّل اللَّه تعالى، و بما قد وسّع على عباده، و لو لا ذلك لهلك الناس</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يبعد استفادة صورة النسيان منه؛ لأجل ما في ذيله إلّا أنّه ظاهر في الحكمة، لا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عدم صالحيّة شهر رمضان لصوم غيره أيضاً هي الصحّة، و سيمرّ عليك تحقيقه</w:t>
      </w:r>
      <w:r>
        <w:rPr>
          <w:rStyle w:val="FootnoteAnchor"/>
          <w:rtl w:val="true"/>
        </w:rPr>
        <w:footnoteReference w:id="514"/>
      </w:r>
      <w:r>
        <w:rPr>
          <w:rFonts w:ascii="Amiri" w:hAnsi="Amiri" w:eastAsia="Amiri" w:cs="Amiri"/>
          <w:color w:val="111111"/>
          <w:sz w:val="28"/>
          <w:sz w:val="28"/>
          <w:szCs w:val="28"/>
          <w:rtl w:val="true"/>
          <w:lang w:bidi="ar-SA"/>
        </w:rPr>
        <w:t>، و كان ينبغي التعرّض لتلك المسألة أوّلًا، ثمّ لفروعها، و تأتي إن شاء اللَّه تعالى مناقشتنا في عدم صالحيّته، فانتظر حتّى 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مدّ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لواحد منهما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 رمضان فهو مختار جمع كالحلّيّ، و الشهيدين، بل و الكركيّ،</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و أمّا عن نفسه فلما سيمرّ عليك من عدم صلاحيّة رمضان لصوم غيره</w:t>
      </w:r>
      <w:r>
        <w:rPr>
          <w:rStyle w:val="FootnoteAnchor"/>
          <w:rtl w:val="true"/>
        </w:rPr>
        <w:footnoteReference w:id="516"/>
      </w:r>
      <w:r>
        <w:rPr>
          <w:rFonts w:ascii="Amiri" w:hAnsi="Amiri" w:eastAsia="Amiri" w:cs="Amiri"/>
          <w:color w:val="111111"/>
          <w:sz w:val="28"/>
          <w:sz w:val="28"/>
          <w:szCs w:val="28"/>
          <w:rtl w:val="true"/>
          <w:lang w:bidi="ar-SA"/>
        </w:rPr>
        <w:t>، المدّعى عليه الإجماع</w:t>
      </w:r>
      <w:r>
        <w:rPr>
          <w:rStyle w:val="FootnoteAnchor"/>
          <w:rtl w:val="true"/>
        </w:rPr>
        <w:footnoteReference w:id="517"/>
      </w:r>
      <w:r>
        <w:rPr>
          <w:rFonts w:ascii="Amiri" w:hAnsi="Amiri" w:eastAsia="Amiri" w:cs="Amiri"/>
          <w:color w:val="111111"/>
          <w:sz w:val="28"/>
          <w:sz w:val="28"/>
          <w:szCs w:val="28"/>
          <w:rtl w:val="true"/>
          <w:lang w:bidi="ar-SA"/>
        </w:rPr>
        <w:t>و الضرورة</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وقوعه عنهما؛ لأنّ المقيّد يوجب سقوط أمره و الأمر المتعلّق بالمطلق، لا بمعنى تعلّقه به في مرحلة التشريع و الجعل، فإنّه محال و ممتنع، بل بالمعنى الذي مرّ</w:t>
      </w:r>
      <w:r>
        <w:rPr>
          <w:rStyle w:val="FootnoteAnchor"/>
          <w:rtl w:val="true"/>
        </w:rPr>
        <w:footnoteReference w:id="519"/>
      </w:r>
      <w:r>
        <w:rPr>
          <w:rFonts w:ascii="Amiri" w:hAnsi="Amiri" w:eastAsia="Amiri" w:cs="Amiri"/>
          <w:color w:val="111111"/>
          <w:sz w:val="28"/>
          <w:sz w:val="28"/>
          <w:szCs w:val="28"/>
          <w:rtl w:val="true"/>
          <w:lang w:bidi="ar-SA"/>
        </w:rPr>
        <w:t>الإيماء إليه، فيكون في مرحلة السقوط كافياً قصد الطبيعة القربيّة، كما يسقط أمر النافلة المطلقة و أمر صلاة التحيّة بإتيان الصلاة المخصوصة، و هذا هو الأشبه بالقواعد لولا الإجماع، أو الرواية</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وقوعه عن رمضان، كما هو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21"/>
      </w:r>
      <w:r>
        <w:rPr>
          <w:rFonts w:ascii="IRNazanin" w:hAnsi="IRNazanin" w:eastAsia="IRNazanin"/>
          <w:color w:val="111111"/>
          <w:sz w:val="28"/>
          <w:sz w:val="28"/>
          <w:szCs w:val="28"/>
          <w:rtl w:val="true"/>
          <w:lang w:bidi="fa-IR"/>
        </w:rPr>
        <w:t>، بل</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522"/>
      </w:r>
      <w:r>
        <w:rPr>
          <w:rFonts w:ascii="Amiri" w:hAnsi="Amiri" w:eastAsia="Amiri" w:cs="Amiri"/>
          <w:color w:val="111111"/>
          <w:sz w:val="28"/>
          <w:sz w:val="28"/>
          <w:szCs w:val="28"/>
          <w:rtl w:val="true"/>
          <w:lang w:bidi="ar-SA"/>
        </w:rPr>
        <w:t xml:space="preserve">، و هو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52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524"/>
      </w:r>
      <w:r>
        <w:rPr>
          <w:rFonts w:ascii="Amiri" w:hAnsi="Amiri" w:eastAsia="Amiri" w:cs="Amiri"/>
          <w:color w:val="111111"/>
          <w:sz w:val="28"/>
          <w:sz w:val="28"/>
          <w:szCs w:val="28"/>
          <w:rtl w:val="true"/>
          <w:lang w:bidi="ar-SA"/>
        </w:rPr>
        <w:t xml:space="preserve">، نظراً إلى ما في الخبر السابق، و لما في ذيل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الزهريّ،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صوم يوم الشكّ أمرنا به و نهينا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يجزي صوم تطوّع عن فريضة؟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صام يوماً من شهر رمضان تطوّعاً، و هو لا يعلم أنّه من شهر رمضان، ثمّ علم بذلك لأجزأ عنه؛ لأنّ الفرض إنّما وقع على اليوم بعينه</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و كون المفروض حال الجهل لا يضرّ؛ لعدم اتّفاقه حال العلم نوعاً و غالباً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وقوعه عن الطبيعة المخصوصة، لاعن رمضان؛ لأنّ وقوعه عن رمضان بلا وجه، و على خلاف القاعدة، و في موارد وقوعه عنه تكون الرواية الخاصّة مقتضية إيّاه؛ لاختصاصها بغير صورة العلم، بل المستند هو الإجماع</w:t>
      </w:r>
      <w:r>
        <w:rPr>
          <w:rStyle w:val="FootnoteAnchor"/>
          <w:rtl w:val="true"/>
        </w:rPr>
        <w:footnoteReference w:id="526"/>
      </w:r>
      <w:r>
        <w:rPr>
          <w:rFonts w:ascii="Amiri" w:hAnsi="Amiri" w:eastAsia="Amiri" w:cs="Amiri"/>
          <w:color w:val="111111"/>
          <w:sz w:val="28"/>
          <w:sz w:val="28"/>
          <w:szCs w:val="28"/>
          <w:rtl w:val="true"/>
          <w:lang w:bidi="ar-SA"/>
        </w:rPr>
        <w:t>، و معقده مخصوص بغير صورة العمد، بل فيها الإجماع</w:t>
      </w:r>
    </w:p>
    <w:p>
      <w:pPr>
        <w:pStyle w:val="BookText"/>
        <w:rPr/>
      </w:pPr>
      <w:r>
        <w:rPr>
          <w:rFonts w:ascii="Amiri" w:hAnsi="Amiri" w:eastAsia="Amiri" w:cs="Amiri"/>
          <w:color w:val="111111"/>
          <w:sz w:val="28"/>
          <w:sz w:val="28"/>
          <w:szCs w:val="28"/>
          <w:rtl w:val="true"/>
          <w:lang w:bidi="ar-SA"/>
        </w:rPr>
        <w:t xml:space="preserve">و لا بدّ فيما عدا شهر رمضان من التعيين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خلافه</w:t>
      </w:r>
      <w:r>
        <w:rPr>
          <w:rStyle w:val="FootnoteAnchor"/>
          <w:rtl w:val="true"/>
        </w:rPr>
        <w:footnoteReference w:id="527"/>
      </w:r>
      <w:r>
        <w:rPr>
          <w:rFonts w:ascii="Amiri" w:hAnsi="Amiri" w:eastAsia="Amiri" w:cs="Amiri"/>
          <w:color w:val="111111"/>
          <w:sz w:val="28"/>
          <w:sz w:val="28"/>
          <w:szCs w:val="28"/>
          <w:rtl w:val="true"/>
          <w:lang w:bidi="ar-SA"/>
        </w:rPr>
        <w:t>، إلّا أنّه لمكان كونه غير حاكٍ عن الحجّة؛ لما عرفت، فالأقرب ما عرفت، و لا يترك الاحتياط جدّاً؛ لأنّ دعوى العلم بعدم سقوط الأمرين معاً قريبة،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الإجماعات المحكيّة عن ابن إدريس</w:t>
      </w:r>
      <w:r>
        <w:rPr>
          <w:rStyle w:val="FootnoteAnchor"/>
          <w:rtl w:val="true"/>
        </w:rPr>
        <w:footnoteReference w:id="52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إلّا أنّ المهمّ في المسألة ما تقتضيه القواعد، و قد تبيّن امتناع تعدّد الأمر التأسيسي، إلّا في صورة ورود القيد على الطبيعة، حتّى تصير متعدّدة في الاعتبار و في عالم الجعل و اللحاظ، و إذا كان القيد مورد الأمر طبعاً فلا بدّ من تحصيله، و هو لمكان كونه ذهنيّاً لا يتحصّل إلّا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يجوز عدم اعتبار تحصيله في مرحلة الامتثال، لعدم دخالته في الملاك، بل المولى تشبّث به؛ ليتعدّد به الأمر التأسيسي، و لا يصير الأمر الثاني بحكم التأكيد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إذا اقتضى دليل في مرحلة الإثبات كفاية مطلق الطبيعة،</w:t>
      </w:r>
    </w:p>
    <w:p>
      <w:pPr>
        <w:pStyle w:val="BookText"/>
        <w:rPr/>
      </w:pPr>
      <w:r>
        <w:rPr>
          <w:rFonts w:ascii="Amiri" w:hAnsi="Amiri" w:eastAsia="Amiri" w:cs="Amiri"/>
          <w:color w:val="111111"/>
          <w:sz w:val="28"/>
          <w:sz w:val="28"/>
          <w:szCs w:val="28"/>
          <w:rtl w:val="true"/>
          <w:lang w:bidi="ar-SA"/>
        </w:rPr>
        <w:t xml:space="preserve">بمعنى القصد إلى صنف الصوم المخصوص، كالكفّارة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إلّا فلا بدّ حسب الظاهر من امتثال الأمر المتعلّق بالطبيعة المقيّدة، التي لا توجب سقوطه إلّا بعد تحقّقها بتمام قيودها الخارجيّة و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لا بدّ من التدبّر في الأمثلة التي ذكرها الماتن، و في أدلّتها حتّى يتبيّن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قضيّة الظاهر من الأدلّة، لزوم الإتيان بعنوانها إذا كانت هي مأخوذة تحت الأمر، و لكن ربّما يخطر بالبال اختلاف الكفّارات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كفّارة الظهار يستظهر وجوب صوم شهرين متتابعين، فإذا أتى بهما فقد امتثل الأمر قهراً، لتعلّقه بالشهرين المتتابعين و لا يزيد عليه شي‌ء، فعلى هذا ربّما تختلف الكفّارات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 صحّة الصلاة مثلًا فيما إذا أخطأ في النيّة، أنّ عنوان القضاء و الأداء ليس ذا ملاك، بل هو لمجرّد تكثير الأمر تأسيساً؛ و تعدّد الأمر النفسي المستتبع للعقوبة و المثوبة الخاصّتين؛ فعلى هذا يكفي في قضاء الصوم نفس الطبيعة الفارغة ما دامت لم تُقيَّد بقيد القضاء، بل قضيّة القاعدة سقوط الأمرين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لو كان القضاء بعنوانه مورد الأمر، كما هو كذلك في مثل صلاة</w:t>
      </w:r>
    </w:p>
    <w:p>
      <w:pPr>
        <w:pStyle w:val="BookText"/>
        <w:rPr/>
      </w:pPr>
      <w:r>
        <w:rPr>
          <w:rFonts w:ascii="Amiri" w:hAnsi="Amiri" w:eastAsia="Amiri" w:cs="Amiri"/>
          <w:color w:val="111111"/>
          <w:sz w:val="28"/>
          <w:sz w:val="28"/>
          <w:szCs w:val="28"/>
          <w:rtl w:val="true"/>
          <w:lang w:bidi="ar-SA"/>
        </w:rPr>
        <w:t xml:space="preserve">و النذر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الولد الأكبر، أو في الصلاة على القول به، و لكنّه في ما نحن فيه مشكل؛ لظهور الكتاب في جعل عدّة أيّام أُخر</w:t>
      </w:r>
      <w:r>
        <w:rPr>
          <w:rStyle w:val="FootnoteAnchor"/>
          <w:rtl w:val="true"/>
        </w:rPr>
        <w:footnoteReference w:id="530"/>
      </w:r>
      <w:r>
        <w:rPr>
          <w:rFonts w:ascii="Amiri" w:hAnsi="Amiri" w:eastAsia="Amiri" w:cs="Amiri"/>
          <w:color w:val="111111"/>
          <w:sz w:val="28"/>
          <w:sz w:val="28"/>
          <w:szCs w:val="28"/>
          <w:rtl w:val="true"/>
          <w:lang w:bidi="ar-SA"/>
        </w:rPr>
        <w:t>، فلو صام كذلك، يقع عن رمضان قهراً، و لا سيّما إذا لم يكن عليه شي‌ء من الصيام، و لم يكن قاصداً للندب و للعنوان الخاصّ، فعنوان قضاء رمضان كأنّه غير لازم،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المشهور المعروف، و يظهر عن 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جمع من العامّة إلى الخلاف</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المطلق هو أن لا يكون في زمان خاصّ، و ما لا يكون في زمان خاصّ، بين ما يكون مطلق الصوم القابل للصدق على الصيام الخاصّ، أو يكون الصوم المطلق الفارغ عن النيّة، فيكون فراغه عن النيّة الخاصّة من قيوده، إلّا أنّه لا يعتبر لحاظه في مرحلة الامتثال، بخلاف الفرض الأوّل، فإنّ صومه يصحّ نذراً و لو كان صوم الكفّارة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البحث المربوط بالصوم النذري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يدور حول الطبيعة المنذورة، و هو ما أُشير إليه، و أُخرى يدور حول النيّة و القصد الآتي من قبل النذر، و هذا مشكل تحقيقه جدّاً، فإنّ الظاهر من القوم كفاية الإتيان</w:t>
      </w:r>
    </w:p>
    <w:p>
      <w:pPr>
        <w:pStyle w:val="BookText"/>
        <w:rPr/>
      </w:pPr>
      <w:r>
        <w:rPr>
          <w:rFonts w:ascii="IRNazanin" w:hAnsi="IRNazanin" w:eastAsia="IRNazanin"/>
          <w:color w:val="111111"/>
          <w:sz w:val="28"/>
          <w:sz w:val="28"/>
          <w:szCs w:val="28"/>
          <w:rtl w:val="true"/>
          <w:lang w:bidi="fa-IR"/>
        </w:rPr>
        <w:t>بذات المنذور امتثالًا عن أمر النذر</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خالفهم السيّد الماتن حفظه اللَّه تعالى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الوفاء بالنذر مورد الأمر النذري، فلا بدّ من مراعاته، و إلّا فلا يسقط أمره، نظراً إلى ظاهر أدلّته</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إنّ الالتزام بمقالة المشهور، مورد الشبهة العقليّة؛ ضرورة أنّ نذر الصلاة الواجبة لو كان موجباً لحدوث الأمر الجديد النفسي التأسيسي، فلا بدّ و أن يتعلّق بالعنوان الآخر، و إلّا فيلزم رجوعه إلى التأكيد، و لا يترتّب عليه الحنث؛ لأنّ الأمر النذري موجب للحنث، لا مطلق مخالفة المولى</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هذه الشبهة امتناع حدوث الأمر الثاني التأسيسي، و حيث إنّ الالتزام بأنّ الوفاء واجب، يستلزم كون الوفاء بالعقد أيضاً واجباً بعنوانه، مع أنّه ليس كذلك، و هكذا الوفاء بالشرط في باب المعاملات، و يستلزم عدم كفاية ردّ المال المتعلّق به النذر إلى المنذور له بلا قصد الوفاء، مع أنّه خلاف الفهم العرفي و العقلائيّ بالضرورة؛ لأنّه من قبيل</w:t>
      </w:r>
    </w:p>
    <w:p>
      <w:pPr>
        <w:pStyle w:val="BookText"/>
        <w:rPr/>
      </w:pPr>
      <w:r>
        <w:rPr>
          <w:rFonts w:ascii="Amiri" w:hAnsi="Amiri" w:eastAsia="Amiri" w:cs="Amiri"/>
          <w:color w:val="111111"/>
          <w:sz w:val="28"/>
          <w:sz w:val="28"/>
          <w:szCs w:val="28"/>
          <w:rtl w:val="true"/>
          <w:lang w:bidi="ar-SA"/>
        </w:rPr>
        <w:t xml:space="preserve">بل المعيّن أيضاً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الوديعة و مال الغير إلى صاحبه، فلا بدّ من اختيار الشقّ الثالث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الوفاء بالنذر و العهد لا يصير واجباً، و لا يحدث بالنذر أمر و لا نهي، بل يحدث به لأجل حكم الشرع استحقاق العقوبة، و لا يعتبر في استحقاق العقوبة على شي‌ء كونه واجباً أو حراماً بأصل الشرع، فقد حكم جمع باستحقاق العقوبة في موارد التجرّي من غير التزامهم بحرمته التشريعيّة</w:t>
      </w:r>
      <w:r>
        <w:rPr>
          <w:rStyle w:val="FootnoteAnchor"/>
          <w:rtl w:val="true"/>
        </w:rPr>
        <w:footnoteReference w:id="534"/>
      </w:r>
      <w:r>
        <w:rPr>
          <w:rFonts w:ascii="Amiri" w:hAnsi="Amiri" w:eastAsia="Amiri" w:cs="Amiri"/>
          <w:color w:val="111111"/>
          <w:sz w:val="28"/>
          <w:sz w:val="28"/>
          <w:szCs w:val="28"/>
          <w:rtl w:val="true"/>
          <w:lang w:bidi="ar-SA"/>
        </w:rPr>
        <w:t>، فليتدبّر فإنّ المسألة تحتاج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هو المعروف المشهور، و يظهر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كفاية نفس الطبيعة</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بكفايته سهواً و غفلة، لا عمداً</w:t>
      </w:r>
      <w:r>
        <w:rPr>
          <w:rStyle w:val="FootnoteAnchor"/>
          <w:rtl w:val="true"/>
        </w:rPr>
        <w:footnoteReference w:id="536"/>
      </w:r>
      <w:r>
        <w:rPr>
          <w:rFonts w:ascii="Amiri" w:hAnsi="Amiri" w:eastAsia="Amiri" w:cs="Amiri"/>
          <w:color w:val="111111"/>
          <w:sz w:val="28"/>
          <w:sz w:val="28"/>
          <w:szCs w:val="28"/>
          <w:rtl w:val="true"/>
          <w:lang w:bidi="ar-SA"/>
        </w:rPr>
        <w:t>، كما قيل به في صوم شهر رمضان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يتوهّم أنّه مستند المسألة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زمان كان صالحاً لوقوع الصومين فيه، فلا بدّ فيه من القصد الخاصّ و إلّا فلا</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يكفي التعيين الإجمالي،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 لو كان صحيحاً ثبوتاً، و لكنّه غير صحيح إثباتاً؛ لعدم الدليل عليه، و لا سيّما فيما نحن فيه؛ فإنّ يوم الخميس لا يخرج عن الصالحيّة الوضعيّة عن تحمّل سائر الصيام، إذا كان مورد النذر الخاصّ؛ لأنّه أمر آخر خارج عن حيطة دليل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يقاس ذلك بنذر بذل المال الخاصّ، مع أنّه أيضاً غير محرز تحقيقه،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غير راجع إلى المحصل جدّاً، و تفصيله محرّر منّا في كتابنا الكبير</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الإشارة إلى الخصوصيّة المأخوذة، أو أخذ العنوان على وجه لا ينطبق إلّا عليه؛ لحصول قيد المأمور به الذهني بتلك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تميّز الأمر بذلك، فهو بلا محصّل؛ لأنّ الأمر يتميّز في نفس الواقع بالخصوصيّة، و يكون لأجلها مترشّحاً على حدة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المنظور من ذلك نفس التمييز و لا أثر آخر ورائه</w:t>
      </w:r>
      <w:r>
        <w:rPr>
          <w:rStyle w:val="FootnoteAnchor"/>
          <w:rtl w:val="true"/>
        </w:rPr>
        <w:footnoteReference w:id="540"/>
      </w:r>
      <w:r>
        <w:rPr>
          <w:rFonts w:ascii="Amiri" w:hAnsi="Amiri" w:eastAsia="Amiri" w:cs="Amiri"/>
          <w:color w:val="111111"/>
          <w:sz w:val="28"/>
          <w:sz w:val="28"/>
          <w:szCs w:val="28"/>
          <w:rtl w:val="true"/>
          <w:lang w:bidi="ar-SA"/>
        </w:rPr>
        <w:t>، ر صحيح؛ لأنّ القيد المأخوذ ربّما يكون ذا ملاك ثبوتاً، و هو الظاهر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إذا كان ما وجب في ذمّته صنفاً واحداً، فقصد ما في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الأظهر عدم اعتبار التعيين في المندوب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غير كافٍ؛ لأنّه يجوز أن يكون في ذمّته الصوم الآخر، و هو لا يعلم؛ فلا بدّ من أخذ العنوان على الوجه الذي لا ينطبق إلّا على المأمور به المنجّز، و ما هو مقصود المكلّف حين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المندوب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الأوامر، كما عرفت تحتاج في تكثيرها إلى تكثير الطبيعة بالقيود، فيكون كلّ قيد وارداً مورد الأمر، فلا بدّ من القصد إليه و لو إجمالًا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وجه 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أُشير إليه من أنّ القيود المأخوذة ربّما تكون غير ذات مصلحة، فيكون نفس الطبيعة الفارغة عن كلّ لون، مورد الملاك بشرط القربة، إلّا أنّ المولى لا يتمكّن من إفادة تعدّد المطلوب، إلّا بهذا الوجه؛ و لذلك أفتى الكثير منهم بصحّة الصلاة الفارغة عن كلّ نيّة إلّا القربة</w:t>
      </w:r>
      <w:r>
        <w:rPr>
          <w:rStyle w:val="FootnoteAnchor"/>
          <w:rtl w:val="true"/>
        </w:rPr>
        <w:footnoteReference w:id="542"/>
      </w:r>
      <w:r>
        <w:rPr>
          <w:rFonts w:ascii="Amiri" w:hAnsi="Amiri" w:eastAsia="Amiri" w:cs="Amiri"/>
          <w:color w:val="111111"/>
          <w:sz w:val="28"/>
          <w:sz w:val="28"/>
          <w:szCs w:val="28"/>
          <w:rtl w:val="true"/>
          <w:lang w:bidi="ar-SA"/>
        </w:rPr>
        <w:t>، و لوقوع صلاة الغفيلة مثلًا إذا ترك و نسي خصوصيّاتها،</w:t>
      </w:r>
    </w:p>
    <w:p>
      <w:pPr>
        <w:pStyle w:val="BookText"/>
        <w:rPr/>
      </w:pPr>
      <w:r>
        <w:rPr>
          <w:rFonts w:ascii="Amiri" w:hAnsi="Amiri" w:eastAsia="Amiri" w:cs="Amiri"/>
          <w:color w:val="111111"/>
          <w:sz w:val="28"/>
          <w:sz w:val="28"/>
          <w:szCs w:val="28"/>
          <w:rtl w:val="true"/>
          <w:lang w:bidi="ar-SA"/>
        </w:rPr>
        <w:t xml:space="preserve">فلو نوى صوم غدٍ للَّه تعالى، صحّ و وقع ندباً لو كان الزمان صالحاً له، و كان الشخص ممّن يصحّ منه التطوّع بالصوم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كذا المندوب المعيّن أيضاً إن كان تعيّنه بالزمان 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كأيام البيض و الجمعة و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إحراز ثواب الخصوصيّة يعتبر إحراز ذلك اليوم و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ة مطلقة، و نافلة، و ما ذلك إلّا لأجل أنّ نفس الطبيعة مطلوبة، و إن لا يمكن تعلّق الأمر بها إلّا مقيّداً كما عرفت</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بحسب الثبوت، و أمّا بحسب الإثبات، فربّما يستظهر من الدليل دخالة الخصوصيّة و القيد، فلا بدّ من الإتيان بها كصوم الحاجة في المدينة للمسافر</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التطوّع بالصوم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واضح، و سيمرّ عليك موارد جواز التطوّع، و الزمان الصالح 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بالزمان الخاصّ</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أيضاً لما عرفت، و لازم ذلك وقوع صوم أيّام البيض و لو كان</w:t>
      </w:r>
    </w:p>
    <w:p>
      <w:pPr>
        <w:pStyle w:val="BookText"/>
        <w:rPr/>
      </w:pPr>
      <w:r>
        <w:rPr>
          <w:rFonts w:ascii="Amiri" w:hAnsi="Amiri" w:eastAsia="Amiri" w:cs="Amiri"/>
          <w:color w:val="111111"/>
          <w:sz w:val="28"/>
          <w:sz w:val="28"/>
          <w:szCs w:val="28"/>
          <w:rtl w:val="true"/>
          <w:lang w:bidi="ar-SA"/>
        </w:rPr>
        <w:t>يقصد صوم الكفّارة؛ لأنّ المنظور وقوع الصوم القربي و هو حاصل، فلو كان الصوم فارغاً عن كلّ خصوصيّة إلّا القربة يقع عن صوم البيض و أمثاله، و هكذا في صورة التقييد؛ لاجتماع المطلق معه قهراً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 بانصراف دليله عن ذلك، و من هنا يظهر حديث ترتّب الثواب، فإنّه لا وجه لاختصاصه بصورة القصد بعد إطلاق دليله، بل هو يترتّب حتّى في صورة قصد الخصوصيّة الأُخرى، و أمّا بدونها فلا وجه للشكّ في ترتّب الثواب؛ لأنّه تابع ما أتى به، و أسقط به أمره الخاصّ، و المفروض حصول صوم أيّام البيض في تلك الصورة، فتأمّل فإنّ لحديث الثواب منهجاً آخر</w:t>
      </w:r>
      <w:r>
        <w:rPr>
          <w:rFonts w:eastAsia="Amiri" w:cs="Amiri" w:ascii="Amiri" w:hAnsi="Amiri"/>
          <w:color w:val="111111"/>
          <w:sz w:val="28"/>
          <w:szCs w:val="28"/>
          <w:rtl w:val="true"/>
          <w:lang w:bidi="ar-SA"/>
        </w:rPr>
        <w:t>.</w:t>
      </w:r>
      <w:bookmarkStart w:id="135" w:name="pg12366_123042"/>
    </w:p>
    <w:p>
      <w:pPr>
        <w:pStyle w:val="Heading4"/>
        <w:numPr>
          <w:ilvl w:val="3"/>
          <w:numId w:val="1"/>
        </w:numPr>
        <w:rPr/>
      </w:pPr>
      <w:bookmarkStart w:id="136" w:name="__RefHeading___Toc8896013_417432637"/>
      <w:bookmarkStart w:id="137" w:name="_Toc50"/>
      <w:bookmarkEnd w:id="135"/>
      <w:bookmarkEnd w:id="136"/>
      <w:r>
        <w:rPr>
          <w:rtl w:val="true"/>
        </w:rPr>
        <w:t>[</w:t>
      </w:r>
      <w:r>
        <w:rPr>
          <w:rtl w:val="true"/>
        </w:rPr>
        <w:t xml:space="preserve">مسألة </w:t>
      </w:r>
      <w:r>
        <w:rPr/>
        <w:t>2</w:t>
      </w:r>
      <w:r>
        <w:rPr>
          <w:rtl w:val="true"/>
        </w:rPr>
        <w:t xml:space="preserve">: </w:t>
      </w:r>
      <w:r>
        <w:rPr>
          <w:rtl w:val="true"/>
        </w:rPr>
        <w:t>يعتبر في القضاء عن الغير نيّة النيابة</w:t>
      </w:r>
      <w:r>
        <w:rPr>
          <w:rtl w:val="true"/>
        </w:rPr>
        <w:t>]</w:t>
      </w:r>
      <w:bookmarkEnd w:id="13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القضاء عن الغير نيّة النيابة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نظراً إلى أنّ الأمر لا يسقط إلّا بذلك، كما لا يكفي مجرّد نيّة النيابة عن الغير الكلّي؛ بل لا بدّ من أن يكون الشخص المنوب عنه متعيّناً و لو إجمالًا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خفيّ أن لا تعتبر نيّة النيابة الاصطلاحيّة، و هو القيام مقام الشخص في الذات، بل يكفي أن يقصد الصوم الذي في ذمّة زيد، و أمّا موارد جواز النيابة، فتطلب عن محلّه</w:t>
      </w:r>
      <w:r>
        <w:rPr>
          <w:rFonts w:eastAsia="Amiri" w:cs="Amiri" w:ascii="Amiri" w:hAnsi="Amiri"/>
          <w:color w:val="111111"/>
          <w:sz w:val="28"/>
          <w:szCs w:val="28"/>
          <w:rtl w:val="true"/>
          <w:lang w:bidi="ar-SA"/>
        </w:rPr>
        <w:t>.</w:t>
      </w:r>
      <w:bookmarkStart w:id="138" w:name="pg12366_123043"/>
    </w:p>
    <w:p>
      <w:pPr>
        <w:pStyle w:val="Heading4"/>
        <w:numPr>
          <w:ilvl w:val="3"/>
          <w:numId w:val="1"/>
        </w:numPr>
        <w:rPr/>
      </w:pPr>
      <w:bookmarkStart w:id="139" w:name="__RefHeading___Toc8896015_417432637"/>
      <w:bookmarkStart w:id="140" w:name="_Toc51"/>
      <w:bookmarkEnd w:id="138"/>
      <w:bookmarkEnd w:id="139"/>
      <w:r>
        <w:rPr>
          <w:rtl w:val="true"/>
        </w:rPr>
        <w:t>[</w:t>
      </w:r>
      <w:r>
        <w:rPr>
          <w:rtl w:val="true"/>
        </w:rPr>
        <w:t xml:space="preserve">مسألة </w:t>
      </w:r>
      <w:r>
        <w:rPr/>
        <w:t>3</w:t>
      </w:r>
      <w:r>
        <w:rPr>
          <w:rtl w:val="true"/>
        </w:rPr>
        <w:t xml:space="preserve">: </w:t>
      </w:r>
      <w:r>
        <w:rPr>
          <w:rtl w:val="true"/>
        </w:rPr>
        <w:t xml:space="preserve">لا يقع </w:t>
      </w:r>
      <w:r>
        <w:rPr>
          <w:rtl w:val="true"/>
        </w:rPr>
        <w:t>(</w:t>
      </w:r>
      <w:r>
        <w:rPr/>
        <w:t>1</w:t>
      </w:r>
      <w:r>
        <w:rPr>
          <w:rtl w:val="true"/>
        </w:rPr>
        <w:t xml:space="preserve">) </w:t>
      </w:r>
      <w:r>
        <w:rPr>
          <w:rtl w:val="true"/>
        </w:rPr>
        <w:t>في شهر رمضان صوم غيره، واجباً كان أو ندباً</w:t>
      </w:r>
      <w:r>
        <w:rPr>
          <w:rtl w:val="true"/>
        </w:rPr>
        <w:t>]</w:t>
      </w:r>
      <w:bookmarkEnd w:id="14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صوم غيره، واجباً كان أو ندباً، سواء كان مكلّفاً بصومه أم لا، كالمسافر و نحوه، بل مع الجهل بكونه رمضاناً أو نسيانه، لو نوى فيه صوم غيره يقع عن رمضان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 أصحابنا</w:t>
      </w:r>
      <w:r>
        <w:rPr>
          <w:rStyle w:val="FootnoteAnchor"/>
          <w:rtl w:val="true"/>
        </w:rPr>
        <w:footnoteReference w:id="545"/>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كاد يكون من قطعيّات أرباب الشريعة، إن لم يكن من ضرورياتها</w:t>
      </w:r>
      <w:r>
        <w:rPr>
          <w:rFonts w:eastAsia="Amiri" w:cs="Amiri" w:ascii="Amiri" w:hAnsi="Amiri"/>
          <w:color w:val="111111"/>
          <w:sz w:val="28"/>
          <w:szCs w:val="28"/>
          <w:rtl w:val="true"/>
          <w:lang w:bidi="ar-SA"/>
        </w:rPr>
        <w:t>»</w:t>
      </w:r>
      <w:r>
        <w:rPr>
          <w:rStyle w:val="FootnoteAnchor"/>
          <w:rtl w:val="true"/>
        </w:rPr>
        <w:footnoteReference w:id="54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يستظهر عن مالك، و الشافعيّ في أحد قوليه، و أبي حنيفة لغير المقيم تجويز غيره فيه</w:t>
      </w:r>
      <w:r>
        <w:rPr>
          <w:rStyle w:val="FootnoteAnchor"/>
          <w:rtl w:val="true"/>
        </w:rPr>
        <w:footnoteReference w:id="547"/>
      </w:r>
      <w:r>
        <w:rPr>
          <w:rFonts w:ascii="Amiri" w:hAnsi="Amiri" w:eastAsia="Amiri" w:cs="Amiri"/>
          <w:color w:val="111111"/>
          <w:sz w:val="28"/>
          <w:sz w:val="28"/>
          <w:szCs w:val="28"/>
          <w:rtl w:val="true"/>
          <w:lang w:bidi="ar-SA"/>
        </w:rPr>
        <w:t xml:space="preserve">، لاعتبارهم قصد التعيين في صوم شهر رمضان، فلا يكون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صالحية لشهر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قطعيّات أرباب الشريعة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 حال الحضر لا السفر، فراجع</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مستند الأصحاب و الشهرة، الخبرين المرويين في الباب الثاني عشر</w:t>
      </w:r>
      <w:r>
        <w:rPr>
          <w:rStyle w:val="FootnoteAnchor"/>
          <w:rtl w:val="true"/>
        </w:rPr>
        <w:footnoteReference w:id="549"/>
      </w:r>
      <w:r>
        <w:rPr>
          <w:rFonts w:ascii="Amiri" w:hAnsi="Amiri" w:eastAsia="Amiri" w:cs="Amiri"/>
          <w:color w:val="111111"/>
          <w:sz w:val="28"/>
          <w:sz w:val="28"/>
          <w:szCs w:val="28"/>
          <w:rtl w:val="true"/>
          <w:lang w:bidi="ar-SA"/>
        </w:rPr>
        <w:t>، الضعيف سند أحدهما قطعاً، و الآخر عند القاطبة إلّا</w:t>
      </w:r>
    </w:p>
    <w:p>
      <w:pPr>
        <w:pStyle w:val="BookText"/>
        <w:rPr/>
      </w:pPr>
      <w:r>
        <w:rPr>
          <w:rFonts w:ascii="Amiri" w:hAnsi="Amiri" w:eastAsia="Amiri" w:cs="Amiri"/>
          <w:color w:val="111111"/>
          <w:sz w:val="28"/>
          <w:sz w:val="28"/>
          <w:szCs w:val="28"/>
          <w:rtl w:val="true"/>
          <w:lang w:bidi="ar-SA"/>
        </w:rPr>
        <w:t>نحن، حيث اتّخذنا سبيلًا خاصّاً</w:t>
      </w:r>
      <w:r>
        <w:rPr>
          <w:rStyle w:val="FootnoteAnchor"/>
          <w:rtl w:val="true"/>
        </w:rPr>
        <w:footnoteReference w:id="550"/>
      </w:r>
      <w:r>
        <w:rPr>
          <w:rFonts w:ascii="Amiri" w:hAnsi="Amiri" w:eastAsia="Amiri" w:cs="Amiri"/>
          <w:color w:val="111111"/>
          <w:sz w:val="28"/>
          <w:sz w:val="28"/>
          <w:szCs w:val="28"/>
          <w:rtl w:val="true"/>
          <w:lang w:bidi="ar-SA"/>
        </w:rPr>
        <w:t>، فللإشكال في الحكم وجه؛ لأنّ الانجبار و لو لم يكن قطعاً، لأجل أنّ المستند إن كان الخبرين فهو، و إن لم يكن ذلك الخبرين، فلا بدّ من وجود حجّة عندهم على الوجه المحرّر؛ و لكنّ احتمال كونه الخبرين بعد قصور دلالتهما، يكفي لعدم تماميّة السند لفتوى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ضعف دلالتهما، فلأنّ ما رواه فيه مرسلًا،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في أيّام بقين من شهر شعبان، فكان يصوم، ثمّ دخل عليه شهر رمضان، و هو في السفر فأفطر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تصوم شهر شعبان، و تفطر شهر رمضان؟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شعبان إليّ، إن شئت صمت، و إن شئت لا، و شهر رمضان عزم من اللَّه تعالى على الإفطار</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 مضافاً إلى دلالته على جواز الصوم في السفر، و هو غير مفتى به، لا يدلّ على عدم صالحيّة الشهر للحاضر، الذي يجوز له ترك صوم الشهر، كالشيخ و الشيخة و غير ذلك</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المرسل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 مكّة</w:t>
      </w:r>
    </w:p>
    <w:p>
      <w:pPr>
        <w:pStyle w:val="BookText"/>
        <w:rPr/>
      </w:pPr>
      <w:r>
        <w:rPr>
          <w:rFonts w:ascii="Amiri" w:hAnsi="Amiri" w:eastAsia="Amiri" w:cs="Amiri"/>
          <w:color w:val="111111"/>
          <w:sz w:val="28"/>
          <w:sz w:val="28"/>
          <w:szCs w:val="28"/>
          <w:rtl w:val="true"/>
          <w:lang w:bidi="ar-SA"/>
        </w:rPr>
        <w:t>و المدينة في شعبان، و هو صائم، ثمّ رأينا هلال شهر رمضان، فأفطر،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أمس كان من شعبان، و أنت صائم، و اليوم من شهر رمضان، و أنت 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تطوّع، و لنا أن نفعل ما شئنا، و هذا فرض، فليس لنا أن نفعل إلّا ما أُمرنا</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الخبر كأنّه الخبر السابق، و لا سيّما مع وحدة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الخبرين أنّ النظر إلى الكتاب، و أنّه تعالى قال وَ مَنْ كانَ مَرِيضاً أَوْ عَلى سَفَرٍ فَعِدَّةٌ مِنْ أَيَّامٍ أُخَرَ</w:t>
      </w:r>
      <w:r>
        <w:rPr>
          <w:rStyle w:val="FootnoteAnchor"/>
          <w:rtl w:val="true"/>
        </w:rPr>
        <w:footnoteReference w:id="553"/>
      </w:r>
      <w:r>
        <w:rPr>
          <w:rFonts w:ascii="Amiri" w:hAnsi="Amiri" w:eastAsia="Amiri" w:cs="Amiri"/>
          <w:color w:val="111111"/>
          <w:sz w:val="28"/>
          <w:sz w:val="28"/>
          <w:szCs w:val="28"/>
          <w:rtl w:val="true"/>
          <w:lang w:bidi="ar-SA"/>
        </w:rPr>
        <w:t>و أنّ الصوم على إطلاقه يكون كذلك، و أمّا الحاضر، فحكمه مسكوت عنه، فلو بنى على العصيان، فصام بعنوان آخر، فربّما يمكن تصحيحه على الترتّب، على التقريب الذي أبدعناه</w:t>
      </w:r>
      <w:r>
        <w:rPr>
          <w:rStyle w:val="FootnoteAnchor"/>
          <w:rtl w:val="true"/>
        </w:rPr>
        <w:footnoteReference w:id="554"/>
      </w:r>
      <w:r>
        <w:rPr>
          <w:rFonts w:ascii="Amiri" w:hAnsi="Amiri" w:eastAsia="Amiri" w:cs="Amiri"/>
          <w:color w:val="111111"/>
          <w:sz w:val="28"/>
          <w:sz w:val="28"/>
          <w:szCs w:val="28"/>
          <w:rtl w:val="true"/>
          <w:lang w:bidi="ar-SA"/>
        </w:rPr>
        <w:t>، دون الترتّب المصطلح عليه</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في موارد الرخصة، كما أُشير إليه، فالأحوط الذي لا يترك ما ذهب إليه المشهور المفروغ عنه في كلماتهم، و هي الحجّة؛</w:t>
      </w:r>
    </w:p>
    <w:p>
      <w:pPr>
        <w:pStyle w:val="BookText"/>
        <w:rPr/>
      </w:pPr>
      <w:r>
        <w:rPr>
          <w:rFonts w:ascii="Amiri" w:hAnsi="Amiri" w:eastAsia="Amiri" w:cs="Amiri"/>
          <w:color w:val="111111"/>
          <w:sz w:val="28"/>
          <w:sz w:val="28"/>
          <w:szCs w:val="28"/>
          <w:rtl w:val="true"/>
          <w:lang w:bidi="ar-SA"/>
        </w:rPr>
        <w:t>لأنّ قصور الخبرين عن إطلاق معقد الإجماع، يشهد على أنّهما ليسا مورد الاستناد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احتمال كونهما السند، بضميمة اجتهادهم و فهمهم عدم الخصوصيّة، و إن كان موجوداً، و لكنّه بعيد، فليتدبّر جيّداً</w:t>
      </w:r>
      <w:r>
        <w:rPr>
          <w:rFonts w:eastAsia="Amiri" w:cs="Amiri" w:ascii="Amiri" w:hAnsi="Amiri"/>
          <w:color w:val="111111"/>
          <w:sz w:val="28"/>
          <w:szCs w:val="28"/>
          <w:rtl w:val="true"/>
          <w:lang w:bidi="ar-SA"/>
        </w:rPr>
        <w:t>.</w:t>
      </w:r>
      <w:bookmarkStart w:id="141" w:name="pg12366_123047"/>
    </w:p>
    <w:p>
      <w:pPr>
        <w:pStyle w:val="Heading4"/>
        <w:numPr>
          <w:ilvl w:val="3"/>
          <w:numId w:val="1"/>
        </w:numPr>
        <w:rPr/>
      </w:pPr>
      <w:bookmarkStart w:id="142" w:name="__RefHeading___Toc8896017_417432637"/>
      <w:bookmarkStart w:id="143" w:name="_Toc52"/>
      <w:bookmarkEnd w:id="141"/>
      <w:bookmarkEnd w:id="142"/>
      <w:r>
        <w:rPr>
          <w:rtl w:val="true"/>
        </w:rPr>
        <w:t>[</w:t>
      </w:r>
      <w:r>
        <w:rPr>
          <w:rtl w:val="true"/>
        </w:rPr>
        <w:t xml:space="preserve">مسألة </w:t>
      </w:r>
      <w:r>
        <w:rPr/>
        <w:t>4</w:t>
      </w:r>
      <w:r>
        <w:rPr>
          <w:rtl w:val="true"/>
        </w:rPr>
        <w:t xml:space="preserve">: </w:t>
      </w:r>
      <w:r>
        <w:rPr>
          <w:rtl w:val="true"/>
        </w:rPr>
        <w:t>الأقوى أنه لا محلّ للنيّة شرعاً في الواجب المعيّن</w:t>
      </w:r>
      <w:r>
        <w:rPr>
          <w:rtl w:val="true"/>
        </w:rPr>
        <w:t>]</w:t>
      </w:r>
      <w:bookmarkEnd w:id="14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أنه لا محلّ للنيّة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 المعيّن، رمضاناً كان أو غيره، بل المعيار حصول الصوم عن عزم و قصد باق في النفس، و لو ذهل عنه بنوم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حدوث هذا العزم بين كونه مقارناً لطلوع الفجر أو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محلّ للنيّة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في الواجب المعيّن لغير ذوي الأعذار، تأخير النيّة عن طلوع الفجر؛ ضرورة أنّه محلّ للنيّة، و هو قبل طلوع الفجر لطائفة خاصّة تأتي</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مقارناً أو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يصحّ لو حصلت بعده بالاختيار حال التوجّه و العلم، إجماعاً محكيّاً</w:t>
      </w:r>
      <w:r>
        <w:rPr>
          <w:rStyle w:val="FootnoteAnchor"/>
          <w:rtl w:val="true"/>
        </w:rPr>
        <w:footnoteReference w:id="557"/>
      </w:r>
      <w:r>
        <w:rPr>
          <w:rFonts w:ascii="Amiri" w:hAnsi="Amiri" w:eastAsia="Amiri" w:cs="Amiri"/>
          <w:color w:val="111111"/>
          <w:sz w:val="28"/>
          <w:sz w:val="28"/>
          <w:szCs w:val="28"/>
          <w:rtl w:val="true"/>
          <w:lang w:bidi="ar-SA"/>
        </w:rPr>
        <w:t>، و شهرة معتدّاً بها</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المعروف بين المخالفين، إلّا عن أبي حنيفة</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أصحابنا من اختار التوسعة إلى الزوال كالسيّد</w:t>
      </w:r>
      <w:r>
        <w:rPr>
          <w:rStyle w:val="FootnoteAnchor"/>
          <w:rtl w:val="true"/>
        </w:rPr>
        <w:footnoteReference w:id="560"/>
      </w:r>
      <w:r>
        <w:rPr>
          <w:rFonts w:ascii="IRNazanin" w:hAnsi="IRNazanin" w:eastAsia="IRNazanin"/>
          <w:color w:val="111111"/>
          <w:sz w:val="28"/>
          <w:sz w:val="28"/>
          <w:szCs w:val="28"/>
          <w:rtl w:val="true"/>
          <w:lang w:bidi="fa-IR"/>
        </w:rPr>
        <w:t>، و إلى ما</w:t>
      </w:r>
    </w:p>
    <w:p>
      <w:pPr>
        <w:pStyle w:val="BookText"/>
        <w:rPr/>
      </w:pPr>
      <w:r>
        <w:rPr>
          <w:rFonts w:ascii="Amiri" w:hAnsi="Amiri" w:eastAsia="Amiri" w:cs="Amiri"/>
          <w:color w:val="111111"/>
          <w:sz w:val="28"/>
          <w:sz w:val="28"/>
          <w:szCs w:val="28"/>
          <w:rtl w:val="true"/>
          <w:lang w:bidi="ar-SA"/>
        </w:rPr>
        <w:t>قبل الغروب كابن الجنيد</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حكي عن ابن أبي عقيل لزوم التقديم ليلًا</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إنّ قضيّة القواعد أنّ مطلق الإمساك و ترك المفطرات بين الحدّين، ليس من الصوم اللغوي و الشرعي بالضرورة، فلا بدّ من اقترانه بالقصد؛ فإنّه به يصير صوماً، و إلّا فيلزم أن يمتدّ وقت الصوم من الليل إلى الليل، لو ترك المفطرات اتّفاقاً، فتركها بين الحدّين لا يصير صوماً إلّا باقترانه بالقصد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توسعة الشرع في الواجب غير المعيّن مثلًا إلى الزوال، و في المندوب إلى ما قبل الغروب، فلا يوجب توهّم السيّد و ابن الجنيد، أنّ طبيعة الصوم تكون هكذا؛ لأنّه توسعة لأجل المصالح، و لا يعقل أن يصير الصوم المقرون بالقصد أثناء النهار، صوماً من أول الفجر، إلّا باعتبار الأثر الخاصّ</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أنّ الإمساك بين الحدّين إذا اقترن جزء منه بالنيّة يعدّ من الصوم تمام النهار، لكفاية توصيف العامّ المجموعي بتوصيف بعضه</w:t>
      </w:r>
      <w:r>
        <w:rPr>
          <w:rStyle w:val="FootnoteAnchor"/>
          <w:rtl w:val="true"/>
        </w:rPr>
        <w:footnoteReference w:id="56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فهو موهون و محمول على المجاز لا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ذلك جواز أن ينوي، ثمّ ينصرف، ثمّ ينوي و هكذا، بل يلزم كفاية جزء من النهار منويّاً، عن الصوم إلى آخره و لو كان ذلك الجزء أوّل الطلوع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الصوم و مفهومه تأبى عن التوسعة، و يصير صوماً من حين القصد، و لا يوصف الإمساك المطلق قبلها بصوم، كما لا يوصف الإمساك بين الحدّين به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إذا كان المفهوم كذلك، فلا وجه للتشبّث بحديث عباديّة الصوم</w:t>
      </w:r>
      <w:r>
        <w:rPr>
          <w:rStyle w:val="FootnoteAnchor"/>
          <w:rtl w:val="true"/>
        </w:rPr>
        <w:footnoteReference w:id="564"/>
      </w:r>
      <w:r>
        <w:rPr>
          <w:rFonts w:ascii="Amiri" w:hAnsi="Amiri" w:eastAsia="Amiri" w:cs="Amiri"/>
          <w:color w:val="111111"/>
          <w:sz w:val="28"/>
          <w:sz w:val="28"/>
          <w:szCs w:val="28"/>
          <w:rtl w:val="true"/>
          <w:lang w:bidi="ar-SA"/>
        </w:rPr>
        <w:t>، و أنّه لا بدّ و أن تكون أجزاؤه عبادة، و هي لا تقع إلّا مع القصد حتّى يناقش فيه</w:t>
      </w:r>
      <w:r>
        <w:rPr>
          <w:rStyle w:val="FootnoteAnchor"/>
          <w:rtl w:val="true"/>
        </w:rPr>
        <w:footnoteReference w:id="565"/>
      </w:r>
      <w:r>
        <w:rPr>
          <w:rFonts w:ascii="Amiri" w:hAnsi="Amiri" w:eastAsia="Amiri" w:cs="Amiri"/>
          <w:color w:val="111111"/>
          <w:sz w:val="28"/>
          <w:sz w:val="28"/>
          <w:szCs w:val="28"/>
          <w:rtl w:val="true"/>
          <w:lang w:bidi="ar-SA"/>
        </w:rPr>
        <w:t>، فإنّه بعيد عن الصواب؛ ضرورة أنّه نوع عبادة خاصّة، لا يتحمله الذوق، و لا يقبل أن يكون نائماً من قبل الطلوع إلى الغروب جنباً، و يكون عابداً زاهداً مسلماً، فلا تخلط</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الأصل، و سيمرّ عليك مواضع الخروج عنه، و يجوز دعوى استفادة توسعة الشرع في ظرف النيّة إلى ما قبل الزوال، حتّى في الواجب المعيّن مطلقاً، و لكنّ قضيّة النصوص الواردة هي</w:t>
      </w:r>
    </w:p>
    <w:p>
      <w:pPr>
        <w:pStyle w:val="BookText"/>
        <w:rPr/>
      </w:pPr>
      <w:r>
        <w:rPr>
          <w:rFonts w:ascii="Amiri" w:hAnsi="Amiri" w:eastAsia="Amiri" w:cs="Amiri"/>
          <w:color w:val="111111"/>
          <w:sz w:val="28"/>
          <w:sz w:val="28"/>
          <w:szCs w:val="28"/>
          <w:rtl w:val="true"/>
          <w:lang w:bidi="ar-SA"/>
        </w:rPr>
        <w:t>التوسعة في غير الواجب المعيّن</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847</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كتاب الصوم، أبواب وجوب الصوم و نيّته،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هشام بن سالم،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يصبح لا ينوي الصوم فإذا تعالى النهار حدث له رأي في الصوم؟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نوى الصوم قبل أن تزول الشمس حسب له يومه، و إن نواه بعد الزوال حسب له من الوقت الذي 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كتاب الصوم، أبواب وجوب الصوم و نيّته،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كما أنّ مقتضى تلك النصوص الآتية، فساد القول بالتوسعة إلى ما بعد الوقت؛ لما يستفاد منها مفروغيّة عدم التوسعة في المعيّن، و لا سيّما شهر رمضان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القول المنسوب إلى ابن أبي عقيل</w:t>
      </w:r>
      <w:r>
        <w:rPr>
          <w:rStyle w:val="FootnoteAnchor"/>
          <w:rtl w:val="true"/>
        </w:rPr>
        <w:footnoteReference w:id="567"/>
      </w:r>
      <w:r>
        <w:rPr>
          <w:rFonts w:ascii="Amiri" w:hAnsi="Amiri" w:eastAsia="Amiri" w:cs="Amiri"/>
          <w:color w:val="111111"/>
          <w:sz w:val="28"/>
          <w:sz w:val="28"/>
          <w:szCs w:val="28"/>
          <w:rtl w:val="true"/>
          <w:lang w:bidi="ar-SA"/>
        </w:rPr>
        <w:t>، فهو مضافاً إلى عدم ثبوته؛ لأنّ المحكي عنه ظاهر في توسعته في ظرف النيّة، كما هو الجائز بالضرورة، كما أنّه يظهر منه عدم اختصاص التوسعة في خصوص الواجب المعيّن، أنّه لو سلّمنا صحّة النسبة فهي بلا مستند إلّا بعض</w:t>
      </w:r>
    </w:p>
    <w:p>
      <w:pPr>
        <w:pStyle w:val="BookText"/>
        <w:rPr/>
      </w:pPr>
      <w:r>
        <w:rPr>
          <w:rFonts w:ascii="Amiri" w:hAnsi="Amiri" w:eastAsia="Amiri" w:cs="Amiri"/>
          <w:color w:val="111111"/>
          <w:sz w:val="28"/>
          <w:sz w:val="28"/>
          <w:szCs w:val="28"/>
          <w:rtl w:val="true"/>
          <w:lang w:bidi="ar-SA"/>
        </w:rPr>
        <w:t xml:space="preserve">و لا بين حدوثه في ليلة اليوم الذي يريد صومه أو قبلها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المراسيل</w:t>
      </w:r>
      <w:r>
        <w:rPr>
          <w:rStyle w:val="FootnoteAnchor"/>
          <w:rtl w:val="true"/>
        </w:rPr>
        <w:footnoteReference w:id="568"/>
      </w:r>
      <w:r>
        <w:rPr>
          <w:rFonts w:ascii="Amiri" w:hAnsi="Amiri" w:eastAsia="Amiri" w:cs="Amiri"/>
          <w:color w:val="111111"/>
          <w:sz w:val="28"/>
          <w:sz w:val="28"/>
          <w:szCs w:val="28"/>
          <w:rtl w:val="true"/>
          <w:lang w:bidi="ar-SA"/>
        </w:rPr>
        <w:t>الشائعة في الكتب الاستدلاليّة</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النيّة الارتكازيّة كما تكون كافية في أثناء النهار و هو نائم، كذلك عند الطلوع، و لزوم الخطور في الابتداء دون الأثناء، لقيام الضرورة على عدم اعتباره في الأثناء، مبني على ما تحرّر فساده في محلّه</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النائم الباني على الصوم، له الارتكاز النفساني على ترك المفطرات، و ربّما يجتنب عنها حال النوم و في النوم، فليس الكفاية حكميّة، بل هي موضوعيّة أيضاً إلّا أنّها إجماليّة ارتكازيّة، مع أنّ الذهول و الغفلة المطلقة لا يضرّ، و لو كان لو اتّفق، لا يترك المفطر، اللّهمّ إلّا أن يقال بأنّه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عزم على صوم الغد من اليوم الماضي، و نام على هذا العزم إلى آخر النهار، صحّ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فاتته النيّة لعذر، كنسيان أو غفلة أو جهل بكونه رمضاناً أو مرض أو سفر، فزال عذره قبل الزوال، يمتدّ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وقتها شرعاً إلى الزوال،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غير الصورة التي كان صائماً في اليوم السابق، و إلّا فتكون المسألة مندرجة في صوم الوصال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يمتدّ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أُشير</w:t>
      </w:r>
      <w:r>
        <w:rPr>
          <w:rStyle w:val="FootnoteAnchor"/>
          <w:rtl w:val="true"/>
        </w:rPr>
        <w:footnoteReference w:id="571"/>
      </w:r>
      <w:r>
        <w:rPr>
          <w:rFonts w:ascii="Amiri" w:hAnsi="Amiri" w:eastAsia="Amiri" w:cs="Amiri"/>
          <w:color w:val="111111"/>
          <w:sz w:val="28"/>
          <w:sz w:val="28"/>
          <w:szCs w:val="28"/>
          <w:rtl w:val="true"/>
          <w:lang w:bidi="ar-SA"/>
        </w:rPr>
        <w:t>إلى أنّ قضيّة القاعدة عدم إمكان تحقّق الصوم بالنيّة اللاحقة؛ لأنّ مفهوم الصوم مأخوذ فيه الإمساك و هو لا يتحقّق إلّا بالقصد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توسعة الشرع إجمالًا في مورد، لا يكفي حتّى في ذلك المورد، لصيرورة الصوم صوماً من أوّل الفجر، فعليه لا بدّ من الدليل للخروج منه، من إجماع، أو نصّ، و إلّا فيقتصر على موردها، فخروج جميع الحالات و الأعذار، بالنسبة إلى مطلق الصوم، لا يمكن إثباته كما سيظهر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قلنا بأنّ الصوم هو ترك المفطرات، كما قوّيناه سالفاً</w:t>
      </w:r>
      <w:r>
        <w:rPr>
          <w:rStyle w:val="FootnoteAnchor"/>
          <w:rtl w:val="true"/>
        </w:rPr>
        <w:footnoteReference w:id="572"/>
      </w:r>
      <w:r>
        <w:rPr>
          <w:rFonts w:ascii="Amiri" w:hAnsi="Amiri" w:eastAsia="Amiri" w:cs="Amiri"/>
          <w:color w:val="111111"/>
          <w:sz w:val="28"/>
          <w:sz w:val="28"/>
          <w:szCs w:val="28"/>
          <w:rtl w:val="true"/>
          <w:lang w:bidi="ar-SA"/>
        </w:rPr>
        <w:t>، و ليس</w:t>
      </w:r>
    </w:p>
    <w:p>
      <w:pPr>
        <w:pStyle w:val="BookText"/>
        <w:rPr/>
      </w:pPr>
      <w:r>
        <w:rPr>
          <w:rFonts w:ascii="Amiri" w:hAnsi="Amiri" w:eastAsia="Amiri" w:cs="Amiri"/>
          <w:color w:val="111111"/>
          <w:sz w:val="28"/>
          <w:sz w:val="28"/>
          <w:szCs w:val="28"/>
          <w:rtl w:val="true"/>
          <w:lang w:bidi="ar-SA"/>
        </w:rPr>
        <w:t>معنى قصديّاً في مفهومه اللغوي، و لا في مفهومه المنصرف إليه شرعاً، فيجوز تصحيح الصوم في مطلق الصور بطروّ النيّة و لو في آخر الوقت، عليه، و لحوقها به؛ لأنّ ترك المفطرات بين الحدّين حاصل، و الاقتران بالنيّة في الجملة، الذي هو لازم بالضرورة، أيضاً متحقّق، فلا حاجة إلى الأدلّة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وجه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الصوم و لو كان بماهيّته الإمساك المتقوّم بالقصد، إلّا أنّ من توسعة الشرع في الصيام المستحبّ و في الواجب غير المعيّن، إلى الزوال ليكشف تصرّفه فيه جوهريّا، و هكذا في موارد خاصّة كالمسافر الجائي إلى وطنه و غير ذلك، فإنّ من المجموع يحصل الوثوق، بأنّ الصوم عند الشرع هو الترك المقرون بالنيّة في برهة من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فيما بعد الزوال لا تكفي النيّة اللاحقة به، في مثل الصوم الواجب، و هكذا في المعيّن إذا كان عن عمد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الوجه الأخير أنّ الضرورة قاضية بجواز السفر قبل الزوال؛ و لازم ذلك جواز كون المكلّف بانياً على ارتكاب المفطرات، بعد التجاوز عن حدّ الترخيص، و الضرورة قاضية بجواز العود من تلك النيّة، و البناء على البقاء في محلّه؛ و على هذا كيف تكون نيّة الصوم غير موسّعة إلى الزوال حتّى للعامد، و لو كان الصوم هو المعنى المتقوّم بالإمساك القصدي، لا يمكن تجويز الأمر المذكور، كما يأتي بتفصيل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هنا يستكشف أنّ الصوم فيما يستقرّ، و هو بعد الزوال، لا يمتدّ وقته إلى ما بعده، و أمّا إذا كان غير مستقرّ على المكلّف القاصد للأكل في مكان كذا، فيكون موسّع الوقت، و لو لا مخافة مخالفة الإجماع، لكان تجويز تأخير القصد لغير العازم على السفر،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الفرق بين القصد إلى ارتكاب المفطر في هذا المكان دون ذاك المكان، يكفي لتحقّق مفهوم الصوم</w:t>
      </w:r>
      <w:r>
        <w:rPr>
          <w:rStyle w:val="FootnoteAnchor"/>
          <w:rtl w:val="true"/>
        </w:rPr>
        <w:footnoteReference w:id="573"/>
      </w:r>
      <w:r>
        <w:rPr>
          <w:rFonts w:ascii="Amiri" w:hAnsi="Amiri" w:eastAsia="Amiri" w:cs="Amiri"/>
          <w:color w:val="111111"/>
          <w:sz w:val="28"/>
          <w:sz w:val="28"/>
          <w:szCs w:val="28"/>
          <w:rtl w:val="true"/>
          <w:lang w:bidi="ar-SA"/>
        </w:rPr>
        <w:t>، ناشئ عن ملاحظة الحكم الشرعي، و إلّا فعند اللغة و العرف، مَن كان عازماً على الأكل عند زيد دون عمر، لا يكون صائماً و ممسكاً بالمعنى المعهود عنه بحسب اللغة، و بحسب المتفاهم منه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دعوى اختصاص الحكم بالمسافر، و في موارد الجهل للإجماع و بعض الأخبار الخاصّة</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المعتبر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 xml:space="preserve">، المبسوط، للسرخسي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صحيحة؛ لأنّ في الأحكام الوضعيّة يستفاد المعنى الوضعي المشترك، كما في باب النجاسات و النواقض،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لم يتناول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المفطر، فإذا زالت الشمس فات محلّها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يتناول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شائبة خلاف من أحد؛ لأنّه ليس بصائم بجميع معانيه، و هو مقتضى طائفة من الأخبار المنتشرة الآتية، و منها حديث مجي‌ء الأعرابي، الذي تمسّك به في هذه المسألة 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إجماعاً قويّاً، لم يحك الخلاف فيه إلّا عن ابن الجنيد</w:t>
      </w:r>
      <w:r>
        <w:rPr>
          <w:rStyle w:val="FootnoteAnchor"/>
          <w:rtl w:val="true"/>
        </w:rPr>
        <w:footnoteReference w:id="575"/>
      </w:r>
      <w:r>
        <w:rPr>
          <w:rFonts w:ascii="Amiri" w:hAnsi="Amiri" w:eastAsia="Amiri" w:cs="Amiri"/>
          <w:color w:val="111111"/>
          <w:sz w:val="28"/>
          <w:sz w:val="28"/>
          <w:szCs w:val="28"/>
          <w:rtl w:val="true"/>
          <w:lang w:bidi="ar-SA"/>
        </w:rPr>
        <w:t>، و يكفي للحكم هنا فوت محلّها في الواجب غير المعيّن، حسب النصوص الآتية</w:t>
      </w:r>
      <w:r>
        <w:rPr>
          <w:rStyle w:val="FootnoteAnchor"/>
          <w:rtl w:val="true"/>
        </w:rPr>
        <w:footnoteReference w:id="576"/>
      </w:r>
      <w:r>
        <w:rPr>
          <w:rFonts w:ascii="Amiri" w:hAnsi="Amiri" w:eastAsia="Amiri" w:cs="Amiri"/>
          <w:color w:val="111111"/>
          <w:sz w:val="28"/>
          <w:sz w:val="28"/>
          <w:szCs w:val="28"/>
          <w:rtl w:val="true"/>
          <w:lang w:bidi="ar-SA"/>
        </w:rPr>
        <w:t>، فإنّ الأولويّة واضحة، و مفروغيّة الحكم عند السائل و المجيب، مستفادة عن تلك الأخبار، و لأجل احتمال كون المجمعين مستندين إلى تلك الأخبار، فيكون في البين اجتهاد، يمكن المناقشة أوّلًا في الإجماع، و ثانياً في تلك الأولوية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ما ورد في المسافر القادم في شهر رمضان</w:t>
      </w:r>
      <w:r>
        <w:rPr>
          <w:rStyle w:val="FootnoteAnchor"/>
          <w:rtl w:val="true"/>
        </w:rPr>
        <w:footnoteReference w:id="577"/>
      </w:r>
      <w:r>
        <w:rPr>
          <w:rFonts w:ascii="Amiri" w:hAnsi="Amiri" w:eastAsia="Amiri" w:cs="Amiri"/>
          <w:color w:val="111111"/>
          <w:sz w:val="28"/>
          <w:sz w:val="28"/>
          <w:szCs w:val="28"/>
          <w:rtl w:val="true"/>
          <w:lang w:bidi="ar-SA"/>
        </w:rPr>
        <w:t>أيضاً، بطلان وقت النيّة في الواجب المعيّن بإلغاء الخصوصيّة، و لما</w:t>
      </w:r>
    </w:p>
    <w:p>
      <w:pPr>
        <w:pStyle w:val="BookText"/>
        <w:rPr/>
      </w:pPr>
      <w:r>
        <w:rPr>
          <w:rFonts w:ascii="Amiri" w:hAnsi="Amiri" w:eastAsia="Amiri" w:cs="Amiri"/>
          <w:color w:val="111111"/>
          <w:sz w:val="28"/>
          <w:sz w:val="28"/>
          <w:szCs w:val="28"/>
          <w:rtl w:val="true"/>
          <w:lang w:bidi="ar-SA"/>
        </w:rPr>
        <w:t xml:space="preserve">نعم، في جريان الحكم في مطلق الأعذار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بل في المرض لا يخلو من إشكال و إن لا يخلو من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أُشير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مدّ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 الأعذار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مضى وجهه، و ما فيه</w:t>
      </w:r>
      <w:r>
        <w:rPr>
          <w:rStyle w:val="FootnoteAnchor"/>
          <w:rtl w:val="true"/>
        </w:rPr>
        <w:footnoteReference w:id="578"/>
      </w:r>
      <w:r>
        <w:rPr>
          <w:rFonts w:ascii="Amiri" w:hAnsi="Amiri" w:eastAsia="Amiri" w:cs="Amiri"/>
          <w:color w:val="111111"/>
          <w:sz w:val="28"/>
          <w:sz w:val="28"/>
          <w:szCs w:val="28"/>
          <w:rtl w:val="true"/>
          <w:lang w:bidi="ar-SA"/>
        </w:rPr>
        <w:t>، و أمّا في خصوص المرض، فلاختصاص نصوص المسألة بالجاهل و المسافر، و اختصاص حديث الرفع</w:t>
      </w:r>
      <w:r>
        <w:rPr>
          <w:rStyle w:val="FootnoteAnchor"/>
          <w:rtl w:val="true"/>
        </w:rPr>
        <w:footnoteReference w:id="579"/>
      </w:r>
      <w:r>
        <w:rPr>
          <w:rFonts w:ascii="Amiri" w:hAnsi="Amiri" w:eastAsia="Amiri" w:cs="Amiri"/>
          <w:color w:val="111111"/>
          <w:sz w:val="28"/>
          <w:sz w:val="28"/>
          <w:szCs w:val="28"/>
          <w:rtl w:val="true"/>
          <w:lang w:bidi="ar-SA"/>
        </w:rPr>
        <w:t>على فرض صحّة الاستناد إليه في أمثال المقام، بالناسي و الجاهل بالحكم و الموضوع و الغافل، و لا نصّ في خصوص المريض</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المهمّ قصور تلك الأدلّة، إلّا ما ورد في المسافر، عن إثبات التفكيك، و قد عرفت وجه اشتراك الحكم في جميع الأعذار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يمتدّ محلّها اختياراً في غير المعيّن إلى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إجماعاً قطعيّاً</w:t>
      </w:r>
      <w:r>
        <w:rPr>
          <w:rStyle w:val="FootnoteAnchor"/>
          <w:rtl w:val="true"/>
        </w:rPr>
        <w:footnoteReference w:id="580"/>
      </w:r>
      <w:r>
        <w:rPr>
          <w:rFonts w:ascii="Amiri" w:hAnsi="Amiri" w:eastAsia="Amiri" w:cs="Amiri"/>
          <w:color w:val="111111"/>
          <w:sz w:val="28"/>
          <w:sz w:val="28"/>
          <w:szCs w:val="28"/>
          <w:rtl w:val="true"/>
          <w:lang w:bidi="ar-SA"/>
        </w:rPr>
        <w:t>، معتضداً بالأخبار الكثيرة الصريحة</w:t>
      </w:r>
      <w:r>
        <w:rPr>
          <w:rStyle w:val="FootnoteAnchor"/>
          <w:rtl w:val="true"/>
        </w:rPr>
        <w:footnoteReference w:id="581"/>
      </w:r>
      <w:r>
        <w:rPr>
          <w:rFonts w:ascii="Amiri" w:hAnsi="Amiri" w:eastAsia="Amiri" w:cs="Amiri"/>
          <w:color w:val="111111"/>
          <w:sz w:val="28"/>
          <w:sz w:val="28"/>
          <w:szCs w:val="28"/>
          <w:rtl w:val="true"/>
          <w:lang w:bidi="ar-SA"/>
        </w:rPr>
        <w:t>، أو المنصرفة إلى الواجب المعيّن، و تأتي من ذي قبل 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اختصاص الحكم بالقضاء، أو النذر دون مطلق الواجب غير المعيّن، و لكنّه غفلة عن مآثير المسألة المطلقة، الناطقة بكفاية النيّة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معتبر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يصبح و لا ينوي الصوم، فإذا تعالى النهار حدث له رأي في الصوم؟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نوى الصوم قبل أن تزول الشمس، حسب له يومه، و إن نواه بعد الزوال، حسب له من الوقت الذي نوى</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خبر ابن بكير</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989</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كتاب الصوم، أبواب ما يمسك عنه الصائم، الباب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معتبر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w:t>
      </w:r>
    </w:p>
    <w:p>
      <w:pPr>
        <w:pStyle w:val="BookText"/>
        <w:rPr/>
      </w:pPr>
      <w:r>
        <w:rPr>
          <w:rFonts w:ascii="Amiri" w:hAnsi="Amiri" w:eastAsia="Amiri" w:cs="Amiri"/>
          <w:color w:val="111111"/>
          <w:sz w:val="28"/>
          <w:sz w:val="28"/>
          <w:szCs w:val="28"/>
          <w:rtl w:val="true"/>
          <w:lang w:bidi="ar-SA"/>
        </w:rPr>
        <w:t xml:space="preserve">دون ما بعده، فلو أصبح ناوياً للإفطار و لم يتناول مفطراً، فبدا له قبل الزوال أن يصوم قضاء شهر رمضان، أو كفارة أو نذراً مطلقاً، جاز و صحّ، دون ما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يصوم ارتفاع النهار، أ يصوم؟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و غير ذلك من المطلقات السكوتيّة، الحاصلة من ترك الاستفصال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ما بعده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الأقوى المدّعى عليه الإجماع</w:t>
      </w:r>
      <w:r>
        <w:rPr>
          <w:rStyle w:val="FootnoteAnchor"/>
          <w:rtl w:val="true"/>
        </w:rPr>
        <w:footnoteReference w:id="585"/>
      </w:r>
      <w:r>
        <w:rPr>
          <w:rFonts w:ascii="Amiri" w:hAnsi="Amiri" w:eastAsia="Amiri" w:cs="Amiri"/>
          <w:color w:val="111111"/>
          <w:sz w:val="28"/>
          <w:sz w:val="28"/>
          <w:szCs w:val="28"/>
          <w:rtl w:val="true"/>
          <w:lang w:bidi="ar-SA"/>
        </w:rPr>
        <w:t>، و أمّا المحكي عن ابن الجنيد</w:t>
      </w:r>
      <w:r>
        <w:rPr>
          <w:rStyle w:val="FootnoteAnchor"/>
          <w:rtl w:val="true"/>
        </w:rPr>
        <w:footnoteReference w:id="586"/>
      </w:r>
      <w:r>
        <w:rPr>
          <w:rFonts w:ascii="Amiri" w:hAnsi="Amiri" w:eastAsia="Amiri" w:cs="Amiri"/>
          <w:color w:val="111111"/>
          <w:sz w:val="28"/>
          <w:sz w:val="28"/>
          <w:szCs w:val="28"/>
          <w:rtl w:val="true"/>
          <w:lang w:bidi="ar-SA"/>
        </w:rPr>
        <w:t>هنا حسب إطلاق كلامه، فهو مختار الكاشانيّ و السبزواري</w:t>
      </w:r>
      <w:r>
        <w:rPr>
          <w:rStyle w:val="FootnoteAnchor"/>
          <w:rtl w:val="true"/>
        </w:rPr>
        <w:footnoteReference w:id="587"/>
      </w:r>
      <w:r>
        <w:rPr>
          <w:rFonts w:ascii="Amiri" w:hAnsi="Amiri" w:eastAsia="Amiri" w:cs="Amiri"/>
          <w:color w:val="111111"/>
          <w:sz w:val="28"/>
          <w:sz w:val="28"/>
          <w:szCs w:val="28"/>
          <w:rtl w:val="true"/>
          <w:lang w:bidi="ar-SA"/>
        </w:rPr>
        <w:t>، و هو مورد تمايل بعض المتأخّرين</w:t>
      </w:r>
      <w:r>
        <w:rPr>
          <w:rStyle w:val="FootnoteAnchor"/>
          <w:rtl w:val="true"/>
        </w:rPr>
        <w:footnoteReference w:id="588"/>
      </w:r>
      <w:r>
        <w:rPr>
          <w:rFonts w:ascii="Amiri" w:hAnsi="Amiri" w:eastAsia="Amiri" w:cs="Amiri"/>
          <w:color w:val="111111"/>
          <w:sz w:val="28"/>
          <w:sz w:val="28"/>
          <w:szCs w:val="28"/>
          <w:rtl w:val="true"/>
          <w:lang w:bidi="ar-SA"/>
        </w:rPr>
        <w:t>لبعض الإطلاقات السابقة، المعتضد بمعتبر ابن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يصبح، و لم يطعم و لم يشرب، و لم ينوِ صوماً، و كان عليه يوم من شهر رمضان، إله أن يصوم ذلك اليوم و قد ذهب عامّة النهار؟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له أن يصومه، و يعتدّ به من شهر رمضان</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بعد ظهور عامّة النهار في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مرسل البزنطيّ،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عليه القضاء من شهر رمضان، و يصبح فلا يأكل إلى العصر، أ يجوز له أن يجعله قضاء من شهر رمضان؟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إنّ تلك الإطلاقات، مقيّدة بمعتبر عمّار الساباطيّ</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847</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الصوم، أبواب وجوب الصوم و نيّته،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الصريح في عدم الجواز، تبقى المعارضة التوهّميّة بينه و بين الخبرين اللذين لأسند للثاني، و لا دلالة للأوّل، و على تقدير تماميّة سند الثاني، تكون مهجورة معرضاً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المراد من عامّة النهار هو المقدار الكثير جائز، و على تقدير المعارضة يتعيّن الأخذ بما يدلّ على عدم الجواز؛ لأنّه موافق الشهرة، و تعضده النصوص الواردة في السفر</w:t>
      </w:r>
      <w:r>
        <w:rPr>
          <w:rStyle w:val="FootnoteAnchor"/>
          <w:rtl w:val="true"/>
        </w:rPr>
        <w:footnoteReference w:id="592"/>
      </w:r>
      <w:r>
        <w:rPr>
          <w:rFonts w:ascii="Amiri" w:hAnsi="Amiri" w:eastAsia="Amiri" w:cs="Amiri"/>
          <w:color w:val="111111"/>
          <w:sz w:val="28"/>
          <w:sz w:val="28"/>
          <w:szCs w:val="28"/>
          <w:rtl w:val="true"/>
          <w:lang w:bidi="ar-SA"/>
        </w:rPr>
        <w:t>، الناطقة بالإفطار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معتبر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كيف يصنع إذا أراد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قدم بعد زوال الشمس أفطر، و لا يأكل ظاهراً</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 و القول بالتفكيك</w:t>
      </w:r>
      <w:r>
        <w:rPr>
          <w:rStyle w:val="FootnoteAnchor"/>
          <w:rtl w:val="true"/>
        </w:rPr>
        <w:footnoteReference w:id="594"/>
      </w:r>
      <w:r>
        <w:rPr>
          <w:rFonts w:ascii="Amiri" w:hAnsi="Amiri" w:eastAsia="Amiri" w:cs="Amiri"/>
          <w:color w:val="111111"/>
          <w:sz w:val="28"/>
          <w:sz w:val="28"/>
          <w:szCs w:val="28"/>
          <w:rtl w:val="true"/>
          <w:lang w:bidi="ar-SA"/>
        </w:rPr>
        <w:t>بين أقسام الواجب الغير المعيّن و لو أمكن، و لكنّه خلاف ما بنينا عليه فيما سبق</w:t>
      </w:r>
      <w:r>
        <w:rPr>
          <w:rStyle w:val="FootnoteAnchor"/>
          <w:rtl w:val="true"/>
        </w:rPr>
        <w:footnoteReference w:id="595"/>
      </w:r>
      <w:r>
        <w:rPr>
          <w:rFonts w:ascii="Amiri" w:hAnsi="Amiri" w:eastAsia="Amiri" w:cs="Amiri"/>
          <w:color w:val="111111"/>
          <w:sz w:val="28"/>
          <w:sz w:val="28"/>
          <w:szCs w:val="28"/>
          <w:rtl w:val="true"/>
          <w:lang w:bidi="ar-SA"/>
        </w:rPr>
        <w:t>، من ظهور الأخبار في المسائل الوضعيّة إلى اشتراك الحكم في الأمثال و النظائر، مع أنّه لم ينقل القول بالتفصيل في مثل المسألة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توهّم الجمع بين خبري ابن الحجّاج و الساباطيّ باستحباب الإفطار</w:t>
      </w:r>
      <w:r>
        <w:rPr>
          <w:rStyle w:val="FootnoteAnchor"/>
          <w:rtl w:val="true"/>
        </w:rPr>
        <w:footnoteReference w:id="596"/>
      </w:r>
      <w:r>
        <w:rPr>
          <w:rFonts w:ascii="Amiri" w:hAnsi="Amiri" w:eastAsia="Amiri" w:cs="Amiri"/>
          <w:color w:val="111111"/>
          <w:sz w:val="28"/>
          <w:sz w:val="28"/>
          <w:szCs w:val="28"/>
          <w:rtl w:val="true"/>
          <w:lang w:bidi="ar-SA"/>
        </w:rPr>
        <w:t>ضرورة أنّ الأمر بالإفطار إرشاد إلى بطلان الصوم حسب الأصل، و لا يساعده المقام لاستحباب الإفطار نفسيّاً، و ذلك كلّه</w:t>
      </w:r>
    </w:p>
    <w:p>
      <w:pPr>
        <w:pStyle w:val="BookText"/>
        <w:rPr/>
      </w:pPr>
      <w:r>
        <w:rPr>
          <w:rFonts w:ascii="Amiri" w:hAnsi="Amiri" w:eastAsia="Amiri" w:cs="Amiri"/>
          <w:color w:val="111111"/>
          <w:sz w:val="28"/>
          <w:sz w:val="28"/>
          <w:szCs w:val="28"/>
          <w:rtl w:val="true"/>
          <w:lang w:bidi="ar-SA"/>
        </w:rPr>
        <w:t xml:space="preserve">و محلّها في المندوب يمتدّ إلى أن يبقى من الغروب زمان يمكن تجديدها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نوى الصوم فليصم، و إن كان ينوي الإفطار فليفطر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فإن كان نوى الإفطار، يستقيم أن ينوي الصوم بعد ما زالت الشمس؟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فإنّه كالنصّ في سلب القابليّة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تجديدها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إجماعاً محكيّاً</w:t>
      </w:r>
      <w:r>
        <w:rPr>
          <w:rStyle w:val="FootnoteAnchor"/>
          <w:rtl w:val="true"/>
        </w:rPr>
        <w:footnoteReference w:id="598"/>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و هو المحكي عن الصدوق، و الإسكافيّ، و السيّد، و الشيخ، و العلّامة، و الشهيدين</w:t>
      </w:r>
      <w:r>
        <w:rPr>
          <w:rStyle w:val="FootnoteAnchor"/>
          <w:rtl w:val="true"/>
        </w:rPr>
        <w:footnoteReference w:id="600"/>
      </w:r>
      <w:r>
        <w:rPr>
          <w:rFonts w:ascii="IRNazanin" w:hAnsi="IRNazanin" w:eastAsia="IRNazanin"/>
          <w:color w:val="111111"/>
          <w:sz w:val="28"/>
          <w:sz w:val="28"/>
          <w:szCs w:val="28"/>
          <w:rtl w:val="true"/>
          <w:lang w:bidi="fa-IR"/>
        </w:rPr>
        <w:t>و أضرابهم</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الغريب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نسبة الخلاف إلى</w:t>
      </w:r>
    </w:p>
    <w:p>
      <w:pPr>
        <w:pStyle w:val="BookText"/>
        <w:rPr/>
      </w:pPr>
      <w:r>
        <w:rPr>
          <w:rFonts w:ascii="IRNazanin" w:hAnsi="IRNazanin" w:eastAsia="IRNazanin"/>
          <w:color w:val="111111"/>
          <w:sz w:val="28"/>
          <w:sz w:val="28"/>
          <w:szCs w:val="28"/>
          <w:rtl w:val="true"/>
          <w:lang w:bidi="fa-IR"/>
        </w:rPr>
        <w:t>المشهور</w:t>
      </w:r>
      <w:r>
        <w:rPr>
          <w:rStyle w:val="FootnoteAnchor"/>
          <w:rtl w:val="true"/>
        </w:rPr>
        <w:footnoteReference w:id="602"/>
      </w:r>
      <w:r>
        <w:rPr>
          <w:rFonts w:ascii="Amiri" w:hAnsi="Amiri" w:eastAsia="Amiri" w:cs="Amiri"/>
          <w:color w:val="111111"/>
          <w:sz w:val="28"/>
          <w:sz w:val="28"/>
          <w:szCs w:val="28"/>
          <w:rtl w:val="true"/>
          <w:lang w:bidi="ar-SA"/>
        </w:rPr>
        <w:t xml:space="preserve">،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الأكثر</w:t>
      </w:r>
      <w:r>
        <w:rPr>
          <w:rStyle w:val="FootnoteAnchor"/>
          <w:rtl w:val="true"/>
        </w:rPr>
        <w:footnoteReference w:id="603"/>
      </w:r>
      <w:r>
        <w:rPr>
          <w:rFonts w:ascii="Amiri" w:hAnsi="Amiri" w:eastAsia="Amiri" w:cs="Amiri"/>
          <w:color w:val="111111"/>
          <w:sz w:val="28"/>
          <w:sz w:val="28"/>
          <w:szCs w:val="28"/>
          <w:rtl w:val="true"/>
          <w:lang w:bidi="ar-SA"/>
        </w:rPr>
        <w:t>، فقالوا بالامتداد إلى الزوال، فلا فرق بينه و بين الغير المعيّن من الواجب، و هذه النسبة غير واضحة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المعوّل هي الروايات، و هي بين ما تدلّ على الامتداد إلى ما بعد الزوال بإطلاقه، كمعتبر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يفرض الرجل على نفسه صياماً، ثمّ ذكر الصيام قبل أن يطعم طعاماً أو يشرب شراباً، و لم يفطر، فهو بالخيار إن شاء صام، و إن شاء أفطر</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بين ما هو ظاهر في الاختصاص به، كمعتبر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إلى أهله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شي‌ء و إلّا صمت؟ فإن كان عندهم شي‌ء أتوه به و إلّا صام</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يستبعد كون صومه غير الصوم الندب، فيكون مختصّاً به</w:t>
      </w:r>
    </w:p>
    <w:p>
      <w:pPr>
        <w:pStyle w:val="BookText"/>
        <w:rPr/>
      </w:pPr>
      <w:r>
        <w:rPr>
          <w:rFonts w:ascii="Amiri" w:hAnsi="Amiri" w:eastAsia="Amiri" w:cs="Amiri"/>
          <w:color w:val="111111"/>
          <w:sz w:val="28"/>
          <w:sz w:val="28"/>
          <w:szCs w:val="28"/>
          <w:rtl w:val="true"/>
          <w:lang w:bidi="ar-SA"/>
        </w:rPr>
        <w:t>فلا تغفل، و من هذا القسم خبر أبي بصير، بل معتبره</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تهذيب الأحكام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كتاب الصوم، أبواب وجوب الصوم و نيّته،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بين ما يدلّ بإطلاقه على اختصاص السعة إلى الزوال، كخبر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يصبح و لا ينوي الصوم، فإذا تعالى النهار، حدث له رأي في الصوم،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نوى الصوم قبل أن تزول الشمس، حسب له يومه، و إن نواه بعد الزوال، حسب له من الوقت الذي نوى</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معتبر ابن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طلعت عليه الشمس، و هو جنب، ثمّ أراد الصيام بعد ما اغتسل، و مضى ما مضى من النهار،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 إن شاء، و هو بالخيار إلى نصف النهار</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الجمع بين المطلقين المتباينين، بالصريح في التوسعة إلى</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بعد الزوال، جمع مقبول عند القوم، فالنسبة تنقلب قهراً، و لو نوقش فيه فلازمه السقوط إن لم يكن مرجّح، و الشهرة ترجّح الطائفة الأُولى، و لو وصلت النوبة إلى التخيير بينهما، فالقول قول المشهور أيضاً، كما هو الظاهر</w:t>
      </w:r>
      <w:r>
        <w:rPr>
          <w:rFonts w:eastAsia="Amiri" w:cs="Amiri" w:ascii="Amiri" w:hAnsi="Amiri"/>
          <w:color w:val="111111"/>
          <w:sz w:val="28"/>
          <w:szCs w:val="28"/>
          <w:rtl w:val="true"/>
          <w:lang w:bidi="ar-SA"/>
        </w:rPr>
        <w:t>.</w:t>
      </w:r>
      <w:bookmarkStart w:id="144" w:name="pg12366_123065"/>
    </w:p>
    <w:p>
      <w:pPr>
        <w:pStyle w:val="Heading4"/>
        <w:numPr>
          <w:ilvl w:val="3"/>
          <w:numId w:val="1"/>
        </w:numPr>
        <w:rPr/>
      </w:pPr>
      <w:bookmarkStart w:id="145" w:name="__RefHeading___Toc8896019_417432637"/>
      <w:bookmarkStart w:id="146" w:name="_Toc53"/>
      <w:bookmarkEnd w:id="144"/>
      <w:bookmarkEnd w:id="145"/>
      <w:r>
        <w:rPr>
          <w:rtl w:val="true"/>
        </w:rPr>
        <w:t>[</w:t>
      </w:r>
      <w:r>
        <w:rPr>
          <w:rtl w:val="true"/>
        </w:rPr>
        <w:t xml:space="preserve">مسألة </w:t>
      </w:r>
      <w:r>
        <w:rPr/>
        <w:t>5</w:t>
      </w:r>
      <w:r>
        <w:rPr>
          <w:rtl w:val="true"/>
        </w:rPr>
        <w:t xml:space="preserve">: </w:t>
      </w:r>
      <w:r>
        <w:rPr>
          <w:rtl w:val="true"/>
        </w:rPr>
        <w:t>يوم الشكّ في أنّه من شعبان أو رمضان</w:t>
      </w:r>
      <w:r>
        <w:rPr>
          <w:rtl w:val="true"/>
        </w:rPr>
        <w:t>]</w:t>
      </w:r>
      <w:bookmarkEnd w:id="14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الشكّ في أنّه من شعبان أو رمضان، يُبنى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من شعبان، فلا يجب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أثر له، بل يكفي نفس الشكّ في أنّ الغد من شهر رمضان لاستحباب صومه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له الأثر الخاصّ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يجب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 بعضهم القول بالحرمة</w:t>
      </w:r>
      <w:r>
        <w:rPr>
          <w:rStyle w:val="FootnoteAnchor"/>
          <w:rtl w:val="true"/>
        </w:rPr>
        <w:footnoteReference w:id="609"/>
      </w:r>
      <w:r>
        <w:rPr>
          <w:rFonts w:ascii="Amiri" w:hAnsi="Amiri" w:eastAsia="Amiri" w:cs="Amiri"/>
          <w:color w:val="111111"/>
          <w:sz w:val="28"/>
          <w:sz w:val="28"/>
          <w:szCs w:val="28"/>
          <w:rtl w:val="true"/>
          <w:lang w:bidi="ar-SA"/>
        </w:rPr>
        <w:t>، و عن المفيد كراهته</w:t>
      </w:r>
      <w:r>
        <w:rPr>
          <w:rStyle w:val="FootnoteAnchor"/>
          <w:rtl w:val="true"/>
        </w:rPr>
        <w:footnoteReference w:id="610"/>
      </w:r>
      <w:r>
        <w:rPr>
          <w:rFonts w:ascii="Amiri" w:hAnsi="Amiri" w:eastAsia="Amiri" w:cs="Amiri"/>
          <w:color w:val="111111"/>
          <w:sz w:val="28"/>
          <w:sz w:val="28"/>
          <w:szCs w:val="28"/>
          <w:rtl w:val="true"/>
          <w:lang w:bidi="ar-SA"/>
        </w:rPr>
        <w:t>، و هي محمولة على صورة خاصّة، كما هو ظاهر عبارته المحكيّة عنه، و على كلّ تقدير، المراد منها، هي الكراهة في باب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طائفة من الأخبار</w:t>
      </w:r>
      <w:r>
        <w:rPr>
          <w:rStyle w:val="FootnoteAnchor"/>
          <w:rtl w:val="true"/>
        </w:rPr>
        <w:footnoteReference w:id="611"/>
      </w:r>
      <w:r>
        <w:rPr>
          <w:rFonts w:ascii="Amiri" w:hAnsi="Amiri" w:eastAsia="Amiri" w:cs="Amiri"/>
          <w:color w:val="111111"/>
          <w:sz w:val="28"/>
          <w:sz w:val="28"/>
          <w:szCs w:val="28"/>
          <w:rtl w:val="true"/>
          <w:lang w:bidi="ar-SA"/>
        </w:rPr>
        <w:t>ممنوعيّة صوم يوم الشكّ، و قضيّة إطلاقه عدم الفرق بين أن يصوم بنيّة شعبان أو رمضان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هناك نصوص أُخر، صريحة في جواز الصوم على أنّه</w:t>
      </w:r>
    </w:p>
    <w:p>
      <w:pPr>
        <w:pStyle w:val="BookText"/>
        <w:rPr/>
      </w:pPr>
      <w:r>
        <w:rPr>
          <w:rFonts w:ascii="Amiri" w:hAnsi="Amiri" w:eastAsia="Amiri" w:cs="Amiri"/>
          <w:color w:val="111111"/>
          <w:sz w:val="28"/>
          <w:sz w:val="28"/>
          <w:szCs w:val="28"/>
          <w:rtl w:val="true"/>
          <w:lang w:bidi="ar-SA"/>
        </w:rPr>
        <w:t>و لو صامه بنيّة أنّه من شعبان ندباً، أجزأه عن رمضان لو بان أنّه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صامه بنيّة أنّه منه قضاءً أو نذراً أجزأه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صادفه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شعبان</w:t>
      </w:r>
      <w:r>
        <w:rPr>
          <w:rStyle w:val="FootnoteAnchor"/>
          <w:rtl w:val="true"/>
        </w:rPr>
        <w:footnoteReference w:id="612"/>
      </w:r>
      <w:r>
        <w:rPr>
          <w:rFonts w:ascii="Amiri" w:hAnsi="Amiri" w:eastAsia="Amiri" w:cs="Amiri"/>
          <w:color w:val="111111"/>
          <w:sz w:val="28"/>
          <w:sz w:val="28"/>
          <w:szCs w:val="28"/>
          <w:rtl w:val="true"/>
          <w:lang w:bidi="ar-SA"/>
        </w:rPr>
        <w:t>، فتحمل تلك الأخبار على الصوم بعنوان رمضان، أو على كراهته و أقليّة الثواب دون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الخبر الناهي عن الصوم في اليوم الذي يشكّ فيه</w:t>
      </w:r>
      <w:r>
        <w:rPr>
          <w:rStyle w:val="FootnoteAnchor"/>
          <w:rtl w:val="true"/>
        </w:rPr>
        <w:footnoteReference w:id="613"/>
      </w:r>
      <w:r>
        <w:rPr>
          <w:rFonts w:ascii="Amiri" w:hAnsi="Amiri" w:eastAsia="Amiri" w:cs="Amiri"/>
          <w:color w:val="111111"/>
          <w:sz w:val="28"/>
          <w:sz w:val="28"/>
          <w:szCs w:val="28"/>
          <w:rtl w:val="true"/>
          <w:lang w:bidi="ar-SA"/>
        </w:rPr>
        <w:t>، فربّما يكون ناظراً إلى إجراء الاستصحاب الحاكم بعدم الشكّ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ندباً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بالضرورة، و هذا هو المصرّح به في النصوص</w:t>
      </w:r>
      <w:r>
        <w:rPr>
          <w:rStyle w:val="FootnoteAnchor"/>
          <w:rtl w:val="true"/>
        </w:rPr>
        <w:footnoteReference w:id="614"/>
      </w:r>
      <w:r>
        <w:rPr>
          <w:rFonts w:ascii="Amiri" w:hAnsi="Amiri" w:eastAsia="Amiri" w:cs="Amiri"/>
          <w:color w:val="111111"/>
          <w:sz w:val="28"/>
          <w:sz w:val="28"/>
          <w:szCs w:val="28"/>
          <w:rtl w:val="true"/>
          <w:lang w:bidi="ar-SA"/>
        </w:rPr>
        <w:t>المعتضدة بالإجماعات القطعيّة</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مدّ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أجزأه لو صادفه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 القواعد؛ ضرورة أنّ صوم رمضان لا لون له، فقد وقع الفرض</w:t>
      </w:r>
    </w:p>
    <w:p>
      <w:pPr>
        <w:pStyle w:val="BookText"/>
        <w:rPr/>
      </w:pPr>
      <w:r>
        <w:rPr>
          <w:rFonts w:ascii="Amiri" w:hAnsi="Amiri" w:eastAsia="Amiri" w:cs="Amiri"/>
          <w:color w:val="111111"/>
          <w:sz w:val="28"/>
          <w:sz w:val="28"/>
          <w:szCs w:val="28"/>
          <w:rtl w:val="true"/>
          <w:lang w:bidi="ar-SA"/>
        </w:rPr>
        <w:t>في محلّه كما عرفت</w:t>
      </w:r>
      <w:r>
        <w:rPr>
          <w:rStyle w:val="FootnoteAnchor"/>
          <w:rtl w:val="true"/>
        </w:rPr>
        <w:footnoteReference w:id="616"/>
      </w:r>
      <w:r>
        <w:rPr>
          <w:rFonts w:ascii="Amiri" w:hAnsi="Amiri" w:eastAsia="Amiri" w:cs="Amiri"/>
          <w:color w:val="111111"/>
          <w:sz w:val="28"/>
          <w:sz w:val="28"/>
          <w:szCs w:val="28"/>
          <w:rtl w:val="true"/>
          <w:lang w:bidi="ar-SA"/>
        </w:rPr>
        <w:t>، و هو المصرّح به في خبر الزهريّ</w:t>
      </w:r>
      <w:r>
        <w:rPr>
          <w:rStyle w:val="FootnoteAnchor"/>
          <w:rtl w:val="true"/>
        </w:rPr>
        <w:footnoteReference w:id="617"/>
      </w:r>
      <w:r>
        <w:rPr>
          <w:rFonts w:ascii="Amiri" w:hAnsi="Amiri" w:eastAsia="Amiri" w:cs="Amiri"/>
          <w:color w:val="111111"/>
          <w:sz w:val="28"/>
          <w:sz w:val="28"/>
          <w:szCs w:val="28"/>
          <w:rtl w:val="true"/>
          <w:lang w:bidi="ar-SA"/>
        </w:rPr>
        <w:t>، و أمّا عدم وقوع ما نواه عمّا نواه، فلما مرّ من المفروغيّة عندهم، فلا نحتاج هنا إلى الدليل بعد ما عرفت</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أنّ مقتضى عدم صلاحيّة رمضان للصوم الآخر، هو وقوع كلّ صوم فيه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صورة العمد، قد مرّ الإشكال، و ما هو الحقّ أيضاً، قد مرّ عليك</w:t>
      </w:r>
      <w:r>
        <w:rPr>
          <w:rStyle w:val="FootnoteAnchor"/>
          <w:rtl w:val="true"/>
        </w:rPr>
        <w:footnoteReference w:id="619"/>
      </w:r>
      <w:r>
        <w:rPr>
          <w:rFonts w:ascii="Amiri" w:hAnsi="Amiri" w:eastAsia="Amiri" w:cs="Amiri"/>
          <w:color w:val="111111"/>
          <w:sz w:val="28"/>
          <w:sz w:val="28"/>
          <w:szCs w:val="28"/>
          <w:rtl w:val="true"/>
          <w:lang w:bidi="ar-SA"/>
        </w:rPr>
        <w:t>فلا نعيده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المناقشة في تعليل خبر الزهريّ</w:t>
      </w:r>
      <w:r>
        <w:rPr>
          <w:rStyle w:val="FootnoteAnchor"/>
          <w:rtl w:val="true"/>
        </w:rPr>
        <w:footnoteReference w:id="620"/>
      </w:r>
      <w:r>
        <w:rPr>
          <w:rFonts w:ascii="Amiri" w:hAnsi="Amiri" w:eastAsia="Amiri" w:cs="Amiri"/>
          <w:color w:val="111111"/>
          <w:sz w:val="28"/>
          <w:sz w:val="28"/>
          <w:szCs w:val="28"/>
          <w:rtl w:val="true"/>
          <w:lang w:bidi="ar-SA"/>
        </w:rPr>
        <w:t>، بأنّه يشمل صورة العلم، و المفروض فيه نفي ذلك</w:t>
      </w:r>
      <w:r>
        <w:rPr>
          <w:rStyle w:val="FootnoteAnchor"/>
          <w:rtl w:val="true"/>
        </w:rPr>
        <w:footnoteReference w:id="621"/>
      </w:r>
      <w:r>
        <w:rPr>
          <w:rFonts w:ascii="Amiri" w:hAnsi="Amiri" w:eastAsia="Amiri" w:cs="Amiri"/>
          <w:color w:val="111111"/>
          <w:sz w:val="28"/>
          <w:sz w:val="28"/>
          <w:szCs w:val="28"/>
          <w:rtl w:val="true"/>
          <w:lang w:bidi="ar-SA"/>
        </w:rPr>
        <w:t>، فهي غريبة؛ لأنّه لا يضرّ بإطلاق التعليل في غير الفرض مع أنّ في الفرض لا يحكم الخبر بعدم الصحّة، لأجل العمد، بل هو مجرّد فرض؛ لأنّه الغالب و عليه العادة فلا تخلَط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صامه على أنّه إن كان من شهر رمضان، كان واجباً و إلّا كان مندوباً، لا يبعد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على وجه الترديد في النيّة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هي قطعيّة، لعدم معقوليّة الترديد في تعلّق الإرادة بصوم الغد القربي، و التقييد المذكور لا يوجب الترديد في المنوي، فإذا كان صوم الغد مورد القصد قطعاً، و هو متقرّب، يقع عن رمضان لما مرّ، كما إذا تبيّن في الفرض أنّه من شعبان، فإنّه لا معنى للشكّ في الصحّة؛ لأنّ صوم شعبان ليس إلّا ما 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نظير الاقتداء بالخارج، و بالإمام الحاضر إن كان زيداً، و إن لم يكن فلا يكون مقتدياً؛ فإنّه لا يعقل إلّا أن يقع اقتداؤه بالموجود العادل الخارجي، فصحّت جماعته، و له نظائر كثيرة، و تفصيله في محلّه</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عن</w:t>
      </w:r>
      <w:r>
        <w:rPr>
          <w:rStyle w:val="FootnoteAnchor"/>
          <w:rtl w:val="true"/>
        </w:rPr>
        <w:footnoteReference w:id="6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العمانيّ، و ابن حمزة، و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الشهيد في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المتمايل إليه للأردبيليّ، و الكاشانيّ من الصحّة</w:t>
      </w:r>
      <w:r>
        <w:rPr>
          <w:rStyle w:val="FootnoteAnchor"/>
          <w:rtl w:val="true"/>
        </w:rPr>
        <w:footnoteReference w:id="624"/>
      </w:r>
      <w:r>
        <w:rPr>
          <w:rFonts w:ascii="Amiri" w:hAnsi="Amiri" w:eastAsia="Amiri" w:cs="Amiri"/>
          <w:color w:val="111111"/>
          <w:sz w:val="28"/>
          <w:sz w:val="28"/>
          <w:szCs w:val="28"/>
          <w:rtl w:val="true"/>
          <w:lang w:bidi="ar-SA"/>
        </w:rPr>
        <w:t>، في غاية المتانة،</w:t>
      </w:r>
    </w:p>
    <w:p>
      <w:pPr>
        <w:pStyle w:val="BookText"/>
        <w:rPr/>
      </w:pPr>
      <w:r>
        <w:rPr>
          <w:rFonts w:ascii="Amiri" w:hAnsi="Amiri" w:eastAsia="Amiri" w:cs="Amiri"/>
          <w:color w:val="111111"/>
          <w:sz w:val="28"/>
          <w:sz w:val="28"/>
          <w:szCs w:val="28"/>
          <w:rtl w:val="true"/>
          <w:lang w:bidi="ar-SA"/>
        </w:rPr>
        <w:t>إلّا أنّ الوجوه العقليّة المتشبّث بها غير نقيّة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مناقشة الشيخ الأعظم الأنصاريّ في الصحّة</w:t>
      </w:r>
      <w:r>
        <w:rPr>
          <w:rStyle w:val="FootnoteAnchor"/>
          <w:rtl w:val="true"/>
        </w:rPr>
        <w:footnoteReference w:id="625"/>
      </w:r>
      <w:r>
        <w:rPr>
          <w:rFonts w:ascii="Amiri" w:hAnsi="Amiri" w:eastAsia="Amiri" w:cs="Amiri"/>
          <w:color w:val="111111"/>
          <w:sz w:val="28"/>
          <w:sz w:val="28"/>
          <w:szCs w:val="28"/>
          <w:rtl w:val="true"/>
          <w:lang w:bidi="ar-SA"/>
        </w:rPr>
        <w:t>، و غير خفيّ أنّه لا تحتاج المسألة إلى الرواية بعد عدم وجود نصّ على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توهّم وجود الإجماع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 xml:space="preserve">، فيضعّفه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مختلفه</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 و ذهاب أمثال الشيخ إلى خلافه</w:t>
      </w:r>
      <w:r>
        <w:rPr>
          <w:rStyle w:val="FootnoteAnchor"/>
          <w:rtl w:val="true"/>
        </w:rPr>
        <w:footnoteReference w:id="628"/>
      </w:r>
      <w:r>
        <w:rPr>
          <w:rFonts w:ascii="Amiri" w:hAnsi="Amiri" w:eastAsia="Amiri" w:cs="Amiri"/>
          <w:color w:val="111111"/>
          <w:sz w:val="28"/>
          <w:sz w:val="28"/>
          <w:szCs w:val="28"/>
          <w:rtl w:val="true"/>
          <w:lang w:bidi="ar-SA"/>
        </w:rPr>
        <w:t>، مع تعليله بما لا يرجع إلى محصّل</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 الماتن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على وجه الترديد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فهو غير صحيح؛ لأنّه من الترديد في الخصوصيّة، غير اللازم العلم بها في صحّته، شعبان كان أو رمضان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لو قصد الكفّارة مثلًا إن كان شعبان، و قصد رمضان إن كان رمضان، فإنّه أولى بالصحّة ممّا إذا جزم على أنّه شعبان و ندب فتبيّن أنّه رمضان واجب،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صامه بنيّة أنّه من رمضان، لم يقع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له و لا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مسائل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صوم يوم الشكّ بعنوان رمضان هل يجوز أن يصوم بعنوان رمضان في يوم الشكّ أم لا يجوز تكليفاً؟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من التشريع، و من أنّه يقصد رجاء الواقع و الإصابة، كسائر موارد الاحتياط، و احتمال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طائفة من الأخبار، ظاهرة في الممنوعيّة التكليفيّة، كخبر الزهريّ السابق،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 بصيامه، و نهينا عنه، أمرنا أن يصومه الإنسان على أنّه من شعبان، و نهينا عن أن يصومه على أنّه من شهر رمضان، و هو لم يرَ الهلال</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يدلّ على الحرمة في صورة الرجاء و احتمال إدراك الواقع، و ظاهر النهي هي الحرمة الوضعيّة و بطلانه، و عدم صحّة الاجتزاء به عن رمضان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كمعتبره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نهينا عنه أن ينفرد الرجل بصيامه، في اليوم</w:t>
      </w:r>
    </w:p>
    <w:p>
      <w:pPr>
        <w:pStyle w:val="BookText"/>
        <w:rPr/>
      </w:pPr>
      <w:r>
        <w:rPr>
          <w:rFonts w:ascii="Amiri" w:hAnsi="Amiri" w:eastAsia="Amiri" w:cs="Amiri"/>
          <w:color w:val="111111"/>
          <w:sz w:val="28"/>
          <w:sz w:val="28"/>
          <w:szCs w:val="28"/>
          <w:rtl w:val="true"/>
          <w:lang w:bidi="ar-SA"/>
        </w:rPr>
        <w:t xml:space="preserve">الّذي يشكّ فيه الناس </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منه ممنوعيّة صوم يوم الشكّ مطلقاً؛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خلاف الأخبار المرخّصة</w:t>
      </w:r>
      <w:r>
        <w:rPr>
          <w:rStyle w:val="FootnoteAnchor"/>
          <w:rtl w:val="true"/>
        </w:rPr>
        <w:footnoteReference w:id="632"/>
      </w:r>
      <w:r>
        <w:rPr>
          <w:rFonts w:ascii="Amiri" w:hAnsi="Amiri" w:eastAsia="Amiri" w:cs="Amiri"/>
          <w:color w:val="111111"/>
          <w:sz w:val="28"/>
          <w:sz w:val="28"/>
          <w:szCs w:val="28"/>
          <w:rtl w:val="true"/>
          <w:lang w:bidi="ar-SA"/>
        </w:rPr>
        <w:t>، هذا مع أنّه ربّما يكون النهي متعلّقاً بعنوان خارج عن الصوم، و هو التفرّد اللاحق به، فلا تغفل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مرسلة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أفطر يوماً من شهر رمضان، أحبّ إليّ من أن أصوم يوماً من شعبان، أزيده في شهر رمضان</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ظاهرة فيما نحن فيه، إلّا أنّه مرسل، مع أنّ ظاهره غير بعيد أن يكون هو فرض التجزّم في النيّة، دون الإتيان رجاء، فالحرمة التكليفيّة الذاتيّة إذا كانت ممنوعة، يبقى الكلام في حرمته التشريعيّة لأجل عدم وجود الأمر، و هو خلاف الضرورة؛ فإنّه بلا شبهة إذا كان الغد رمضان، يكون مورد الأمرُ واقعاً، و إلّا يلزم اختصاص الحكم بالعالم بالموضوع، و هو خلاف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الإتيان بالصوم جزماً أو رجاء، فهل يقع و يجتزى به عن رمضان؟</w:t>
      </w:r>
    </w:p>
    <w:p>
      <w:pPr>
        <w:pStyle w:val="BookText"/>
        <w:rPr/>
      </w:pPr>
      <w:r>
        <w:rPr>
          <w:rFonts w:ascii="Amiri" w:hAnsi="Amiri" w:eastAsia="Amiri" w:cs="Amiri"/>
          <w:color w:val="111111"/>
          <w:sz w:val="28"/>
          <w:sz w:val="28"/>
          <w:szCs w:val="28"/>
          <w:rtl w:val="true"/>
          <w:lang w:bidi="ar-SA"/>
        </w:rPr>
        <w:t>قضيّة القاعدة نعم، إلّا في صورة التجزّم؛ لأنّه من انضمام التشريع المحرّم إلى العمل و النيّة و القصد، فلو كان هو غير موجب لتحريم العبادة و بطلانها، و لكن يساعد الاعتبار ورود الأخبار الحاكمة بالقضاء، لأجل تلك الجهة احتمالًا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الرجل يصوم اليوم الذي يشكّ فيه من رمضان،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قضاؤه و إن كان كذلك</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 xml:space="preserve">و مقتضى رجوع قول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لزوم القضاء عليه، هو البطلان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رجوعه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 ابن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يوم الشكّ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صامه قضاه، و إن كان كذلك</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صامه على أنّه من شهر رمضان فلو صام على هذا على أنّه رمضان، يصير باطلًا بالتعبد، و لو كان صومه من الصوم المأمور به، إلّا أنّه</w:t>
      </w:r>
    </w:p>
    <w:p>
      <w:pPr>
        <w:pStyle w:val="BookText"/>
        <w:rPr/>
      </w:pPr>
      <w:r>
        <w:rPr>
          <w:rFonts w:ascii="Amiri" w:hAnsi="Amiri" w:eastAsia="Amiri" w:cs="Amiri"/>
          <w:color w:val="111111"/>
          <w:sz w:val="28"/>
          <w:sz w:val="28"/>
          <w:szCs w:val="28"/>
          <w:rtl w:val="true"/>
          <w:lang w:bidi="ar-SA"/>
        </w:rPr>
        <w:t>لأجل الجهات اللّاحقة يكون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رجوع الجارّ إلى الفعل القريب، فيكون الخبر الأوّل من أخبار تعارضها الأخبار الكثيرة الظاهرة، بل و الصريحة في صحّة صوم يوم الشكّ في الجملة</w:t>
      </w:r>
      <w:r>
        <w:rPr>
          <w:rStyle w:val="FootnoteAnchor"/>
          <w:rtl w:val="true"/>
        </w:rPr>
        <w:footnoteReference w:id="636"/>
      </w:r>
      <w:r>
        <w:rPr>
          <w:rFonts w:ascii="Amiri" w:hAnsi="Amiri" w:eastAsia="Amiri" w:cs="Amiri"/>
          <w:color w:val="111111"/>
          <w:sz w:val="28"/>
          <w:sz w:val="28"/>
          <w:szCs w:val="28"/>
          <w:rtl w:val="true"/>
          <w:lang w:bidi="ar-SA"/>
        </w:rPr>
        <w:t>، فيحملان على استحباب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الثاني، من كلام الراوي، فلا يكفي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ظهور الصدر في قصد رمضان،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كذلك</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غير جيّد، بل هو الأنسب للاستحباب، و كأنّه لدفع توهّم ذلك، و أنّه كيف يجمع بين الأمرين، صحّة صومه رمضاناً و استحباب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حمل الأخبار على من يصوم عن رمضان مع التفاته و توجّهه إلى الشكّ فيه، حمل نادر جدّاً، و الالتزام ببطلان الصوم في صورة الجهل بالحكم غير مصرّح به في كلامهم هنا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دليل بطلان الصوم في يوم الشكّ، إذا أتى به عن رمضان، منحصراً في معتبر ابن سالم، و قضيّة إطلاقه بطلان جميع صور المسألة، و إخراج كلّها إلّا صورة واحدة، أيضاً بعيد، فالبطلان مشكل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ذهب إليه العمانيّ، و الإسكافيّ</w:t>
      </w:r>
      <w:r>
        <w:rPr>
          <w:rStyle w:val="FootnoteAnchor"/>
          <w:rtl w:val="true"/>
        </w:rPr>
        <w:footnoteReference w:id="638"/>
      </w:r>
      <w:r>
        <w:rPr>
          <w:rFonts w:ascii="Amiri" w:hAnsi="Amiri" w:eastAsia="Amiri" w:cs="Amiri"/>
          <w:color w:val="111111"/>
          <w:sz w:val="28"/>
          <w:sz w:val="28"/>
          <w:szCs w:val="28"/>
          <w:rtl w:val="true"/>
          <w:lang w:bidi="ar-SA"/>
        </w:rPr>
        <w:t>، بل و الشيخ على المحكي عنه من الإجزاء</w:t>
      </w:r>
      <w:r>
        <w:rPr>
          <w:rStyle w:val="FootnoteAnchor"/>
          <w:rtl w:val="true"/>
        </w:rPr>
        <w:footnoteReference w:id="639"/>
      </w:r>
      <w:r>
        <w:rPr>
          <w:rFonts w:ascii="Amiri" w:hAnsi="Amiri" w:eastAsia="Amiri" w:cs="Amiri"/>
          <w:color w:val="111111"/>
          <w:sz w:val="28"/>
          <w:sz w:val="28"/>
          <w:szCs w:val="28"/>
          <w:rtl w:val="true"/>
          <w:lang w:bidi="ar-SA"/>
        </w:rPr>
        <w:t>لو كان مفروضهم هذه الصورة، قريب إلى الصناعة، إلّا أنّ الظاهر أن مصبّ فرضهم غيرها، فراجع و لا تغترّ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لا يخفى أنّه يؤيّد رجوع الجارّ إلى الفعل القريب، معتبر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يصوم اليوم الّذي يشكّ فيه من شهر رمضان، فيكون كذلك؟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شي‌ء وفّق له</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المعارضة</w:t>
      </w:r>
      <w:r>
        <w:rPr>
          <w:rStyle w:val="FootnoteAnchor"/>
          <w:rtl w:val="true"/>
        </w:rPr>
        <w:footnoteReference w:id="641"/>
      </w:r>
      <w:r>
        <w:rPr>
          <w:rFonts w:ascii="Amiri" w:hAnsi="Amiri" w:eastAsia="Amiri" w:cs="Amiri"/>
          <w:color w:val="111111"/>
          <w:sz w:val="28"/>
          <w:sz w:val="28"/>
          <w:szCs w:val="28"/>
          <w:rtl w:val="true"/>
          <w:lang w:bidi="ar-SA"/>
        </w:rPr>
        <w:t>غير سديد، بل من الحكم يتبيّن أنّ مرجع الجارّ و المجرور هو الفعل الأقرب، كما يساعده الأدب، و غير ذلك ممّا هو يوجب أن يكون الأنسب أصوب، فمقتضى القاعدة هي الصحّة هنا و لو قلنا بالفساد في غير المقام؛ و ذلك لأنّ الفعل المتشرّع به أو الملازم للمحرّم و التشريع، ربّما لا يصلح للتقرّب، إلّا أنّ الصوم ليس فعلًا، فربّما ينوي في الليل فينام إلى الليل، فلا فعل منه يتشرّع به أو ينتزع منه و ينطبق عليه المحرّم،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أتى به برجاء شهر رمضان و الأمر الإلهي، فلا يبطل؛ لخروج هذه الصورة عن الأخبار الناهية السابقة</w:t>
      </w:r>
      <w:r>
        <w:rPr>
          <w:rStyle w:val="FootnoteAnchor"/>
          <w:rtl w:val="true"/>
        </w:rPr>
        <w:footnoteReference w:id="642"/>
      </w:r>
      <w:r>
        <w:rPr>
          <w:rFonts w:ascii="Amiri" w:hAnsi="Amiri" w:eastAsia="Amiri" w:cs="Amiri"/>
          <w:color w:val="111111"/>
          <w:sz w:val="28"/>
          <w:sz w:val="28"/>
          <w:szCs w:val="28"/>
          <w:rtl w:val="true"/>
          <w:lang w:bidi="ar-SA"/>
        </w:rPr>
        <w:t>، و حيث أنّ فيها معتبر الزهريّ، و يكون نهيه إرشاداً إلى الوضع ظاهراً، فيمكن الجمع بين الأخبار بحمل ما يدلّ على الصحّة على غير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النواهي ظاهرة في التكليفيّة المقتضية للبطلان</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ممنوع هنا لما أُشير إليه، و إن كانت صحيحة في العبادات في غير المقام، و التفصيل في محلّه</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وقوع صوم يوم الشكّ عن شعبان بناء على البطلان، بمعنى عدم وقوعه عن رمضان، ففي وقوعه عن شعبان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النهي المتعلّق به، فيورث بطلانه، لا البطلان الحيثي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أنّ ظاهر النهي تعلّقه بالقيد، لا المقيّد على إطلاقه، كما هو كذلك في نوع المحاورات، فيستفاد مبغوضيّة الطبيعة عرضاً لا ذاتاً، و مجازاً لا حقيقة، و كون المفروض في الأخبار، الأمر بالصوم بعنوان شعبان، لا يورث حصر الصحّة به، و إن كان يوهمه قويّاً، كما لا يخفى</w:t>
      </w:r>
      <w:r>
        <w:rPr>
          <w:rFonts w:eastAsia="Amiri" w:cs="Amiri" w:ascii="Amiri" w:hAnsi="Amiri"/>
          <w:color w:val="111111"/>
          <w:sz w:val="28"/>
          <w:szCs w:val="28"/>
          <w:rtl w:val="true"/>
          <w:lang w:bidi="ar-SA"/>
        </w:rPr>
        <w:t>.</w:t>
      </w:r>
      <w:bookmarkStart w:id="147" w:name="pg12366_123076"/>
    </w:p>
    <w:p>
      <w:pPr>
        <w:pStyle w:val="Heading4"/>
        <w:numPr>
          <w:ilvl w:val="3"/>
          <w:numId w:val="1"/>
        </w:numPr>
        <w:rPr/>
      </w:pPr>
      <w:bookmarkStart w:id="148" w:name="__RefHeading___Toc8896021_417432637"/>
      <w:bookmarkStart w:id="149" w:name="_Toc54"/>
      <w:bookmarkEnd w:id="147"/>
      <w:bookmarkEnd w:id="148"/>
      <w:r>
        <w:rPr>
          <w:rtl w:val="true"/>
        </w:rPr>
        <w:t>[</w:t>
      </w:r>
      <w:r>
        <w:rPr>
          <w:rtl w:val="true"/>
        </w:rPr>
        <w:t xml:space="preserve">مسألة </w:t>
      </w:r>
      <w:r>
        <w:rPr/>
        <w:t>6</w:t>
      </w:r>
      <w:r>
        <w:rPr>
          <w:rtl w:val="true"/>
        </w:rPr>
        <w:t xml:space="preserve">: </w:t>
      </w:r>
      <w:r>
        <w:rPr>
          <w:rtl w:val="true"/>
        </w:rPr>
        <w:t>لو كان في يوم الشكّ بانياً على الإفطار</w:t>
      </w:r>
      <w:r>
        <w:rPr>
          <w:rtl w:val="true"/>
        </w:rPr>
        <w:t>]</w:t>
      </w:r>
      <w:bookmarkEnd w:id="14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يوم الشكّ بانياً على الإفطار، ثمّ ظهر في أثناء النهار أنّه من شهر رمضان، فإن تناول المفطر أو ظهر الحال بعد الزوال و إن لم يتناوله، يجب عليه إمساك بقيّة النهار تأدّباً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النهار تأدبّاً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 خلاف بين الخاصّة</w:t>
      </w:r>
      <w:r>
        <w:rPr>
          <w:rStyle w:val="FootnoteAnchor"/>
          <w:rtl w:val="true"/>
        </w:rPr>
        <w:footnoteReference w:id="645"/>
      </w:r>
      <w:r>
        <w:rPr>
          <w:rFonts w:ascii="Amiri" w:hAnsi="Amiri" w:eastAsia="Amiri" w:cs="Amiri"/>
          <w:color w:val="111111"/>
          <w:sz w:val="28"/>
          <w:sz w:val="28"/>
          <w:szCs w:val="28"/>
          <w:rtl w:val="true"/>
          <w:lang w:bidi="ar-SA"/>
        </w:rPr>
        <w:t>، و هو المحكي عن جمع من المخالفين</w:t>
      </w:r>
      <w:r>
        <w:rPr>
          <w:rStyle w:val="FootnoteAnchor"/>
          <w:rtl w:val="true"/>
        </w:rPr>
        <w:footnoteReference w:id="646"/>
      </w:r>
      <w:r>
        <w:rPr>
          <w:rFonts w:ascii="Amiri" w:hAnsi="Amiri" w:eastAsia="Amiri" w:cs="Amiri"/>
          <w:color w:val="111111"/>
          <w:sz w:val="28"/>
          <w:sz w:val="28"/>
          <w:szCs w:val="28"/>
          <w:rtl w:val="true"/>
          <w:lang w:bidi="ar-SA"/>
        </w:rPr>
        <w:t xml:space="preserve">، و عن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في سند المسألة</w:t>
      </w:r>
      <w:r>
        <w:rPr>
          <w:rStyle w:val="FootnoteAnchor"/>
          <w:rtl w:val="true"/>
        </w:rPr>
        <w:footnoteReference w:id="647"/>
      </w:r>
      <w:r>
        <w:rPr>
          <w:rFonts w:ascii="Amiri" w:hAnsi="Amiri" w:eastAsia="Amiri" w:cs="Amiri"/>
          <w:color w:val="111111"/>
          <w:sz w:val="28"/>
          <w:sz w:val="28"/>
          <w:szCs w:val="28"/>
          <w:rtl w:val="true"/>
          <w:lang w:bidi="ar-SA"/>
        </w:rPr>
        <w:t>، لعدم تماميّة حديث الأعرابي</w:t>
      </w:r>
      <w:r>
        <w:rPr>
          <w:rStyle w:val="FootnoteAnchor"/>
          <w:rtl w:val="true"/>
        </w:rPr>
        <w:footnoteReference w:id="648"/>
      </w:r>
      <w:r>
        <w:rPr>
          <w:rFonts w:ascii="Amiri" w:hAnsi="Amiri" w:eastAsia="Amiri" w:cs="Amiri"/>
          <w:color w:val="111111"/>
          <w:sz w:val="28"/>
          <w:sz w:val="28"/>
          <w:szCs w:val="28"/>
          <w:rtl w:val="true"/>
          <w:lang w:bidi="ar-SA"/>
        </w:rPr>
        <w:t>، و لا قائم عليه شهرة 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يكفيه الإجماع المحكي عن جماعة</w:t>
      </w:r>
      <w:r>
        <w:rPr>
          <w:rStyle w:val="FootnoteAnchor"/>
          <w:rtl w:val="true"/>
        </w:rPr>
        <w:footnoteReference w:id="649"/>
      </w:r>
      <w:r>
        <w:rPr>
          <w:rFonts w:ascii="Amiri" w:hAnsi="Amiri" w:eastAsia="Amiri" w:cs="Amiri"/>
          <w:color w:val="111111"/>
          <w:sz w:val="28"/>
          <w:sz w:val="28"/>
          <w:szCs w:val="28"/>
          <w:rtl w:val="true"/>
          <w:lang w:bidi="ar-SA"/>
        </w:rPr>
        <w:t>، و لو لم يكفه حديث إطلاق حرمة المفطرات بالضرورة، و لو كان موجباً للكفّارة ارتكابها بناءً على القول به، كما سيمرّ عليك</w:t>
      </w:r>
      <w:r>
        <w:rPr>
          <w:rStyle w:val="FootnoteAnchor"/>
          <w:rtl w:val="true"/>
        </w:rPr>
        <w:footnoteReference w:id="65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الالتزام بالكفّارة هو وجوب الإمساك، و هو ظاهر الأمر بوجوب الصيام إلى الليل، فإنّ المتخلّف عن ترك الواجب في</w:t>
      </w:r>
    </w:p>
    <w:p>
      <w:pPr>
        <w:pStyle w:val="BookText"/>
        <w:rPr/>
      </w:pPr>
      <w:r>
        <w:rPr>
          <w:rFonts w:ascii="Amiri" w:hAnsi="Amiri" w:eastAsia="Amiri" w:cs="Amiri"/>
          <w:color w:val="111111"/>
          <w:sz w:val="28"/>
          <w:sz w:val="28"/>
          <w:szCs w:val="28"/>
          <w:rtl w:val="true"/>
          <w:lang w:bidi="ar-SA"/>
        </w:rPr>
        <w:t>برهة، لا يضرّ بالإطلاق،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دعوى أنّ تلك الإجماعات عليلة؛ لأنّ في خبر الزهريّ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أفطر لعلّة في أوّل النهار، ثمّ نوى بعد ذلك أُمر بالإمساك بقيّة يومه تأديباً</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و هو ربّما يكون مستندهم، بناءً على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يقصد الصوم لا أنّه أتى بالمفطّرات و تناولها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في المسافر القادم، الأمر بالكفّ عن الأكل، و النهي عن المواقعة</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كتاب الصوم، أبواب من يصحّ منه الصوم، 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فبالغاء الخصوصيّة لأجل فهم الأدب منها، يحكم مطلقاً، فالإجماعات أصبحت غير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الخبر الأوّل غير كافٍ دلالة، و ما في المسافر غير شاهد على الوجوب، لتجويز الأكل بعد الزوال في بعض الأخبار</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1020</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كتاب الصوم، أبواب من يصحّ منه الصوم،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تجويز</w:t>
      </w:r>
    </w:p>
    <w:p>
      <w:pPr>
        <w:pStyle w:val="BookText"/>
        <w:rPr/>
      </w:pPr>
      <w:r>
        <w:rPr>
          <w:rFonts w:ascii="Amiri" w:hAnsi="Amiri" w:eastAsia="Amiri" w:cs="Amiri"/>
          <w:color w:val="111111"/>
          <w:sz w:val="28"/>
          <w:sz w:val="28"/>
          <w:szCs w:val="28"/>
          <w:rtl w:val="true"/>
          <w:lang w:bidi="ar-SA"/>
        </w:rPr>
        <w:t xml:space="preserve">و قضاء ذلك اليوم، و إن كان قبل الزوال و لم يتناول مفطراً، يجدّد النيّة و أجزأ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المواقعة بعد الزوال فيها</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753</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كتاب الصوم، أبواب من يصح منه الصوم، 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فلو كان من الأدب فلا فرق بين قبل الزوال و بعده، فيشكل إثبات وجوب الإمساك جدّاً، نعم 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أجزأ عنه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مرّ من استكشاف توسعة وقت النيّة إلى الزوال حتّى للعامد</w:t>
      </w:r>
      <w:r>
        <w:rPr>
          <w:rStyle w:val="FootnoteAnchor"/>
          <w:rtl w:val="true"/>
        </w:rPr>
        <w:footnoteReference w:id="655"/>
      </w:r>
      <w:r>
        <w:rPr>
          <w:rFonts w:ascii="Amiri" w:hAnsi="Amiri" w:eastAsia="Amiri" w:cs="Amiri"/>
          <w:color w:val="111111"/>
          <w:sz w:val="28"/>
          <w:sz w:val="28"/>
          <w:szCs w:val="28"/>
          <w:rtl w:val="true"/>
          <w:lang w:bidi="ar-SA"/>
        </w:rPr>
        <w:t>، حسب الأصل الثانوي إلّا أنّه في خصوص العامد لا نقول به، و لو لم يكن مجزياً عنه تكون المسألة من موارد وجوب الإمساك تأدبّاً</w:t>
      </w:r>
      <w:r>
        <w:rPr>
          <w:rFonts w:eastAsia="Amiri" w:cs="Amiri" w:ascii="Amiri" w:hAnsi="Amiri"/>
          <w:color w:val="111111"/>
          <w:sz w:val="28"/>
          <w:szCs w:val="28"/>
          <w:rtl w:val="true"/>
          <w:lang w:bidi="ar-SA"/>
        </w:rPr>
        <w:t>.</w:t>
      </w:r>
      <w:bookmarkStart w:id="150" w:name="pg12366_123079"/>
    </w:p>
    <w:p>
      <w:pPr>
        <w:pStyle w:val="Heading4"/>
        <w:numPr>
          <w:ilvl w:val="3"/>
          <w:numId w:val="1"/>
        </w:numPr>
        <w:rPr/>
      </w:pPr>
      <w:bookmarkStart w:id="151" w:name="__RefHeading___Toc8896023_417432637"/>
      <w:bookmarkStart w:id="152" w:name="_Toc55"/>
      <w:bookmarkEnd w:id="150"/>
      <w:bookmarkEnd w:id="151"/>
      <w:r>
        <w:rPr>
          <w:rtl w:val="true"/>
        </w:rPr>
        <w:t>[</w:t>
      </w:r>
      <w:r>
        <w:rPr>
          <w:rtl w:val="true"/>
        </w:rPr>
        <w:t xml:space="preserve">مسألة </w:t>
      </w:r>
      <w:r>
        <w:rPr/>
        <w:t>7</w:t>
      </w:r>
      <w:r>
        <w:rPr>
          <w:rtl w:val="true"/>
        </w:rPr>
        <w:t xml:space="preserve">: </w:t>
      </w:r>
      <w:r>
        <w:rPr>
          <w:rtl w:val="true"/>
        </w:rPr>
        <w:t>لو صام يوم الشكّ بنيّة أنّه من شعبان، ثمّ تناول المفطر نسياناً</w:t>
      </w:r>
      <w:r>
        <w:rPr>
          <w:rtl w:val="true"/>
        </w:rPr>
        <w:t>]</w:t>
      </w:r>
      <w:bookmarkEnd w:id="15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صام يوم الشكّ بنيّة أنّه من شعبان، ثمّ تناول المفطر نسياناً، و تبيّن بعد ذلك أنّه من رمضان، أجزأ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أفسد صومه برياء و نحوه لم يجزه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أجزأ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بالأولويّة؛ لأنّه لو أفطر في شهر رمضان نسياناً، لا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صومه بحسب الواقع صوم رمضان حسب الفرض، فلا يكون بعد التبيّن، من رمضان حتّى يتوهّم الإشكال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يجزه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لعين ما مرّ، فإنّ صومه كان صوم شهر رمضان فأبطله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مبطليّة الرياء كلام محرّر منّا في محلّه</w:t>
      </w:r>
      <w:r>
        <w:rPr>
          <w:rStyle w:val="FootnoteAnchor"/>
          <w:rtl w:val="true"/>
        </w:rPr>
        <w:footnoteReference w:id="656"/>
      </w:r>
      <w:r>
        <w:rPr>
          <w:rFonts w:ascii="Amiri" w:hAnsi="Amiri" w:eastAsia="Amiri" w:cs="Amiri"/>
          <w:color w:val="111111"/>
          <w:sz w:val="28"/>
          <w:sz w:val="28"/>
          <w:szCs w:val="28"/>
          <w:rtl w:val="true"/>
          <w:lang w:bidi="ar-SA"/>
        </w:rPr>
        <w:t>، و على تقدير بطلان العبادة به ففي الصوم مشكل تحقّق الرياء، لما ليس فعلًا يصدر حتّى يكون ريائيّاً، فلو تقوّل بعض الأقاويل، فهو ليس من الرياء بالصوم فالإخبار الريائي عن الصوم، و الإعلان الريائي عنه، يشبه الإخبار و الإعلان بعد العمل، فتأمّل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رجع الرياء إلى الإخلال بأصل عباديّة الصوم، فتكون الحلقة الاولى من حلقات النيّات مخدوشة، يصير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لو تبيّن كونه منه قبل الزوال و جدّد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جدّد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أُشير آنفاً إلى أنّ صومه صوم رمضان فلا معنى لتجديد النيّة، بل هو يضرّ، فما في كلمات جمع منهم من تجديد النيّة بالنسبة إلى شهر رمضان</w:t>
      </w:r>
      <w:r>
        <w:rPr>
          <w:rStyle w:val="FootnoteAnchor"/>
          <w:rtl w:val="true"/>
        </w:rPr>
        <w:footnoteReference w:id="657"/>
      </w:r>
      <w:r>
        <w:rPr>
          <w:rFonts w:ascii="Amiri" w:hAnsi="Amiri" w:eastAsia="Amiri" w:cs="Amiri"/>
          <w:color w:val="111111"/>
          <w:sz w:val="28"/>
          <w:sz w:val="28"/>
          <w:szCs w:val="28"/>
          <w:rtl w:val="true"/>
          <w:lang w:bidi="ar-SA"/>
        </w:rPr>
        <w:t>، غير واضح سبيله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كان صومه حال الرياء غير صوم شهر رمضان، فأبطله بالرياء، فهو ليس بمتناول بالنسبة إلى المفطرات، فله تجديد نيّة صوم شهر رمضان بالضرورة، فإبطال الصوم بغيرها لا يضرّ بإمكان تصحيحه رمضاناً، كما إذا سافر قبل الزوال فعاد قبله، و لم يتناول شيئاً، فإنّه لم يحدث حدثاً، فله أن يصوم، و يصحّ عنه قطعاً</w:t>
      </w:r>
      <w:r>
        <w:rPr>
          <w:rFonts w:eastAsia="Amiri" w:cs="Amiri" w:ascii="Amiri" w:hAnsi="Amiri"/>
          <w:color w:val="111111"/>
          <w:sz w:val="28"/>
          <w:szCs w:val="28"/>
          <w:rtl w:val="true"/>
          <w:lang w:bidi="ar-SA"/>
        </w:rPr>
        <w:t>.</w:t>
      </w:r>
      <w:bookmarkStart w:id="153" w:name="pg12366_123081"/>
    </w:p>
    <w:p>
      <w:pPr>
        <w:pStyle w:val="Heading4"/>
        <w:numPr>
          <w:ilvl w:val="3"/>
          <w:numId w:val="1"/>
        </w:numPr>
        <w:rPr/>
      </w:pPr>
      <w:bookmarkStart w:id="154" w:name="__RefHeading___Toc8896025_417432637"/>
      <w:bookmarkStart w:id="155" w:name="_Toc56"/>
      <w:bookmarkEnd w:id="153"/>
      <w:bookmarkEnd w:id="154"/>
      <w:r>
        <w:rPr>
          <w:rtl w:val="true"/>
        </w:rPr>
        <w:t>[</w:t>
      </w:r>
      <w:r>
        <w:rPr>
          <w:rtl w:val="true"/>
        </w:rPr>
        <w:t xml:space="preserve">مسألة </w:t>
      </w:r>
      <w:r>
        <w:rPr/>
        <w:t>8</w:t>
      </w:r>
      <w:r>
        <w:rPr>
          <w:rtl w:val="true"/>
        </w:rPr>
        <w:t xml:space="preserve">: </w:t>
      </w:r>
      <w:r>
        <w:rPr>
          <w:rtl w:val="true"/>
        </w:rPr>
        <w:t>كما تجب النيّة في ابتداء الصوم، تجب الاستدامة عليها في أثنائه</w:t>
      </w:r>
      <w:r>
        <w:rPr>
          <w:rtl w:val="true"/>
        </w:rPr>
        <w:t>]</w:t>
      </w:r>
      <w:bookmarkEnd w:id="15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تجب النيّة في ابتداء الصوم، تجب الاستدامة عليها في أثنائه، فلو نوى القطع في الواجب المعيّن بمعنى قصد رفع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تلبّس به من الصوم، بطل على الأقوى، و إن 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نيّة الصوم قبل الزوال،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قصد رفع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الصوم هو قصد ترك المفطرات، و تكون ماهيته الإمساك القصدي عنها، فمجرّد التخلّف عن ذلك، يلزم ترك الصوم الواجب، فاعتبار الاستدامة، و وجوب البقاء عليه ليس أمراً وراء ذلك حتّى يحتاج إلى دليل آخر، فليس للشرع أن يقبل الصوم المقطوع، و يقبل نفس ترك المفطرات صوماً، و يعتبره إمساكاً لأجل الآثار الخاصّة كما مرّ، فلا معنى لاحتمال صحّة الصوم بعد الترك المذكور حتّى يقال 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الاستدامة موضوعيّة، كما أُشير إليه، و ليست حكميّة؛ لأنّ الارتكاز، على أن لا يرتكب المفطر إذا ابتلى به، و لا يعتبر أزيد منه؛ لأنّ من الناس من لا يبتلي ببعض المفطرات ما دام العمر، و لا يتمكّن من إبطال صومه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عاد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المفروغ عنه في كلماتهم</w:t>
      </w:r>
      <w:r>
        <w:rPr>
          <w:rStyle w:val="FootnoteAnchor"/>
          <w:rtl w:val="true"/>
        </w:rPr>
        <w:footnoteReference w:id="658"/>
      </w:r>
      <w:r>
        <w:rPr>
          <w:rFonts w:ascii="Amiri" w:hAnsi="Amiri" w:eastAsia="Amiri" w:cs="Amiri"/>
          <w:color w:val="111111"/>
          <w:sz w:val="28"/>
          <w:sz w:val="28"/>
          <w:szCs w:val="28"/>
          <w:rtl w:val="true"/>
          <w:lang w:bidi="ar-SA"/>
        </w:rPr>
        <w:t>، إلّا أنّ الإشكال في إطلاقه محلّا،</w:t>
      </w:r>
    </w:p>
    <w:p>
      <w:pPr>
        <w:pStyle w:val="BookText"/>
        <w:rPr/>
      </w:pPr>
      <w:r>
        <w:rPr>
          <w:rFonts w:ascii="Amiri" w:hAnsi="Amiri" w:eastAsia="Amiri" w:cs="Amiri"/>
          <w:color w:val="111111"/>
          <w:sz w:val="28"/>
          <w:sz w:val="28"/>
          <w:szCs w:val="28"/>
          <w:rtl w:val="true"/>
          <w:lang w:bidi="ar-SA"/>
        </w:rPr>
        <w:t xml:space="preserve">و كذا لو 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لزعم اختلال صومه، ثمّ بان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لاحتمال كفاية العود فوراً بحيث لا يضرّ بالصدق، كما قالوا به في مثل الجماعة</w:t>
      </w:r>
      <w:r>
        <w:rPr>
          <w:rStyle w:val="FootnoteAnchor"/>
          <w:rtl w:val="true"/>
        </w:rPr>
        <w:footnoteReference w:id="659"/>
      </w:r>
      <w:r>
        <w:rPr>
          <w:rFonts w:ascii="Amiri" w:hAnsi="Amiri" w:eastAsia="Amiri" w:cs="Amiri"/>
          <w:color w:val="111111"/>
          <w:sz w:val="28"/>
          <w:sz w:val="28"/>
          <w:szCs w:val="28"/>
          <w:rtl w:val="true"/>
          <w:lang w:bidi="ar-SA"/>
        </w:rPr>
        <w:t>، بل و الصلاة</w:t>
      </w:r>
      <w:r>
        <w:rPr>
          <w:rStyle w:val="FootnoteAnchor"/>
          <w:rtl w:val="true"/>
        </w:rPr>
        <w:footnoteReference w:id="660"/>
      </w:r>
      <w:r>
        <w:rPr>
          <w:rFonts w:ascii="Amiri" w:hAnsi="Amiri" w:eastAsia="Amiri" w:cs="Amiri"/>
          <w:color w:val="111111"/>
          <w:sz w:val="28"/>
          <w:sz w:val="28"/>
          <w:szCs w:val="28"/>
          <w:rtl w:val="true"/>
          <w:lang w:bidi="ar-SA"/>
        </w:rPr>
        <w:t>، فإنّ الاتّصال و الهيئة الاتّصاليّة لا يتضرّر بالعدول الآني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بالفرق؛ لأنّ الصوم تمام ماهيته القصد، و المرجع هو العرف المحقّق،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هنا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هو المهمّ في المسألة ما مرّ من قصور الأدلّة عن إثبات شرطيّة اعتبار القصد من الأوّل، و القدر المتيقّن من مورد الإجماع هو الإخلال به عمداً، فلتصحيح الصوم في أمثال هذه الفروع وجه تبيّن ممّا مضى</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الصوم و لو كان ماهيته القصد إلّا أنّ الشرع حسب الظاهر تدخّل فيه،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ينافي الاستدامة، التردّد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إدامة الصوم أو رفع اليد عنه، و كذا لو كان تردّده في ذلك لعروض شي‌ء لم يدرِ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مبطل لصومه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معنى لكونه منافياً، بل لا تبقى النيّة مع التردّد الطارئ، كما لا توجد مع التردّد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حال كثير من الجاهلين بالمفطرات تفصيلًا، و لو صحّ ما في المتن، فيلزم وجوب تعلّم المفطرات بتفصيلها؛ لأنّ إبطال الصوم الواجب المعيّن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عروض شي‌ء لم يدرِ، أعمّ من أن ارتكبه ثمّ شكّ أو لم يرتكبه، فإنّه على الثاني و إن يمكن التحفّظ على صومه بتركه، و أمّا في الفرض الأوّل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ارتكابه حال الجهل ليس مضرّاً بالصحّة، فإذا كان عالماً بذلك لا يلزم وجوب التعلّم المذكور، و لكنّه محلّ إشكال، بل هو صريح كلامه في البطلان إذا كان عن جهل تقصيري، و احتاط في القصوري</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يستلزم القول ببطلان الصوم هنا، بطلان الصوم الاحتياطي، مع أنّ الضرورة على خلافه، و لذلك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البطلان</w:t>
      </w:r>
      <w:r>
        <w:rPr>
          <w:rStyle w:val="FootnoteAnchor"/>
          <w:rtl w:val="true"/>
        </w:rPr>
        <w:footnoteReference w:id="661"/>
      </w:r>
      <w:r>
        <w:rPr>
          <w:rFonts w:ascii="Amiri" w:hAnsi="Amiri" w:eastAsia="Amiri" w:cs="Amiri"/>
          <w:color w:val="111111"/>
          <w:sz w:val="28"/>
          <w:sz w:val="28"/>
          <w:szCs w:val="28"/>
          <w:rtl w:val="true"/>
          <w:lang w:bidi="ar-SA"/>
        </w:rPr>
        <w:t>لأنّ</w:t>
      </w:r>
    </w:p>
    <w:p>
      <w:pPr>
        <w:pStyle w:val="BookText"/>
        <w:rPr/>
      </w:pPr>
      <w:r>
        <w:rPr>
          <w:rFonts w:ascii="Amiri" w:hAnsi="Amiri" w:eastAsia="Amiri" w:cs="Amiri"/>
          <w:color w:val="111111"/>
          <w:sz w:val="28"/>
          <w:sz w:val="28"/>
          <w:szCs w:val="28"/>
          <w:rtl w:val="true"/>
          <w:lang w:bidi="ar-SA"/>
        </w:rPr>
        <w:t xml:space="preserve">و أمّا في غير الواجب المعيّن لو نوى القطع، ثمّ رجع قبل الزوال صحّ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كلّه في نيّة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المتردّد المذكور بانٍ على الصوم على تقدير الصحّة، بل في موارد الشكّ في ارتكاب المفطر موضوعاً، يكون التردّد موجوداً إلّا أنّه تردّد في صحّة صومه، و بناءً على الصوم على تقدير الصحّة، و لا بدّ من الالتزام بصحّته عملًا بالسيرة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يكون نظر الماتن هنا إلى استلزام التردّد المذكور، التردّد في أصل البقاء على الصوم قهراً و ارتكازاً، بخلاف الصورتين المذكورتين إلّا من كان متوجّهاً إلى الاستلزام المذكور، فإنّه إذا بنى على الصوم لو كان صحيحاً صحّ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ما عرفت من الأصل المحرّر في المعيّن، ففي غير المعيّن يكون الأمر أوضح، بل اعتبار الشرع صحّة الصوم من أوّل طلوع الفجر، و لو قصده قبل الزوال آناً ما، يشهد قويّاً على الأصل الّذي أبدعناه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قطع النظر عن ذلك الأصل شمول الأدلّة الناهضة على توسعة النيّة في الواجب غير المعيّن</w:t>
      </w:r>
      <w:r>
        <w:rPr>
          <w:rStyle w:val="FootnoteAnchor"/>
          <w:rtl w:val="true"/>
        </w:rPr>
        <w:footnoteReference w:id="662"/>
      </w:r>
      <w:r>
        <w:rPr>
          <w:rFonts w:ascii="Amiri" w:hAnsi="Amiri" w:eastAsia="Amiri" w:cs="Amiri"/>
          <w:color w:val="111111"/>
          <w:sz w:val="28"/>
          <w:sz w:val="28"/>
          <w:szCs w:val="28"/>
          <w:rtl w:val="true"/>
          <w:lang w:bidi="ar-SA"/>
        </w:rPr>
        <w:t>لمثل ما نحن فيه، محل إشكال؛ لأنّ</w:t>
      </w:r>
    </w:p>
    <w:p>
      <w:pPr>
        <w:pStyle w:val="BookText"/>
        <w:rPr/>
      </w:pPr>
      <w:r>
        <w:rPr>
          <w:rFonts w:ascii="Amiri" w:hAnsi="Amiri" w:eastAsia="Amiri" w:cs="Amiri"/>
          <w:color w:val="111111"/>
          <w:sz w:val="28"/>
          <w:sz w:val="28"/>
          <w:szCs w:val="28"/>
          <w:rtl w:val="true"/>
          <w:lang w:bidi="ar-SA"/>
        </w:rPr>
        <w:t xml:space="preserve">و أمّا نيّة القاطع، بمعنى نيّة ارتكاب المفطر، فليست بمفطرة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المفروض في أدلّته غير هذه الصور،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نظراً إلى أنّ الظاهر من الأدلّة، استناد المفطريّة إلى ذوات المفطرات، و أنّ الكفّارة كفّارة ارتكابها فيما إذا تكرّر، فلو كان نيّة القاطع ترجع إلى نيّة القطع، فاعتبار مبطليّة هذه الأُمور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يشكل أمره أنّ ما هو الشرط، و قوام الصوم، هو القصد، و إذا كانت نيّة القاطع منافيّة له تكويناً، فلا يعقل أن يعتبر الشرع صحّة الصوم عند نيّة القاطع، للزوم التناقض، فللفرار عنه ينصرف الاستناد و النسبة المذكورة إلى خلاف الظاهر، فيتعيّن قول جماعة يقولون بالبطلان</w:t>
      </w:r>
      <w:r>
        <w:rPr>
          <w:rStyle w:val="FootnoteAnchor"/>
          <w:rtl w:val="true"/>
        </w:rPr>
        <w:footnoteReference w:id="663"/>
      </w:r>
      <w:r>
        <w:rPr>
          <w:rFonts w:ascii="Amiri" w:hAnsi="Amiri" w:eastAsia="Amiri" w:cs="Amiri"/>
          <w:color w:val="111111"/>
          <w:sz w:val="28"/>
          <w:sz w:val="28"/>
          <w:szCs w:val="28"/>
          <w:rtl w:val="true"/>
          <w:lang w:bidi="ar-SA"/>
        </w:rPr>
        <w:t>، و هو المشهور بين متعرّضي المسألة</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ينحلّ الإشكال بأنّ من تلك الظواهر يستكشف أنّ ما هو الشرط، هي نيّة الإمساك و قصد الصوم على وجه لا يتضرّر بنيّة المفطر، و يتضرّر بنيّة</w:t>
      </w:r>
    </w:p>
    <w:p>
      <w:pPr>
        <w:pStyle w:val="BookText"/>
        <w:rPr/>
      </w:pPr>
      <w:r>
        <w:rPr>
          <w:rFonts w:ascii="Amiri" w:hAnsi="Amiri" w:eastAsia="Amiri" w:cs="Amiri"/>
          <w:color w:val="111111"/>
          <w:sz w:val="28"/>
          <w:sz w:val="28"/>
          <w:szCs w:val="28"/>
          <w:rtl w:val="true"/>
          <w:lang w:bidi="ar-SA"/>
        </w:rPr>
        <w:t>القطع، فإنّ الأوّل ينافيه بالاستلزام، و الثاني بالاستقلال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قصد الإمساك على الإطلاق، فلو انعدمت من هذه الطريقة التبعيّة فلا بأس به، لعدم الدليل على اشتراطها على الوجه المذكور، بل الدليل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لاعتبار المفطر حينئذٍ، لعدم النيّة تكويناً، فالنسبة على كلّ تقدير مجازيّة، يندفع بأنّ المفطريّة باعتبار هدم النيّة السابقة، و إفسادها على وجه لا تصلح للصحّة بانضمام النيّة اللاحقة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أصل اعتبار المفطر، إشكال محرّر في مسألة كيفيّة اعتبار المانعيّة في الصلاة، و قد تحرّر منّا امتناعه هناك</w:t>
      </w:r>
      <w:r>
        <w:rPr>
          <w:rStyle w:val="FootnoteAnchor"/>
          <w:rtl w:val="true"/>
        </w:rPr>
        <w:footnoteReference w:id="665"/>
      </w:r>
      <w:r>
        <w:rPr>
          <w:rFonts w:ascii="Amiri" w:hAnsi="Amiri" w:eastAsia="Amiri" w:cs="Amiri"/>
          <w:color w:val="111111"/>
          <w:sz w:val="28"/>
          <w:sz w:val="28"/>
          <w:szCs w:val="28"/>
          <w:rtl w:val="true"/>
          <w:lang w:bidi="ar-SA"/>
        </w:rPr>
        <w:t>، و أمّا هنا فهو كذلك بالنسبة إلى المفطرات الشرعيّة دون العرفيّة كالأكل و الشرب، و على هذا ترجع المفطرات إلى شرطيّة تركها بحكم العقل، فالمجاز قطعي حسب الدليل العقلي، و لكن حسب النظر العرفي الّذي هو المتّبع، لا بدّ من التحفّظ على الحقيقة الّتي أمكنت</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يمكن الالتزام بعدم فساد الصوم عند نيّة القاطع، إلّا أنّه يشكل الأمر من جهة أنّ نيّة القطع لا تكون، بعد أن يكون الصوم نفس</w:t>
      </w:r>
    </w:p>
    <w:p>
      <w:pPr>
        <w:pStyle w:val="BookText"/>
        <w:rPr/>
      </w:pPr>
      <w:r>
        <w:rPr>
          <w:rFonts w:ascii="Amiri" w:hAnsi="Amiri" w:eastAsia="Amiri" w:cs="Amiri"/>
          <w:color w:val="111111"/>
          <w:sz w:val="28"/>
          <w:sz w:val="28"/>
          <w:szCs w:val="28"/>
          <w:rtl w:val="true"/>
          <w:lang w:bidi="ar-SA"/>
        </w:rPr>
        <w:t>القصد إلى ترك المفطرات، إلّا مستلزماً لنيّة القاطع؛ ضرورة أنّ ما هو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هو البناء على ترك المفطرات عند الابتلاء، و في صورة الابتلاء بإحدى المفطرات، فإذا ترك الصوم، و قصد قطع النيّة، فمعناه أنّه لا بناء منه على تركها عند الابتلاء، فيلزم الإخلال بالشرط الّذي هو وجه صحّة الصوم كما أُشير إليه، و عليه ترجع نيّة القطع إلى الإخلال بما هو أساس الصوم، و هو البناء على ترك المفطر إذا ابتُلي به؛ لأنّه يضمحلّ قصده المذكور بالرجوع عن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الموجب لبطلان الصوم، كلُّ ما يوجب خلوّ الصائم عن القصد المذكور، سواء كان نيّة القطع أو القاطع، و تبيّن أنّ كلّ واحد منهما ليس موجباً بما هو هو للبطلان، بل انعدام الشرط يستتبع عدم سقوط الأمر،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 قصده ترك المفطر إذا ابتُلي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ترك القصد المذكور، فلا يلزم أن يكون بانياً على الأكل، لإمكان ترك الأكل لأجل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أنّه مع فرض انتفاء الجهة الأُخرى لا يكون بانياً على الترك</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القطع و القاطع على وجه واحد، تخلّ بما هو الشرط و ما به الصوم صوماً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كانت مستلزمة لنيّة القطع تبعاً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نوى القاطع و التفت إلى استلزامها ذلك فنواه استقلالًا، بطل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اعترافه مدّ ظلّه بذلك لا بدّ أن يستلزم الاعتراف بأنّ الاستدامة المطلقة على النيّة ليست شرطاً كما مرّ</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من نيّة القطع، و قد أُشير آنفاً إلى أن الموجب للفساد ليس إلّا ترك ما هو الشرط، أو ما هو قوام الصوم به، و لا خصوصيّة لنيّة القطع و لا القاطع</w:t>
      </w:r>
      <w:r>
        <w:rPr>
          <w:rFonts w:eastAsia="Amiri" w:cs="Amiri" w:ascii="Amiri" w:hAnsi="Amiri"/>
          <w:color w:val="111111"/>
          <w:sz w:val="28"/>
          <w:szCs w:val="28"/>
          <w:rtl w:val="true"/>
          <w:lang w:bidi="ar-SA"/>
        </w:rPr>
        <w:t>.</w:t>
      </w:r>
      <w:bookmarkStart w:id="156" w:name="pg12366_123089"/>
    </w:p>
    <w:p>
      <w:pPr>
        <w:pStyle w:val="Heading3"/>
        <w:numPr>
          <w:ilvl w:val="2"/>
          <w:numId w:val="1"/>
        </w:numPr>
        <w:rPr/>
      </w:pPr>
      <w:bookmarkStart w:id="157" w:name="__RefHeading___Toc8896027_417432637"/>
      <w:bookmarkStart w:id="158" w:name="_Toc57"/>
      <w:bookmarkEnd w:id="156"/>
      <w:bookmarkEnd w:id="157"/>
      <w:r>
        <w:rPr>
          <w:rtl w:val="true"/>
        </w:rPr>
        <w:t>[</w:t>
      </w:r>
      <w:r>
        <w:rPr>
          <w:rtl w:val="true"/>
        </w:rPr>
        <w:t>القول فيما يجب الإمساك عنه</w:t>
      </w:r>
      <w:r>
        <w:rPr>
          <w:rtl w:val="true"/>
        </w:rPr>
        <w:t>]</w:t>
      </w:r>
      <w:bookmarkEnd w:id="158"/>
    </w:p>
    <w:p>
      <w:pPr>
        <w:pStyle w:val="Heading4"/>
        <w:numPr>
          <w:ilvl w:val="3"/>
          <w:numId w:val="1"/>
        </w:numPr>
        <w:rPr/>
      </w:pPr>
      <w:bookmarkStart w:id="159" w:name="__RefHeading___Toc8896029_417432637"/>
      <w:bookmarkStart w:id="160" w:name="_Toc58"/>
      <w:bookmarkEnd w:id="159"/>
      <w:r>
        <w:rPr>
          <w:rtl w:val="true"/>
        </w:rPr>
        <w:t>اشارة</w:t>
      </w:r>
      <w:bookmarkEnd w:id="160"/>
    </w:p>
    <w:p>
      <w:pPr>
        <w:pStyle w:val="BookText"/>
        <w:rPr/>
      </w:pPr>
      <w:r>
        <w:rPr>
          <w:rFonts w:ascii="Amiri" w:hAnsi="Amiri" w:eastAsia="Amiri" w:cs="Amiri"/>
          <w:color w:val="111111"/>
          <w:sz w:val="28"/>
          <w:sz w:val="28"/>
          <w:szCs w:val="28"/>
          <w:rtl w:val="true"/>
          <w:lang w:bidi="ar-SA"/>
        </w:rPr>
        <w:t xml:space="preserve">القول فيما يجب الإمساك عنه 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الصائم الإمساك عن أُمور</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8896031_417432637"/>
      <w:bookmarkStart w:id="162" w:name="_Toc59"/>
      <w:bookmarkEnd w:id="161"/>
      <w:r>
        <w:rPr>
          <w:rtl w:val="true"/>
        </w:rPr>
        <w:t>[</w:t>
      </w:r>
      <w:r>
        <w:rPr>
          <w:rtl w:val="true"/>
        </w:rPr>
        <w:t>الأوّل و الثاني</w:t>
      </w:r>
      <w:r>
        <w:rPr>
          <w:rtl w:val="true"/>
        </w:rPr>
        <w:t xml:space="preserve">: </w:t>
      </w:r>
      <w:r>
        <w:rPr>
          <w:rtl w:val="true"/>
        </w:rPr>
        <w:t>الأكل و الشرب</w:t>
      </w:r>
      <w:r>
        <w:rPr>
          <w:rtl w:val="true"/>
        </w:rPr>
        <w:t>]</w:t>
      </w:r>
      <w:bookmarkEnd w:id="162"/>
    </w:p>
    <w:p>
      <w:pPr>
        <w:pStyle w:val="Heading5"/>
        <w:numPr>
          <w:ilvl w:val="4"/>
          <w:numId w:val="1"/>
        </w:numPr>
        <w:rPr/>
      </w:pPr>
      <w:bookmarkStart w:id="163" w:name="__RefHeading___Toc8896033_417432637"/>
      <w:bookmarkStart w:id="164" w:name="_Toc60"/>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و الشرب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وجوباً شرطيّاً، و ليس ارتكاب المفطرات من المحرّمات التكليفيّة، و لا تركها من الواجبات النفسيّة، بناءً على إمكان كون الترك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تروك الإحرام كما هو التحقيق، و تفصيله في الأُصول</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الواجب النفسي ليس إلّا الصوم، و تركه موجب لاستحقاق العقوبة على ترك الواجب، فما يستظهر عنهم أحياناً في غير محلّه</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الأكل و الشرب</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الجملة بلا شائبة إشكال، و عليه الإجماع المدّعى</w:t>
      </w:r>
      <w:r>
        <w:rPr>
          <w:rStyle w:val="FootnoteAnchor"/>
          <w:rtl w:val="true"/>
        </w:rPr>
        <w:footnoteReference w:id="669"/>
      </w:r>
      <w:r>
        <w:rPr>
          <w:rFonts w:ascii="IRNazanin" w:hAnsi="IRNazanin" w:eastAsia="IRNazanin"/>
          <w:color w:val="111111"/>
          <w:sz w:val="28"/>
          <w:sz w:val="28"/>
          <w:szCs w:val="28"/>
          <w:rtl w:val="true"/>
          <w:lang w:bidi="fa-IR"/>
        </w:rPr>
        <w:t>، المقرون</w:t>
      </w:r>
    </w:p>
    <w:p>
      <w:pPr>
        <w:pStyle w:val="BookText"/>
        <w:rPr/>
      </w:pPr>
      <w:r>
        <w:rPr>
          <w:rFonts w:ascii="Amiri" w:hAnsi="Amiri" w:eastAsia="Amiri" w:cs="Amiri"/>
          <w:color w:val="111111"/>
          <w:sz w:val="28"/>
          <w:sz w:val="28"/>
          <w:szCs w:val="28"/>
          <w:rtl w:val="true"/>
          <w:lang w:bidi="ar-SA"/>
        </w:rPr>
        <w:t>بدعوى القطع و الضرورة</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هو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ترك الطعام و الشراب ليس من شرائط الصوم، بل هما من مقوّمات ماهيّة الصوم، و كان تركهما، بل و ترك الجماع حسب ما يظهر من الكتاب، ممّا ارتكزت عليه أذهان المتشرّعة، و أرباب الشرائع السالفة، فإنّ قوله تعالى فَمَنْ شَهِدَ مِنْكُمُ الشَّهْرَ فَلْيَصُمْهُ</w:t>
      </w:r>
      <w:r>
        <w:rPr>
          <w:rStyle w:val="FootnoteAnchor"/>
          <w:rtl w:val="true"/>
        </w:rPr>
        <w:footnoteReference w:id="671"/>
      </w:r>
      <w:r>
        <w:rPr>
          <w:rFonts w:ascii="Amiri" w:hAnsi="Amiri" w:eastAsia="Amiri" w:cs="Amiri"/>
          <w:color w:val="111111"/>
          <w:sz w:val="28"/>
          <w:sz w:val="28"/>
          <w:szCs w:val="28"/>
          <w:rtl w:val="true"/>
          <w:lang w:bidi="ar-SA"/>
        </w:rPr>
        <w:t>كان ما يفهمه صدر الإسلام أبناء المنطقة، فيعلم منه أنّ أصل ترك الأكل و الشرب كان معهوداً، بل و من قوله تعالى أُحِلَّ لَكُمْ لَيْلَةَ الصِّيامِ الرَّفَثُ إِلى نِسائِكُمْ</w:t>
      </w:r>
      <w:r>
        <w:rPr>
          <w:rStyle w:val="FootnoteAnchor"/>
          <w:rtl w:val="true"/>
        </w:rPr>
        <w:footnoteReference w:id="672"/>
      </w:r>
      <w:r>
        <w:rPr>
          <w:rFonts w:ascii="Amiri" w:hAnsi="Amiri" w:eastAsia="Amiri" w:cs="Amiri"/>
          <w:color w:val="111111"/>
          <w:sz w:val="28"/>
          <w:sz w:val="28"/>
          <w:szCs w:val="28"/>
          <w:rtl w:val="true"/>
          <w:lang w:bidi="ar-SA"/>
        </w:rPr>
        <w:t>أيضاً يعلم أنّ تركه كان معهوداً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اشتهر أنّ زمان الصوم كان إلى زوال الشمس، و لأجله ورد ثُمَّ أَتِمُّوا الصِّيامَ إِلَى اللَّيْلِ</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فالأولى أن يكون ترك الطعام و الشراب، و الإمساك عنهما مورد العنوان أوّلًا، ثمّ إلحاق مطلق الأكل إليه إذا اقتضاه الدليل؛ و ذلك لأنّ معتبر ابن مسلم يتضمّن عنوان الطعام و الشراب كما يأتي</w:t>
      </w:r>
      <w:r>
        <w:rPr>
          <w:rStyle w:val="FootnoteAnchor"/>
          <w:rtl w:val="true"/>
        </w:rPr>
        <w:footnoteReference w:id="674"/>
      </w:r>
      <w:r>
        <w:rPr>
          <w:rFonts w:ascii="Amiri" w:hAnsi="Amiri" w:eastAsia="Amiri" w:cs="Amiri"/>
          <w:color w:val="111111"/>
          <w:sz w:val="28"/>
          <w:sz w:val="28"/>
          <w:szCs w:val="28"/>
          <w:rtl w:val="true"/>
          <w:lang w:bidi="ar-SA"/>
        </w:rPr>
        <w:t>، و ليس في</w:t>
      </w:r>
    </w:p>
    <w:p>
      <w:pPr>
        <w:pStyle w:val="BookText"/>
        <w:rPr/>
      </w:pPr>
      <w:r>
        <w:rPr>
          <w:rFonts w:ascii="Amiri" w:hAnsi="Amiri" w:eastAsia="Amiri" w:cs="Amiri"/>
          <w:color w:val="111111"/>
          <w:sz w:val="28"/>
          <w:sz w:val="28"/>
          <w:szCs w:val="28"/>
          <w:rtl w:val="true"/>
          <w:lang w:bidi="ar-SA"/>
        </w:rPr>
        <w:t>الأخبار الصحيحة ما يدلّ على أنّ عنوان الأكل مورد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أنّ قوله تعالى كُلُوا وَ اشْرَبُوا </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إلى آخره يشهد على أنّ ترك الأكل لازم إلى الليل</w:t>
      </w:r>
      <w:r>
        <w:rPr>
          <w:rStyle w:val="FootnoteAnchor"/>
          <w:rtl w:val="true"/>
        </w:rPr>
        <w:footnoteReference w:id="676"/>
      </w:r>
      <w:r>
        <w:rPr>
          <w:rFonts w:ascii="Amiri" w:hAnsi="Amiri" w:eastAsia="Amiri" w:cs="Amiri"/>
          <w:color w:val="111111"/>
          <w:sz w:val="28"/>
          <w:sz w:val="28"/>
          <w:szCs w:val="28"/>
          <w:rtl w:val="true"/>
          <w:lang w:bidi="ar-SA"/>
        </w:rPr>
        <w:t>، غير جائز؛ لعدم كونه في هذا المقام، لما عرفت أنّ ترك الأكل في الجملة من مقوّمات الصوم، و الآية بصدد دفع ما كان صوماً في الجاهليّة إلى الزوال، و يكون توطئة لقوله تعالى ثُمَّ أَتِمُّوا الصِّيامَ إِلَى اللَّيْلِ</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 طائفة من الأخبار عنوان الأكل و الشراب</w:t>
      </w:r>
      <w:r>
        <w:rPr>
          <w:rStyle w:val="FootnoteAnchor"/>
          <w:rtl w:val="true"/>
        </w:rPr>
        <w:footnoteReference w:id="678"/>
      </w:r>
      <w:r>
        <w:rPr>
          <w:rFonts w:ascii="Amiri" w:hAnsi="Amiri" w:eastAsia="Amiri" w:cs="Amiri"/>
          <w:color w:val="111111"/>
          <w:sz w:val="28"/>
          <w:sz w:val="28"/>
          <w:szCs w:val="28"/>
          <w:rtl w:val="true"/>
          <w:lang w:bidi="ar-SA"/>
        </w:rPr>
        <w:t>، و هي و إن لم تكن نقيّة الأسناد، و لكنّها لأجل الإجماعات منجبرة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الإجماع و الشهرة عمليّة حتّى تكون جابرة، و لا يكفي لقوّة استفادتهم ذلك من الكتاب و السنّة، فتجعل اجتهادهم، يمرّ عليك ما ينفعك في التعليقة الآتية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معتاداً كان كالخبز و الماء أو غيره كالحصاة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عصارة الأشجار،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إلحاق غير المعتاد بالمعتاد مذهب الأصحاب، و عليه الإجماعات المحكيّة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679"/>
      </w:r>
      <w:r>
        <w:rPr>
          <w:rFonts w:ascii="Amiri" w:hAnsi="Amiri" w:eastAsia="Amiri" w:cs="Amiri"/>
          <w:color w:val="111111"/>
          <w:sz w:val="28"/>
          <w:sz w:val="28"/>
          <w:szCs w:val="28"/>
          <w:rtl w:val="true"/>
          <w:lang w:bidi="ar-SA"/>
        </w:rPr>
        <w:t>، و عن السيّد نفي الخلاف فيه بين المسلمين</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حكي عن الحسن بن صالح، و أبي طلحة الأنصاريّ تجويزه</w:t>
      </w:r>
      <w:r>
        <w:rPr>
          <w:rStyle w:val="FootnoteAnchor"/>
          <w:rtl w:val="true"/>
        </w:rPr>
        <w:footnoteReference w:id="681"/>
      </w:r>
      <w:r>
        <w:rPr>
          <w:rFonts w:ascii="Amiri" w:hAnsi="Amiri" w:eastAsia="Amiri" w:cs="Amiri"/>
          <w:color w:val="111111"/>
          <w:sz w:val="28"/>
          <w:sz w:val="28"/>
          <w:szCs w:val="28"/>
          <w:rtl w:val="true"/>
          <w:lang w:bidi="ar-SA"/>
        </w:rPr>
        <w:t>، و هو المحكي عن ابن الجنيد</w:t>
      </w:r>
      <w:r>
        <w:rPr>
          <w:rStyle w:val="FootnoteAnchor"/>
          <w:rtl w:val="true"/>
        </w:rPr>
        <w:footnoteReference w:id="682"/>
      </w:r>
      <w:r>
        <w:rPr>
          <w:rFonts w:ascii="Amiri" w:hAnsi="Amiri" w:eastAsia="Amiri" w:cs="Amiri"/>
          <w:color w:val="111111"/>
          <w:sz w:val="28"/>
          <w:sz w:val="28"/>
          <w:szCs w:val="28"/>
          <w:rtl w:val="true"/>
          <w:lang w:bidi="ar-SA"/>
        </w:rPr>
        <w:t xml:space="preserve">، بل و نفس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كتبه</w:t>
      </w:r>
      <w:r>
        <w:rPr>
          <w:rStyle w:val="FootnoteAnchor"/>
          <w:rtl w:val="true"/>
        </w:rPr>
        <w:footnoteReference w:id="683"/>
      </w:r>
      <w:r>
        <w:rPr>
          <w:rFonts w:ascii="Amiri" w:hAnsi="Amiri" w:eastAsia="Amiri" w:cs="Amiri"/>
          <w:color w:val="111111"/>
          <w:sz w:val="28"/>
          <w:sz w:val="28"/>
          <w:szCs w:val="28"/>
          <w:rtl w:val="true"/>
          <w:lang w:bidi="ar-SA"/>
        </w:rPr>
        <w:t>، و هذا لا ينافيه دعواه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 المسألة خلافيّة جدّاً بين أهل الخلاف في جهة أُخرى، و هي الكفّارة دون البطلان</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كفاية إطلاقات الأكل و الشرب أو إلغاء الخصوصيّة</w:t>
      </w:r>
      <w:r>
        <w:rPr>
          <w:rStyle w:val="FootnoteAnchor"/>
          <w:rtl w:val="true"/>
        </w:rPr>
        <w:footnoteReference w:id="685"/>
      </w:r>
      <w:r>
        <w:rPr>
          <w:rFonts w:ascii="Amiri" w:hAnsi="Amiri" w:eastAsia="Amiri" w:cs="Amiri"/>
          <w:color w:val="111111"/>
          <w:sz w:val="28"/>
          <w:sz w:val="28"/>
          <w:szCs w:val="28"/>
          <w:rtl w:val="true"/>
          <w:lang w:bidi="ar-SA"/>
        </w:rPr>
        <w:t>، في</w:t>
      </w:r>
    </w:p>
    <w:p>
      <w:pPr>
        <w:pStyle w:val="BookText"/>
        <w:rPr/>
      </w:pPr>
      <w:r>
        <w:rPr>
          <w:rFonts w:ascii="Amiri" w:hAnsi="Amiri" w:eastAsia="Amiri" w:cs="Amiri"/>
          <w:color w:val="111111"/>
          <w:sz w:val="28"/>
          <w:sz w:val="28"/>
          <w:szCs w:val="28"/>
          <w:rtl w:val="true"/>
          <w:lang w:bidi="ar-SA"/>
        </w:rPr>
        <w:t>غير محلّه؛ ضرورة أنّها مضافاً إلى ممنوعيّتها، منصرفة عن غير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إنّه لو كان مورد للانصراف فهذا أحقّ به، لعدم الدواعي إلى ذلك حسب العادة الغالبة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دعوى الإلحاق، و إن لم يصدق عليه الأكل و الشرب المفطّرين، أو و إن لم يكن طعاماً و شراباً متعارفاً، أو و إن لم يكن أكلًا و شرباً؛ لأنّ المأكولات و المشروبات هي الأنواع الخاصّة، لا مطلق ما يُؤكل و يُشرب، فتأمّل؛ و ذلك لتلك الشهرة العظيمة، و لما ورد في الغبار الغليظ</w:t>
      </w:r>
      <w:r>
        <w:rPr>
          <w:rStyle w:val="FootnoteAnchor"/>
          <w:rtl w:val="true"/>
        </w:rPr>
        <w:footnoteReference w:id="686"/>
      </w:r>
      <w:r>
        <w:rPr>
          <w:rFonts w:ascii="Amiri" w:hAnsi="Amiri" w:eastAsia="Amiri" w:cs="Amiri"/>
          <w:color w:val="111111"/>
          <w:sz w:val="28"/>
          <w:sz w:val="28"/>
          <w:szCs w:val="28"/>
          <w:rtl w:val="true"/>
          <w:lang w:bidi="ar-SA"/>
        </w:rPr>
        <w:t>، و لا يخفى ما في الثاني، فإنّ مبطليّة الغبار ممنوعة كما تأتي</w:t>
      </w:r>
      <w:r>
        <w:rPr>
          <w:rStyle w:val="FootnoteAnchor"/>
          <w:rtl w:val="true"/>
        </w:rPr>
        <w:footnoteReference w:id="687"/>
      </w:r>
      <w:r>
        <w:rPr>
          <w:rFonts w:ascii="Amiri" w:hAnsi="Amiri" w:eastAsia="Amiri" w:cs="Amiri"/>
          <w:color w:val="111111"/>
          <w:sz w:val="28"/>
          <w:sz w:val="28"/>
          <w:szCs w:val="28"/>
          <w:rtl w:val="true"/>
          <w:lang w:bidi="ar-SA"/>
        </w:rPr>
        <w:t>، و لو كان مبطلًا فهو أمر وراء الأكل كما في نصّه، و يكون نفس إيصاله إلى الحلق مبطلًا و لو لم يكن أكلًا، فلا يخلو التمسّك المزبور</w:t>
      </w:r>
      <w:r>
        <w:rPr>
          <w:rStyle w:val="FootnoteAnchor"/>
          <w:rtl w:val="true"/>
        </w:rPr>
        <w:footnoteReference w:id="688"/>
      </w:r>
      <w:r>
        <w:rPr>
          <w:rFonts w:ascii="IRNazanin" w:hAnsi="IRNazanin" w:eastAsia="IRNazanin"/>
          <w:color w:val="111111"/>
          <w:sz w:val="28"/>
          <w:sz w:val="28"/>
          <w:szCs w:val="28"/>
          <w:rtl w:val="true"/>
          <w:lang w:bidi="fa-IR"/>
        </w:rPr>
        <w:t>من غرر به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حديث الشهرة فهو قريب، و ذلك لأنّ في المسألة بعض نصوص ظاهرة في أنّ المبطل هو المتعارف من الطعام، ففي خبر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الذباب يدخل</w:t>
      </w:r>
    </w:p>
    <w:p>
      <w:pPr>
        <w:pStyle w:val="BookText"/>
        <w:rPr/>
      </w:pPr>
      <w:r>
        <w:rPr>
          <w:rFonts w:ascii="Amiri" w:hAnsi="Amiri" w:eastAsia="Amiri" w:cs="Amiri"/>
          <w:color w:val="111111"/>
          <w:sz w:val="28"/>
          <w:sz w:val="28"/>
          <w:szCs w:val="28"/>
          <w:rtl w:val="true"/>
          <w:lang w:bidi="ar-SA"/>
        </w:rPr>
        <w:t>حلق الصائم،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عليه قضاء؛ لأنّه ليس بطعام</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الصائم يكتحل،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ليس بطعام و لا شراب</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و مقتضاهما أنّ غير المتعارف غير مبطل، و مع ذلك ذهب الأصحاب إلى خلافهما، فيعلم منه أنّ المسألة كانت معهودة عندهم من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السؤال عن ورد الذباب إلى الحلق نسياناً، و لا عن اختيار، لا يضرّ بمفاد التعليل، و المنظور من الاكتحال، هو دخول أجزائه من ناحية الحلق إلى المري‌ء، كما هو المحسوس، فيكون نظر السائل بطلان الصوم به، و الخبر نفاه، فليتدبّر جيّداً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المناقشة في تلك الشهرة بدعوى ظهور كلماتهم في استنادهم في الالتحاق إلى الأكل و الشرب، فراجع</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كانا قليلين 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كعشر حبّة و عشر 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قليلين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المعروف بينهم</w:t>
      </w:r>
      <w:r>
        <w:rPr>
          <w:rStyle w:val="FootnoteAnchor"/>
          <w:rtl w:val="true"/>
        </w:rPr>
        <w:footnoteReference w:id="692"/>
      </w:r>
      <w:r>
        <w:rPr>
          <w:rFonts w:ascii="Amiri" w:hAnsi="Amiri" w:eastAsia="Amiri" w:cs="Amiri"/>
          <w:color w:val="111111"/>
          <w:sz w:val="28"/>
          <w:sz w:val="28"/>
          <w:szCs w:val="28"/>
          <w:rtl w:val="true"/>
          <w:lang w:bidi="ar-SA"/>
        </w:rPr>
        <w:t>إلّا أنّ الأخبار الكثيرة المنتشرة في الأبواب المتفرّقة، تدلّ على جواز القليل كالأخبار الواردة في جواز الاستياك و كراهته بالعود الرطب</w:t>
      </w:r>
      <w:r>
        <w:rPr>
          <w:rStyle w:val="FootnoteAnchor"/>
          <w:rtl w:val="true"/>
        </w:rPr>
        <w:footnoteReference w:id="693"/>
      </w:r>
      <w:r>
        <w:rPr>
          <w:rFonts w:ascii="Amiri" w:hAnsi="Amiri" w:eastAsia="Amiri" w:cs="Amiri"/>
          <w:color w:val="111111"/>
          <w:sz w:val="28"/>
          <w:sz w:val="28"/>
          <w:szCs w:val="28"/>
          <w:rtl w:val="true"/>
          <w:lang w:bidi="ar-SA"/>
        </w:rPr>
        <w:t>، و ما في مسألة المضمضة</w:t>
      </w:r>
      <w:r>
        <w:rPr>
          <w:rStyle w:val="FootnoteAnchor"/>
          <w:rtl w:val="true"/>
        </w:rPr>
        <w:footnoteReference w:id="694"/>
      </w:r>
      <w:r>
        <w:rPr>
          <w:rFonts w:ascii="Amiri" w:hAnsi="Amiri" w:eastAsia="Amiri" w:cs="Amiri"/>
          <w:color w:val="111111"/>
          <w:sz w:val="28"/>
          <w:sz w:val="28"/>
          <w:szCs w:val="28"/>
          <w:rtl w:val="true"/>
          <w:lang w:bidi="ar-SA"/>
        </w:rPr>
        <w:t>، و في مسألة مضغ الطعام للصبيّ، و زقّ الطائر</w:t>
      </w:r>
      <w:r>
        <w:rPr>
          <w:rStyle w:val="FootnoteAnchor"/>
          <w:rtl w:val="true"/>
        </w:rPr>
        <w:footnoteReference w:id="695"/>
      </w:r>
      <w:r>
        <w:rPr>
          <w:rFonts w:ascii="IRNazanin" w:hAnsi="IRNazanin" w:eastAsia="IRNazanin"/>
          <w:color w:val="111111"/>
          <w:sz w:val="28"/>
          <w:sz w:val="28"/>
          <w:szCs w:val="28"/>
          <w:rtl w:val="true"/>
          <w:lang w:bidi="fa-IR"/>
        </w:rPr>
        <w:t>، و ذوق المرق</w:t>
      </w:r>
      <w:r>
        <w:rPr>
          <w:rStyle w:val="FootnoteAnchor"/>
          <w:rtl w:val="true"/>
        </w:rPr>
        <w:footnoteReference w:id="696"/>
      </w:r>
      <w:r>
        <w:rPr>
          <w:rFonts w:ascii="Amiri" w:hAnsi="Amiri" w:eastAsia="Amiri" w:cs="Amiri"/>
          <w:color w:val="111111"/>
          <w:sz w:val="28"/>
          <w:sz w:val="28"/>
          <w:szCs w:val="28"/>
          <w:rtl w:val="true"/>
          <w:lang w:bidi="ar-SA"/>
        </w:rPr>
        <w:t>، و بلع بصاق الغير</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حملها على إخراج تلك الأجزاء عن محيط الفم أو حملها على الاستهلاك</w:t>
      </w:r>
      <w:r>
        <w:rPr>
          <w:rStyle w:val="FootnoteAnchor"/>
          <w:rtl w:val="true"/>
        </w:rPr>
        <w:footnoteReference w:id="698"/>
      </w:r>
      <w:r>
        <w:rPr>
          <w:rFonts w:ascii="Amiri" w:hAnsi="Amiri" w:eastAsia="Amiri" w:cs="Amiri"/>
          <w:color w:val="111111"/>
          <w:sz w:val="28"/>
          <w:sz w:val="28"/>
          <w:szCs w:val="28"/>
          <w:rtl w:val="true"/>
          <w:lang w:bidi="ar-SA"/>
        </w:rPr>
        <w:t>، غير صحيح، فبعد قصور الأدلّة رأساً، و تلك الأخبار صراحة، يكون نفي القليل البالغ في القلّة إلى الأجزاء الصغار دون غيرها، قريب كما أنّ شرب عشر القطرة لا معنى له، بل و شرب القطرة، كما لا يخفى، و تأمّل</w:t>
      </w:r>
      <w:r>
        <w:rPr>
          <w:rFonts w:eastAsia="Amiri" w:cs="Amiri" w:ascii="Amiri" w:hAnsi="Amiri"/>
          <w:color w:val="111111"/>
          <w:sz w:val="28"/>
          <w:szCs w:val="28"/>
          <w:rtl w:val="true"/>
          <w:lang w:bidi="ar-SA"/>
        </w:rPr>
        <w:t>.</w:t>
      </w:r>
      <w:bookmarkStart w:id="165" w:name="pg12366_123096"/>
    </w:p>
    <w:p>
      <w:pPr>
        <w:pStyle w:val="Heading5"/>
        <w:numPr>
          <w:ilvl w:val="4"/>
          <w:numId w:val="1"/>
        </w:numPr>
        <w:rPr/>
      </w:pPr>
      <w:bookmarkStart w:id="166" w:name="__RefHeading___Toc8896035_417432637"/>
      <w:bookmarkStart w:id="167" w:name="_Toc61"/>
      <w:bookmarkEnd w:id="165"/>
      <w:bookmarkEnd w:id="166"/>
      <w:r>
        <w:rPr>
          <w:rtl w:val="true"/>
        </w:rPr>
        <w:t>[</w:t>
      </w:r>
      <w:r>
        <w:rPr>
          <w:rtl w:val="true"/>
        </w:rPr>
        <w:t xml:space="preserve">مسألة </w:t>
      </w:r>
      <w:r>
        <w:rPr/>
        <w:t>2</w:t>
      </w:r>
      <w:r>
        <w:rPr>
          <w:rtl w:val="true"/>
        </w:rPr>
        <w:t xml:space="preserve">: </w:t>
      </w:r>
      <w:r>
        <w:rPr>
          <w:rtl w:val="true"/>
        </w:rPr>
        <w:t>المدار على صدق الأكل و الشرب و لو كانا على النحو غير المتعارف</w:t>
      </w:r>
      <w:r>
        <w:rPr>
          <w:rtl w:val="true"/>
        </w:rPr>
        <w:t>]</w:t>
      </w:r>
      <w:bookmarkEnd w:id="16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على صدق الأكل و الشرب و لو كانا على النحو غير المتعارف، فإذا أوصل الماء إلى جوفه من طريق أنفه، صدق الشرب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إن كان بنحو غير 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تعيين الصدق غير جائز للفقيه إذا كان موجباً لوقوع المقلّد في الضلالة، فما هو وظيفته تعيين الحكم، و الّذي يظهر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معتبر ابن مسلم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 الصائم ما صنع إذا اجتنب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و الشراب </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و ليس البحث حول الأكل المصدري، و الشرب المصدري، بل اللازم هو اجتنابه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الاجتناب عنهما ليس بمعنى الاجتناب عن القمار، بل هو معناه العرفي، و هو استيفاء الحظّ منه، سواء كان عن طريق الأكل و الشرب المصدريين أو الحقنة، فإنّ حقنة الطعام داخل في هذا الحديث أيضاً، كما لا يخفى</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فتلقيح الموادّ و الأغذية من سائر الثقب كثقب الإحليل، أو سائر الطرق المتعارفة في اليوم، يمكن منعه؛ لأنّه خلاف الاجتناب عن الطعام و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المشروب بقرينة الطعام</w:t>
      </w:r>
      <w:r>
        <w:rPr>
          <w:rFonts w:eastAsia="Amiri" w:cs="Amiri" w:ascii="Amiri" w:hAnsi="Amiri"/>
          <w:color w:val="111111"/>
          <w:sz w:val="28"/>
          <w:szCs w:val="28"/>
          <w:rtl w:val="true"/>
          <w:lang w:bidi="ar-SA"/>
        </w:rPr>
        <w:t>.</w:t>
      </w:r>
      <w:bookmarkStart w:id="168" w:name="pg12366_123097"/>
    </w:p>
    <w:p>
      <w:pPr>
        <w:pStyle w:val="Heading4"/>
        <w:numPr>
          <w:ilvl w:val="3"/>
          <w:numId w:val="1"/>
        </w:numPr>
        <w:rPr/>
      </w:pPr>
      <w:bookmarkStart w:id="169" w:name="__RefHeading___Toc8896037_417432637"/>
      <w:bookmarkStart w:id="170" w:name="_Toc62"/>
      <w:bookmarkEnd w:id="168"/>
      <w:bookmarkEnd w:id="169"/>
      <w:r>
        <w:rPr>
          <w:rtl w:val="true"/>
        </w:rPr>
        <w:t>[</w:t>
      </w:r>
      <w:r>
        <w:rPr>
          <w:rtl w:val="true"/>
        </w:rPr>
        <w:t>الثالث</w:t>
      </w:r>
      <w:r>
        <w:rPr>
          <w:rtl w:val="true"/>
        </w:rPr>
        <w:t xml:space="preserve">: </w:t>
      </w:r>
      <w:r>
        <w:rPr>
          <w:rtl w:val="true"/>
        </w:rPr>
        <w:t>الجماع</w:t>
      </w:r>
      <w:r>
        <w:rPr>
          <w:rtl w:val="true"/>
        </w:rPr>
        <w:t>]</w:t>
      </w:r>
      <w:bookmarkEnd w:id="170"/>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قد يتوهّم من استنباط ممنوعيّة الإدخال في الجوف من موارد مختلفة</w:t>
      </w:r>
      <w:r>
        <w:rPr>
          <w:rStyle w:val="FootnoteAnchor"/>
          <w:rtl w:val="true"/>
        </w:rPr>
        <w:footnoteReference w:id="700"/>
      </w:r>
      <w:r>
        <w:rPr>
          <w:rFonts w:ascii="Amiri" w:hAnsi="Amiri" w:eastAsia="Amiri" w:cs="Amiri"/>
          <w:color w:val="111111"/>
          <w:sz w:val="28"/>
          <w:sz w:val="28"/>
          <w:szCs w:val="28"/>
          <w:rtl w:val="true"/>
          <w:lang w:bidi="ar-SA"/>
        </w:rPr>
        <w:t>، فهو غير صحيح لجواز الحقنة بالجامد، فالطريق الوحيد ما أشرنا إليه، و هو يقبل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خبر ابن مسلم على الأكل من الفم</w:t>
      </w:r>
      <w:r>
        <w:rPr>
          <w:rStyle w:val="FootnoteAnchor"/>
          <w:rtl w:val="true"/>
        </w:rPr>
        <w:footnoteReference w:id="701"/>
      </w:r>
      <w:r>
        <w:rPr>
          <w:rFonts w:ascii="Amiri" w:hAnsi="Amiri" w:eastAsia="Amiri" w:cs="Amiri"/>
          <w:color w:val="111111"/>
          <w:sz w:val="28"/>
          <w:sz w:val="28"/>
          <w:szCs w:val="28"/>
          <w:rtl w:val="true"/>
          <w:lang w:bidi="ar-SA"/>
        </w:rPr>
        <w:t>، فهو لأجل فهم الناس بحسب القطر و المنطقة، لا بحسب الواقع و مراد المتكلّم،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حكم كثير من الفروع المستحدثة الّتي وقفت أنظار جمع فيها صرعى، و اللَّه وليّ التوفيق و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بضرورة الإسلام، و عدّ تركه من الشروط لا يخلو عن مناقشة، لما يظهر أنّه كان من مقوّمات الصوم عند طلوع الإسلام، و لأجله وردت آية التحليل في الليل، بعد الأمر بالصوم على إطلاقه</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التمسّك بقوله تعالى فَالْآنَ بَاشِرُوهُنَّ وَ ابْتَغُوا ما كَتَبَ اللَّهُ لَكُمْ وَ كُلُوا وَ اشْرَبُوا حَتَّى يَتَبَيَّنَ </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الموطوء أو أُنثى، بدعوى أنّ الغاية مربوطة أيضاً بقوله تعالى بَاشِرُوهُنَ فتدلّ الآية على المنع عن المباشرة نهاراً</w:t>
      </w:r>
      <w:r>
        <w:rPr>
          <w:rStyle w:val="FootnoteAnchor"/>
          <w:rtl w:val="true"/>
        </w:rPr>
        <w:footnoteReference w:id="704"/>
      </w:r>
      <w:r>
        <w:rPr>
          <w:rFonts w:ascii="Amiri" w:hAnsi="Amiri" w:eastAsia="Amiri" w:cs="Amiri"/>
          <w:color w:val="111111"/>
          <w:sz w:val="28"/>
          <w:sz w:val="28"/>
          <w:szCs w:val="28"/>
          <w:rtl w:val="true"/>
          <w:lang w:bidi="ar-SA"/>
        </w:rPr>
        <w:t>، فهو غير جيّد، محرّر تفصيله في كتابنا الكبير</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تخلّل قوله تعالى وَ ابْتَغُوا ما كَتَبَ اللَّهُ لَكُمْ</w:t>
      </w:r>
      <w:r>
        <w:rPr>
          <w:rStyle w:val="FootnoteAnchor"/>
          <w:rtl w:val="true"/>
        </w:rPr>
        <w:footnoteReference w:id="706"/>
      </w:r>
      <w:r>
        <w:rPr>
          <w:rFonts w:ascii="Amiri" w:hAnsi="Amiri" w:eastAsia="Amiri" w:cs="Amiri"/>
          <w:color w:val="111111"/>
          <w:sz w:val="28"/>
          <w:sz w:val="28"/>
          <w:szCs w:val="28"/>
          <w:rtl w:val="true"/>
          <w:lang w:bidi="ar-SA"/>
        </w:rPr>
        <w:t>يكفي لصرف الغاية عنه، و اختصاصها بالجملة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فالجماع في الجملة ممّا لا شائبة خلاف فيه، و أمّا فروعه فتأتي في التعاليق الآتية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 الإجماع المحكي على الملازمة بين موجب الغسل، و مبطل الصوم</w:t>
      </w:r>
      <w:r>
        <w:rPr>
          <w:rStyle w:val="FootnoteAnchor"/>
          <w:rtl w:val="true"/>
        </w:rPr>
        <w:footnoteReference w:id="707"/>
      </w:r>
      <w:r>
        <w:rPr>
          <w:rFonts w:ascii="Amiri" w:hAnsi="Amiri" w:eastAsia="Amiri" w:cs="Amiri"/>
          <w:color w:val="111111"/>
          <w:sz w:val="28"/>
          <w:sz w:val="28"/>
          <w:szCs w:val="28"/>
          <w:rtl w:val="true"/>
          <w:lang w:bidi="ar-SA"/>
        </w:rPr>
        <w:t>، و لكنّه اصطياد و ليس بتمام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هو الأقرب دلالة الأخبار الناهية و الزاجرة عن النكاح</w:t>
      </w:r>
      <w:r>
        <w:rPr>
          <w:rStyle w:val="FootnoteAnchor"/>
          <w:rtl w:val="true"/>
        </w:rPr>
        <w:footnoteReference w:id="70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يكفيك من بينها معتبر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تمضمض الصائم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له مفطر مثل الأكل و الشرب و النكاح</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المناقشة في صدق النكاح</w:t>
      </w:r>
      <w:r>
        <w:rPr>
          <w:rStyle w:val="FootnoteAnchor"/>
          <w:rtl w:val="true"/>
        </w:rPr>
        <w:footnoteReference w:id="710"/>
      </w:r>
      <w:r>
        <w:rPr>
          <w:rFonts w:ascii="Amiri" w:hAnsi="Amiri" w:eastAsia="Amiri" w:cs="Amiri"/>
          <w:color w:val="111111"/>
          <w:sz w:val="28"/>
          <w:sz w:val="28"/>
          <w:szCs w:val="28"/>
          <w:rtl w:val="true"/>
          <w:lang w:bidi="ar-SA"/>
        </w:rPr>
        <w:t>غير نقيّة، بعد كون المراد هو الدخول، مع صدقه على نكاح البهائم، و لا يتوقّف المنع على صدق الجماع، بل ليس في ظاهر الكتاب و الأخبار عنوان الجماع، مورد النظر، إلّا أنّه قد ورد في طي بعض الأخبار</w:t>
      </w:r>
      <w:r>
        <w:rPr>
          <w:rStyle w:val="FootnoteAnchor"/>
          <w:rtl w:val="true"/>
        </w:rPr>
        <w:footnoteReference w:id="711"/>
      </w:r>
      <w:r>
        <w:rPr>
          <w:rFonts w:ascii="Amiri" w:hAnsi="Amiri" w:eastAsia="Amiri" w:cs="Amiri"/>
          <w:color w:val="111111"/>
          <w:sz w:val="28"/>
          <w:sz w:val="28"/>
          <w:szCs w:val="28"/>
          <w:rtl w:val="true"/>
          <w:lang w:bidi="ar-SA"/>
        </w:rPr>
        <w:t>، و على كلّ تقدير يكفي صدق النكاح بعد كون النسبة بينهما مثبتين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مفهوم معتبر ابن مسلم</w:t>
      </w:r>
      <w:r>
        <w:rPr>
          <w:rStyle w:val="FootnoteAnchor"/>
          <w:rtl w:val="true"/>
        </w:rPr>
        <w:footnoteReference w:id="712"/>
      </w:r>
      <w:r>
        <w:rPr>
          <w:rFonts w:ascii="Amiri" w:hAnsi="Amiri" w:eastAsia="Amiri" w:cs="Amiri"/>
          <w:color w:val="111111"/>
          <w:sz w:val="28"/>
          <w:sz w:val="28"/>
          <w:szCs w:val="28"/>
          <w:rtl w:val="true"/>
          <w:lang w:bidi="ar-SA"/>
        </w:rPr>
        <w:t>، يوجب حصر المبطل بترك الاجتناب عن النساء، فيلزم التقييد و لو كان بينهما العموم من وجه، و لكنّك أحطت خبراً بعدم المفهوم له،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إنساناً أو حيواناً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قبلًا أو دبراً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إجماعاً راجعاً إلى الإجماع السابق، فلا يكون مفطراً بما هو هو؛ لأنّ المعروف في تلك المسألة شرطيّة الإنزال، فالمستند ما مرّ من صدق النكاح، و لا وجه لدعوى الانصراف</w:t>
      </w:r>
      <w:r>
        <w:rPr>
          <w:rStyle w:val="FootnoteAnchor"/>
          <w:rtl w:val="true"/>
        </w:rPr>
        <w:footnoteReference w:id="713"/>
      </w:r>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معتبر ابن مسلم الأسبق يفسّر المراد من النكاح، و يكون منشأً للانصراف في محيط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دبر النساء فلإطلاق معتبر ابن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الغريب توهّم دلالة ما رواه الشيخ عن بعض الكوفيين، يرفعه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ذكره على ما نحن فيه</w:t>
      </w:r>
      <w:r>
        <w:rPr>
          <w:rStyle w:val="FootnoteAnchor"/>
          <w:rtl w:val="true"/>
        </w:rPr>
        <w:footnoteReference w:id="714"/>
      </w:r>
      <w:r>
        <w:rPr>
          <w:rFonts w:ascii="Amiri" w:hAnsi="Amiri" w:eastAsia="Amiri" w:cs="Amiri"/>
          <w:color w:val="111111"/>
          <w:sz w:val="28"/>
          <w:sz w:val="28"/>
          <w:szCs w:val="28"/>
          <w:rtl w:val="true"/>
          <w:lang w:bidi="ar-SA"/>
        </w:rPr>
        <w:t>، فإنّها و ما يرجع إليها في حكم الصائمة الموطوءة، لا الصائم الواطئ في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المناقشة هو الانصراف،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ممنوع، مع أنّه لم يحك عليه خلاف من أحد من السلف و الخلف</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دبر الحيوان فهو و قبله بحكم واحد كما مرّ وجه الإشكال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 أو ميّتاً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صغيراً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كبيراً، واطئاً كان الصائم أو موطوءاً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مرّ و دعوى أنّه ليس من الجماع و لا النكاح، لو كانت مسموعة، و لكن خلاف الاجتناب اللازم عليه إذا كان الميّت من النساء، و لا بأس في صورة الشكّ من حديث الاستصحاب،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يكون الوطء مع الزوجة الصغيرة من الإفطار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أنّها ليست من النساء و لو كانت مسموعة، إلّا أنّ صدق النكاح و الجماع كافٍ، و في هذا و أمثاله وجه لدعوى القطع بالحكم، و لو كان القياس ممنوعاً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موطوءاً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إشكال؛ لأنّ النساء مورد وجوب الاجتناب للصائم، فكون صومهنّ باطلًا بمعتبر محمّد بن مسلم</w:t>
      </w:r>
      <w:r>
        <w:rPr>
          <w:rStyle w:val="FootnoteAnchor"/>
          <w:rtl w:val="true"/>
        </w:rPr>
        <w:footnoteReference w:id="715"/>
      </w:r>
      <w:r>
        <w:rPr>
          <w:rFonts w:ascii="Amiri" w:hAnsi="Amiri" w:eastAsia="Amiri" w:cs="Amiri"/>
          <w:color w:val="111111"/>
          <w:sz w:val="28"/>
          <w:sz w:val="28"/>
          <w:szCs w:val="28"/>
          <w:rtl w:val="true"/>
          <w:lang w:bidi="ar-SA"/>
        </w:rPr>
        <w:t>ممنوع جدّاً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 ذلك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716"/>
      </w:r>
      <w:r>
        <w:rPr>
          <w:rFonts w:ascii="IRNazanin" w:hAnsi="IRNazanin" w:eastAsia="IRNazanin"/>
          <w:color w:val="111111"/>
          <w:sz w:val="28"/>
          <w:sz w:val="28"/>
          <w:szCs w:val="28"/>
          <w:rtl w:val="true"/>
          <w:lang w:bidi="fa-IR"/>
        </w:rPr>
        <w:t>السابق</w:t>
      </w:r>
      <w:r>
        <w:rPr>
          <w:rStyle w:val="FootnoteAnchor"/>
          <w:rtl w:val="true"/>
        </w:rPr>
        <w:footnoteReference w:id="717"/>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 xml:space="preserve">فتعمّد ذلك مبطل و إن لم ينزل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يأتي المرأة في دبرها و هي صائمة؟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صومها، و ليس عليها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 الخبر الآخر</w:t>
      </w:r>
      <w:r>
        <w:rPr>
          <w:rStyle w:val="FootnoteAnchor"/>
          <w:rtl w:val="true"/>
        </w:rPr>
        <w:footnoteReference w:id="718"/>
      </w:r>
      <w:r>
        <w:rPr>
          <w:rFonts w:ascii="Amiri" w:hAnsi="Amiri" w:eastAsia="Amiri" w:cs="Amiri"/>
          <w:color w:val="111111"/>
          <w:sz w:val="28"/>
          <w:sz w:val="28"/>
          <w:szCs w:val="28"/>
          <w:rtl w:val="true"/>
          <w:lang w:bidi="ar-SA"/>
        </w:rPr>
        <w:t>، و لعلّهما واحد كما هو الأظهر، فلولا ضعفهما الذاتي، و ذهاب الأُمّة إلى بطلان صوم الموطوء على الإطلاق، كان هنا وجه للمنع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بطلان صوم الرجل الموطوء فيستظهر من الوجوه السابقة؛ ضرورة أنّ النكاح الممنوع يشمل الفروض حتّى فرض موطوئيّة الصغير 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يظهر ضعف تمايل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المناقشة في مفطريّة الوطي دبراً</w:t>
      </w:r>
      <w:r>
        <w:rPr>
          <w:rStyle w:val="FootnoteAnchor"/>
          <w:rtl w:val="true"/>
        </w:rPr>
        <w:footnoteReference w:id="719"/>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ينزل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إجماعاً في الجملة</w:t>
      </w:r>
      <w:r>
        <w:rPr>
          <w:rStyle w:val="FootnoteAnchor"/>
          <w:rtl w:val="true"/>
        </w:rPr>
        <w:footnoteReference w:id="720"/>
      </w:r>
      <w:r>
        <w:rPr>
          <w:rFonts w:ascii="Amiri" w:hAnsi="Amiri" w:eastAsia="Amiri" w:cs="Amiri"/>
          <w:color w:val="111111"/>
          <w:sz w:val="28"/>
          <w:sz w:val="28"/>
          <w:szCs w:val="28"/>
          <w:rtl w:val="true"/>
          <w:lang w:bidi="ar-SA"/>
        </w:rPr>
        <w:t>، و هو مقتضى الإطلاقات المستفادة منها مضرّيّة مباشرة النساء و النكاح و الجماع</w:t>
      </w:r>
      <w:r>
        <w:rPr>
          <w:rStyle w:val="FootnoteAnchor"/>
          <w:rtl w:val="true"/>
        </w:rPr>
        <w:footnoteReference w:id="721"/>
      </w:r>
      <w:r>
        <w:rPr>
          <w:rFonts w:ascii="Amiri" w:hAnsi="Amiri" w:eastAsia="Amiri" w:cs="Amiri"/>
          <w:color w:val="111111"/>
          <w:sz w:val="28"/>
          <w:sz w:val="28"/>
          <w:szCs w:val="28"/>
          <w:rtl w:val="true"/>
          <w:lang w:bidi="ar-SA"/>
        </w:rPr>
        <w:t>، و المناقشة فيها ناشئة عمّا</w:t>
      </w:r>
    </w:p>
    <w:p>
      <w:pPr>
        <w:pStyle w:val="BookText"/>
        <w:rPr/>
      </w:pPr>
      <w:r>
        <w:rPr>
          <w:rFonts w:ascii="Amiri" w:hAnsi="Amiri" w:eastAsia="Amiri" w:cs="Amiri"/>
          <w:color w:val="111111"/>
          <w:sz w:val="28"/>
          <w:sz w:val="28"/>
          <w:szCs w:val="28"/>
          <w:rtl w:val="true"/>
          <w:lang w:bidi="ar-SA"/>
        </w:rPr>
        <w:t xml:space="preserve">و لا يبطل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النسيان أو القهر السالب للاختيار، دون الإكراه فإنّه مبطل أيضاً، فإن جامع نسياناً أو قهراً فتذكّر أو ارتفع القهر في الأثناء، وجب الإخراج فوراً، فإن تراخى بطل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قصد التفخيذ مثلًا فدخل بلا قصد لم يبطل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قصد الإدخال و لم يتحقّق، لما مرّ من عدم مفطريّة قصد المفطر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يرجع إلى المناقشة في الوطي قبلًا و إن لم ينزل، و لا فرق بين الفروع في شمول الأدلّة حسب الأظهر، و هو المناسب في المقام، و تقتضيه مناسبة الحكم و الموضوع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سيظهر وجهه في المسألة الثامنة عشرة و هكذا وجه بطلان صوم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بطل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الوجوب فلما مرّ، و أمّا البطلان فلأنّ الاجتناب عن النساء لا يحصل إلّا بمثله في مفروض المسألة، و لو تراخى وجب الإخراج أيضاً على الأحوط، حسب لزوم ترك المفطّرات على المفطر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لكونه عن غير عمد أو لعدم صدق النكاح و الجماع،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الإدخال بعنوانه من المفطرات، فما هو مورد البحث هو قصد</w:t>
      </w:r>
    </w:p>
    <w:p>
      <w:pPr>
        <w:pStyle w:val="BookText"/>
        <w:rPr/>
      </w:pPr>
      <w:r>
        <w:rPr>
          <w:rFonts w:ascii="Amiri" w:hAnsi="Amiri" w:eastAsia="Amiri" w:cs="Amiri"/>
          <w:color w:val="111111"/>
          <w:sz w:val="28"/>
          <w:sz w:val="28"/>
          <w:szCs w:val="28"/>
          <w:rtl w:val="true"/>
          <w:lang w:bidi="ar-SA"/>
        </w:rPr>
        <w:t xml:space="preserve">و يتحقّق الجماع بغيبوبة الحشفة أو مقدارها، بل لا يبعد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مسمّى الدخول في المقطوع و إن لم يكن بمقدارها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المفطر، و قد مرّ</w:t>
      </w:r>
      <w:r>
        <w:rPr>
          <w:rStyle w:val="FootnoteAnchor"/>
          <w:rtl w:val="true"/>
        </w:rPr>
        <w:footnoteReference w:id="722"/>
      </w:r>
      <w:r>
        <w:rPr>
          <w:rFonts w:ascii="Amiri" w:hAnsi="Amiri" w:eastAsia="Amiri" w:cs="Amiri"/>
          <w:color w:val="111111"/>
          <w:sz w:val="28"/>
          <w:sz w:val="28"/>
          <w:szCs w:val="28"/>
          <w:rtl w:val="true"/>
          <w:lang w:bidi="ar-SA"/>
        </w:rPr>
        <w:t>ما يتعلّق به، و قوّينا في محلّه التفصيل بين مثل قصد الأكل و الشرب و بين مثل قصد الكذبة و الاحتقان، فإنّ الأوّل من قصد المفطر بخلاف الثاني، لعدم إمكان اعتبار المفطر إلّا برجوعه إلى اشتراط تركه في المأمور به،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يبعد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إبطال مسمّى الدخول و لو في غير المقطوع، و ذلك لإطلاق معتبر ابن مسلم</w:t>
      </w:r>
      <w:r>
        <w:rPr>
          <w:rStyle w:val="FootnoteAnchor"/>
          <w:rtl w:val="true"/>
        </w:rPr>
        <w:footnoteReference w:id="723"/>
      </w:r>
      <w:r>
        <w:rPr>
          <w:rFonts w:ascii="Amiri" w:hAnsi="Amiri" w:eastAsia="Amiri" w:cs="Amiri"/>
          <w:color w:val="111111"/>
          <w:sz w:val="28"/>
          <w:sz w:val="28"/>
          <w:szCs w:val="28"/>
          <w:rtl w:val="true"/>
          <w:lang w:bidi="ar-SA"/>
        </w:rPr>
        <w:t>ضرورة أنّه ينافي الاجتناب عن النساء</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أشكل الأمر في صدق الجماع و النكاح لأجل استفادة الحدّ الشرعي ممّا ورد في موجب الغسل، و هو التقاء الختانين</w:t>
      </w:r>
      <w:r>
        <w:rPr>
          <w:rStyle w:val="FootnoteAnchor"/>
          <w:rtl w:val="true"/>
        </w:rPr>
        <w:footnoteReference w:id="724"/>
      </w:r>
      <w:r>
        <w:rPr>
          <w:rFonts w:ascii="Amiri" w:hAnsi="Amiri" w:eastAsia="Amiri" w:cs="Amiri"/>
          <w:color w:val="111111"/>
          <w:sz w:val="28"/>
          <w:sz w:val="28"/>
          <w:szCs w:val="28"/>
          <w:rtl w:val="true"/>
          <w:lang w:bidi="ar-SA"/>
        </w:rPr>
        <w:t>، فلا محلّ للإشكال في الإطلاق المذكور، مع أنّ الاستفادة المزبورة غير واضحة جدّاً، لعدم الملازمة بين المسألتين</w:t>
      </w:r>
      <w:r>
        <w:rPr>
          <w:rFonts w:eastAsia="Amiri" w:cs="Amiri" w:ascii="Amiri" w:hAnsi="Amiri"/>
          <w:color w:val="111111"/>
          <w:sz w:val="28"/>
          <w:szCs w:val="28"/>
          <w:rtl w:val="true"/>
          <w:lang w:bidi="ar-SA"/>
        </w:rPr>
        <w:t>.</w:t>
      </w:r>
      <w:bookmarkStart w:id="171" w:name="pg12366_123105"/>
    </w:p>
    <w:p>
      <w:pPr>
        <w:pStyle w:val="Heading4"/>
        <w:numPr>
          <w:ilvl w:val="3"/>
          <w:numId w:val="1"/>
        </w:numPr>
        <w:rPr/>
      </w:pPr>
      <w:bookmarkStart w:id="172" w:name="__RefHeading___Toc8896039_417432637"/>
      <w:bookmarkStart w:id="173" w:name="_Toc63"/>
      <w:bookmarkEnd w:id="171"/>
      <w:bookmarkEnd w:id="172"/>
      <w:r>
        <w:rPr>
          <w:rtl w:val="true"/>
        </w:rPr>
        <w:t>[</w:t>
      </w:r>
      <w:r>
        <w:rPr>
          <w:rtl w:val="true"/>
        </w:rPr>
        <w:t>الرابع</w:t>
      </w:r>
      <w:r>
        <w:rPr>
          <w:rtl w:val="true"/>
        </w:rPr>
        <w:t xml:space="preserve">: </w:t>
      </w:r>
      <w:r>
        <w:rPr>
          <w:rtl w:val="true"/>
        </w:rPr>
        <w:t>إنزال المني</w:t>
      </w:r>
      <w:r>
        <w:rPr>
          <w:rtl w:val="true"/>
        </w:rPr>
        <w:t>]</w:t>
      </w:r>
      <w:bookmarkEnd w:id="173"/>
    </w:p>
    <w:p>
      <w:pPr>
        <w:pStyle w:val="Heading5"/>
        <w:numPr>
          <w:ilvl w:val="4"/>
          <w:numId w:val="1"/>
        </w:numPr>
        <w:rPr/>
      </w:pPr>
      <w:bookmarkStart w:id="174" w:name="__RefHeading___Toc8896041_417432637"/>
      <w:bookmarkStart w:id="175" w:name="_Toc64"/>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إنزال المني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الإجماع الناهض على الملازمة بين الموجب للغسل و المبطل</w:t>
      </w:r>
      <w:r>
        <w:rPr>
          <w:rStyle w:val="FootnoteAnchor"/>
          <w:rtl w:val="true"/>
        </w:rPr>
        <w:footnoteReference w:id="725"/>
      </w:r>
      <w:r>
        <w:rPr>
          <w:rFonts w:ascii="Amiri" w:hAnsi="Amiri" w:eastAsia="Amiri" w:cs="Amiri"/>
          <w:color w:val="111111"/>
          <w:sz w:val="28"/>
          <w:sz w:val="28"/>
          <w:szCs w:val="28"/>
          <w:rtl w:val="true"/>
          <w:lang w:bidi="ar-SA"/>
        </w:rPr>
        <w:t>فهو على أمر اصطيادي من الأخبار، و قد أشرنا إلى عدم تماميّته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إنزال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خلاف في الجملة، و عليه الإجماعات المحكيّة</w:t>
      </w:r>
      <w:r>
        <w:rPr>
          <w:rStyle w:val="FootnoteAnchor"/>
          <w:rtl w:val="true"/>
        </w:rPr>
        <w:footnoteReference w:id="726"/>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أجمع العلماء كافّة</w:t>
      </w:r>
      <w:r>
        <w:rPr>
          <w:rFonts w:eastAsia="Amiri" w:cs="Amiri" w:ascii="Amiri" w:hAnsi="Amiri"/>
          <w:color w:val="111111"/>
          <w:sz w:val="28"/>
          <w:szCs w:val="28"/>
          <w:rtl w:val="true"/>
          <w:lang w:bidi="ar-SA"/>
        </w:rPr>
        <w:t>»</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نظره إلى المخالفين،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قول مالك و الشافعيّ</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المناقشة في هذه المحكيّات بأنّها ليست تعبّديّة، لوجود بعض النصوص</w:t>
      </w:r>
      <w:r>
        <w:rPr>
          <w:rStyle w:val="FootnoteAnchor"/>
          <w:rtl w:val="true"/>
        </w:rPr>
        <w:footnoteReference w:id="730"/>
      </w:r>
      <w:r>
        <w:rPr>
          <w:rFonts w:ascii="Amiri" w:hAnsi="Amiri" w:eastAsia="Amiri" w:cs="Amiri"/>
          <w:color w:val="111111"/>
          <w:sz w:val="28"/>
          <w:sz w:val="28"/>
          <w:szCs w:val="28"/>
          <w:rtl w:val="true"/>
          <w:lang w:bidi="ar-SA"/>
        </w:rPr>
        <w:t>في المسألة، و المناقشة في تلك النصوص بعدم تماميّتها استناداً للحكم، موجبة لسريان الشكّ في أصل المفطّرية، و ذلك لأنّ حديث</w:t>
      </w:r>
    </w:p>
    <w:p>
      <w:pPr>
        <w:pStyle w:val="BookText"/>
        <w:rPr/>
      </w:pPr>
      <w:r>
        <w:rPr>
          <w:rFonts w:ascii="Amiri" w:hAnsi="Amiri" w:eastAsia="Amiri" w:cs="Amiri"/>
          <w:color w:val="111111"/>
          <w:sz w:val="28"/>
          <w:sz w:val="28"/>
          <w:szCs w:val="28"/>
          <w:rtl w:val="true"/>
          <w:lang w:bidi="ar-SA"/>
        </w:rPr>
        <w:t xml:space="preserve">باستمناء أو ملامسة أو قُبلة أو تفخيذ أو نحو ذلك من الأفعال الّتي يقصد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حصوله، وحدة موجب الغسل و المفطر غير تمام؛ لأنّ الاحتلام في النهار موجب للغسل و ليس بمفطر، و الإنزال العمدي بعده موجب للبطلان دون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معتبر ابن مسلم لا يشمل الاستمناء اليدويّة، و كذا معتبر عبد الرحمن ابن الحجّاج</w:t>
      </w:r>
      <w:r>
        <w:rPr>
          <w:rStyle w:val="FootnoteAnchor"/>
          <w:rtl w:val="true"/>
        </w:rPr>
        <w:footnoteReference w:id="731"/>
      </w:r>
      <w:r>
        <w:rPr>
          <w:rFonts w:ascii="Amiri" w:hAnsi="Amiri" w:eastAsia="Amiri" w:cs="Amiri"/>
          <w:color w:val="111111"/>
          <w:sz w:val="28"/>
          <w:sz w:val="28"/>
          <w:szCs w:val="28"/>
          <w:rtl w:val="true"/>
          <w:lang w:bidi="ar-SA"/>
        </w:rPr>
        <w:t>الوارد في العابث بأهله، فإنزال المنيّ باستمناء في مقابل الاستمناء بالملاعبة مع الأهل و غيره، لا يتبيّن مبطليّته إلّا دعوى القطع أو استفادة الحكم من الأخبار بإلغاء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غير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الإجماعات كأنّها ناظرة إلى لعب خاصّ، و هو الاستمناء على الوجوه المذكورة غير الوجه الأوّل، و لذلك ما تعرضت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يقصد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الأفعال المتعارفة في هذا الأمر، و تكون عاديّة نوعيّة، و إن لم يكن من العادة بالنسبة إلى شخص خاصّ، و هذا ظاهر العبارة إلّا أنّ المنظور ليس إلحاق غير المعتاد بالمعتاد</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مبطليّة الاستمناء بتلك الطرق تستفاد مضافاً إلى تلك</w:t>
      </w:r>
    </w:p>
    <w:p>
      <w:pPr>
        <w:pStyle w:val="BookText"/>
        <w:rPr/>
      </w:pPr>
      <w:r>
        <w:rPr>
          <w:rFonts w:ascii="Amiri" w:hAnsi="Amiri" w:eastAsia="Amiri" w:cs="Amiri"/>
          <w:color w:val="111111"/>
          <w:sz w:val="28"/>
          <w:sz w:val="28"/>
          <w:szCs w:val="28"/>
          <w:rtl w:val="true"/>
          <w:lang w:bidi="ar-SA"/>
        </w:rPr>
        <w:t>الإجماعات، من معتبر ابن مسلم، و إطلاقه يقتضي ترك كلّ هذه الأُمور إلّا ما قام الدليل على خلافه أو كان انصراف، لأجل أنّها تنافي الاجتناب عن النساء محلّلات كنّ أم 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معتبر ابن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يعبث بأهله في شهر رمضان حتّى يمني؟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من الكفّارة مثل ما على الّذي يجامع</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نظر، لأجل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تكون للغاية، بمعنى ما إليه الحركة، لا ما لأجله الحركة، و لازم ذلك البطلان و لو لم يكن قاصداً فيعارضه الأخبار الأُخر</w:t>
      </w:r>
      <w:r>
        <w:rPr>
          <w:rStyle w:val="FootnoteAnchor"/>
          <w:rtl w:val="true"/>
        </w:rPr>
        <w:footnoteReference w:id="733"/>
      </w:r>
      <w:r>
        <w:rPr>
          <w:rFonts w:ascii="Amiri" w:hAnsi="Amiri" w:eastAsia="Amiri" w:cs="Amiri"/>
          <w:color w:val="111111"/>
          <w:sz w:val="28"/>
          <w:sz w:val="28"/>
          <w:szCs w:val="28"/>
          <w:rtl w:val="true"/>
          <w:lang w:bidi="ar-SA"/>
        </w:rPr>
        <w:t>، بل تكون الرواية حينئذٍ معرضاً عنها،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صحّ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ضعف جميع أخبار هذه المسألة إلّا الخبر المذكور</w:t>
      </w:r>
      <w:r>
        <w:rPr>
          <w:rStyle w:val="FootnoteAnchor"/>
          <w:rtl w:val="true"/>
        </w:rPr>
        <w:footnoteReference w:id="734"/>
      </w:r>
      <w:r>
        <w:rPr>
          <w:rFonts w:ascii="Amiri" w:hAnsi="Amiri" w:eastAsia="Amiri" w:cs="Amiri"/>
          <w:color w:val="111111"/>
          <w:sz w:val="28"/>
          <w:sz w:val="28"/>
          <w:szCs w:val="28"/>
          <w:rtl w:val="true"/>
          <w:lang w:bidi="ar-SA"/>
        </w:rPr>
        <w:t>، فيلزم سقوط الكلّ، لأجل ما أُشير إليه، و لكنّه غير صحيح لما فيها المعتبر عندنا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معتبر ابن الحجّاج أيضاً إلّا أنّه مثله دلالة، و من معتبر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لزق بأهله فأنزل،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إطعام ستّين مسكيناً، مدّ</w:t>
      </w:r>
    </w:p>
    <w:p>
      <w:pPr>
        <w:pStyle w:val="BookText"/>
        <w:rPr/>
      </w:pPr>
      <w:r>
        <w:rPr>
          <w:rFonts w:ascii="Amiri" w:hAnsi="Amiri" w:eastAsia="Amiri" w:cs="Amiri"/>
          <w:color w:val="111111"/>
          <w:sz w:val="28"/>
          <w:sz w:val="28"/>
          <w:szCs w:val="28"/>
          <w:rtl w:val="true"/>
          <w:lang w:bidi="ar-SA"/>
        </w:rPr>
        <w:t xml:space="preserve">بل لو لم يقصد حصوله، و كان من عادته ذلك بالفعل المزبور، فهو مبطل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مسكين</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مقتضى إطلاقه أيضاً عدم اختصاص الحكم بصورة القصد، و حيث إنّ مقتضى الأدلّة الآتية في 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مبطليّة المفطّرات في غير حال العمد فيقيّد الإطلاقات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اللعب بالمرأة المنتهى إلى الإمناء و سبق الماء، يوجب الفساد، إلّا أنّ الظاهر من أخبارها</w:t>
      </w:r>
      <w:r>
        <w:rPr>
          <w:rStyle w:val="FootnoteAnchor"/>
          <w:rtl w:val="true"/>
        </w:rPr>
        <w:footnoteReference w:id="736"/>
      </w:r>
      <w:r>
        <w:rPr>
          <w:rFonts w:ascii="Amiri" w:hAnsi="Amiri" w:eastAsia="Amiri" w:cs="Amiri"/>
          <w:color w:val="111111"/>
          <w:sz w:val="28"/>
          <w:sz w:val="28"/>
          <w:szCs w:val="28"/>
          <w:rtl w:val="true"/>
          <w:lang w:bidi="ar-SA"/>
        </w:rPr>
        <w:t>اختصاص الفساد بصورة خاصّة، و هو اللّعب بالأفعال العاديّة دون مطلق الفعل، كما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مبطل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لطائفة من الأخبار كمعتبر زرارة و محمّد بن مسلم جميعاً،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هل يباشر الصائم أو يقبّل في شهر رمضان؟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أخاف عليه فليتنزّه من ذلك إلّا أن يثق أن لا يسبقه منيّه</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معتبر ابن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الصائم يقبّل</w:t>
      </w:r>
    </w:p>
    <w:p>
      <w:pPr>
        <w:pStyle w:val="BookText"/>
        <w:rPr/>
      </w:pPr>
      <w:r>
        <w:rPr>
          <w:rFonts w:ascii="Amiri" w:hAnsi="Amiri" w:eastAsia="Amiri" w:cs="Amiri"/>
          <w:color w:val="111111"/>
          <w:sz w:val="28"/>
          <w:sz w:val="28"/>
          <w:szCs w:val="28"/>
          <w:rtl w:val="true"/>
          <w:lang w:bidi="ar-SA"/>
        </w:rPr>
        <w:t>الجارية و المرأة؟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الشيخ الكبير مثلي و مثلك فلا بأس، و أمّا الشابّ الشبق فلا؛ لأنّه لا يؤمن، و القبلة إحدى الشهوتين</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قضيّة الأخبار الماضية و هذه المآثير، أنّ مجرّد الفعل غير كاف، بل لا بدّ و أن يكون منضمّاً إليه العادة، كما أنّ الفعل الذي هو الموجب بانضمام العادة، هو الفعل الخاصّ؛ لأنّه ممّا لا يؤمن منه، و لا يحصل فيه الوثوق و الاطمئنان فعند عدم حصول الوثوق لا بدّ من الاجتناب، و في ما كان الفعل ممّا يتعارف انتهائه إلى الإمناء لا يكون وثوق عادة و نوعاً، إذا كان من عادته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مع الاعتياد لا يبعد صدق العمد عليه، و يعدّ من سوء الاختيار و الإهمال فيناسب حينئذٍ العمل بإطلاق ما مرّ من مثل معتبر ابن الحجّاج</w:t>
      </w:r>
      <w:r>
        <w:rPr>
          <w:rStyle w:val="FootnoteAnchor"/>
          <w:rtl w:val="true"/>
        </w:rPr>
        <w:footnoteReference w:id="739"/>
      </w:r>
      <w:r>
        <w:rPr>
          <w:rFonts w:ascii="Amiri" w:hAnsi="Amiri" w:eastAsia="Amiri" w:cs="Amiri"/>
          <w:color w:val="111111"/>
          <w:sz w:val="28"/>
          <w:sz w:val="28"/>
          <w:szCs w:val="28"/>
          <w:rtl w:val="true"/>
          <w:lang w:bidi="ar-SA"/>
        </w:rPr>
        <w:t>و غيره</w:t>
      </w:r>
      <w:r>
        <w:rPr>
          <w:rStyle w:val="FootnoteAnchor"/>
          <w:rtl w:val="true"/>
        </w:rPr>
        <w:footnoteReference w:id="740"/>
      </w:r>
      <w:r>
        <w:rPr>
          <w:rFonts w:ascii="Amiri" w:hAnsi="Amiri" w:eastAsia="Amiri" w:cs="Amiri"/>
          <w:color w:val="111111"/>
          <w:sz w:val="28"/>
          <w:sz w:val="28"/>
          <w:szCs w:val="28"/>
          <w:rtl w:val="true"/>
          <w:lang w:bidi="ar-SA"/>
        </w:rPr>
        <w:t>الناطق بالكفّارة على الإطلاق</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يناقش،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الحكم بطائفة من الأخبار الصريحة في جواز ذلك في شهر رمضان مطلقاً، و أحسنها سنداً و دلالةً،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لصق بأهله في شهر رمضان فأمنى، لم يكن</w:t>
      </w:r>
    </w:p>
    <w:p>
      <w:pPr>
        <w:pStyle w:val="BookText"/>
        <w:rPr/>
      </w:pPr>
      <w:r>
        <w:rPr>
          <w:rFonts w:ascii="Amiri" w:hAnsi="Amiri" w:eastAsia="Amiri" w:cs="Amiri"/>
          <w:color w:val="111111"/>
          <w:sz w:val="28"/>
          <w:sz w:val="28"/>
          <w:szCs w:val="28"/>
          <w:rtl w:val="true"/>
          <w:lang w:bidi="ar-SA"/>
        </w:rPr>
        <w:t>عليه شي‌ء</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أنها لأجل ما سبق، و لضعف السند عندنا، و لعدم إمكان العمل بمضمونه، محمول على صورة عدم القصد أو عدم الاعتياد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الأخبار السابقة على المبطليّة غير واضحة، فيجوز أن يكون مكروهاً، و لكنّه بعيد إنصافاً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الأفعال الخاصّة ففي خبر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وضع يده على شي‌ء من جسد امرأته فأدفق؟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كفّارته أن يصوم شهرين متتابعين </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 فإنّه صريح في أنّ فعلًا ما يكفي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يقيّد إطلاقه بصورة العمد، و بما إذا لم يكن مأموناً، فلو كان يؤمن عليه، فلا بأس به لما مرّ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يضعّف الخبر أو يقيّد بصورة القصد، و لعمري أنّ هذه المسألة متشتّت الأخبار، و مضطرب الآثار، و تنقيحها يوجب الخروج عن وضع الكتاب الّذي هو على الاختصار، و لها موقف آخر، من شاء فليراجع</w:t>
      </w:r>
    </w:p>
    <w:p>
      <w:pPr>
        <w:pStyle w:val="BookText"/>
        <w:rPr/>
      </w:pPr>
      <w:r>
        <w:rPr>
          <w:rFonts w:ascii="Amiri" w:hAnsi="Amiri" w:eastAsia="Amiri" w:cs="Amiri"/>
          <w:color w:val="111111"/>
          <w:sz w:val="28"/>
          <w:sz w:val="28"/>
          <w:szCs w:val="28"/>
          <w:rtl w:val="true"/>
          <w:lang w:bidi="ar-SA"/>
        </w:rPr>
        <w:t>نعم، لو سبقه المنيّ من دون إيجاد شي‌ء يترتّب عليه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من جهة عادته من دون قصد له لم يكن مبطلًا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 الكبير</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مبطلًا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نظراً إلى أنّه من غير العمد موضوعاً، و غير لاحق به حسب الأخبار السابقة؛ لأنّ المفروض عدم اعتياده به</w:t>
      </w:r>
      <w:r>
        <w:rPr>
          <w:rFonts w:eastAsia="Amiri" w:cs="Amiri" w:ascii="Amiri" w:hAnsi="Amiri"/>
          <w:color w:val="111111"/>
          <w:sz w:val="28"/>
          <w:szCs w:val="28"/>
          <w:rtl w:val="true"/>
          <w:lang w:bidi="ar-SA"/>
        </w:rPr>
        <w:t>.</w:t>
      </w:r>
      <w:bookmarkStart w:id="176" w:name="pg12366_123112"/>
    </w:p>
    <w:p>
      <w:pPr>
        <w:pStyle w:val="Heading5"/>
        <w:numPr>
          <w:ilvl w:val="4"/>
          <w:numId w:val="1"/>
        </w:numPr>
        <w:rPr/>
      </w:pPr>
      <w:bookmarkStart w:id="177" w:name="__RefHeading___Toc8896043_417432637"/>
      <w:bookmarkStart w:id="178" w:name="_Toc65"/>
      <w:bookmarkEnd w:id="176"/>
      <w:bookmarkEnd w:id="177"/>
      <w:r>
        <w:rPr>
          <w:rtl w:val="true"/>
        </w:rPr>
        <w:t>[</w:t>
      </w:r>
      <w:r>
        <w:rPr>
          <w:rtl w:val="true"/>
        </w:rPr>
        <w:t xml:space="preserve">مسألة </w:t>
      </w:r>
      <w:r>
        <w:rPr/>
        <w:t>3</w:t>
      </w:r>
      <w:r>
        <w:rPr>
          <w:rtl w:val="true"/>
        </w:rPr>
        <w:t xml:space="preserve">: </w:t>
      </w:r>
      <w:r>
        <w:rPr>
          <w:rtl w:val="true"/>
        </w:rPr>
        <w:t>لا بأس بالاستبراء بالبول أو الخرطات لمن احتلم في النهار</w:t>
      </w:r>
      <w:r>
        <w:rPr>
          <w:rtl w:val="true"/>
        </w:rPr>
        <w:t>]</w:t>
      </w:r>
      <w:bookmarkEnd w:id="17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بالاستبراء بالبول أو الخرطات لمن احتلم في النهار، و إن علم بخروج بقايا المنيّ الذي في المجرى إذا كان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الغسل من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الاستبراء بعده، فمع العلم بحدوث جنابة جديدة فالأحوط تركه، بل لا يخلو لزومه من قوّة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حصول الجنابة الجديدة حتّى يقال بأنّ الإمناء الموجب للغسل مبطل بالإجماع السابق تنقيحه و حدّه</w:t>
      </w:r>
      <w:r>
        <w:rPr>
          <w:rStyle w:val="FootnoteAnchor"/>
          <w:rtl w:val="true"/>
        </w:rPr>
        <w:footnoteReference w:id="744"/>
      </w:r>
      <w:r>
        <w:rPr>
          <w:rFonts w:ascii="Amiri" w:hAnsi="Amiri" w:eastAsia="Amiri" w:cs="Amiri"/>
          <w:color w:val="111111"/>
          <w:sz w:val="28"/>
          <w:sz w:val="28"/>
          <w:szCs w:val="28"/>
          <w:rtl w:val="true"/>
          <w:lang w:bidi="ar-SA"/>
        </w:rPr>
        <w:t>، و لعدم كفاية الأدلّة اللّبيّة و اللفظيّة عن منعه لو لم تكن السيرة الإجماليّة، و لا سيّما بالبول،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نظراً إلى إجماع السلف، و قد عرفت بما لا مزيد عليه، فلا فرق بين الصورتين في الحكم على الأظهر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أنّه من الإمناء العمدي الممنوع</w:t>
      </w:r>
      <w:r>
        <w:rPr>
          <w:rStyle w:val="FootnoteAnchor"/>
          <w:rtl w:val="true"/>
        </w:rPr>
        <w:footnoteReference w:id="745"/>
      </w:r>
      <w:r>
        <w:rPr>
          <w:rFonts w:ascii="Amiri" w:hAnsi="Amiri" w:eastAsia="Amiri" w:cs="Amiri"/>
          <w:color w:val="111111"/>
          <w:sz w:val="28"/>
          <w:sz w:val="28"/>
          <w:szCs w:val="28"/>
          <w:rtl w:val="true"/>
          <w:lang w:bidi="ar-SA"/>
        </w:rPr>
        <w:t>، و لو صحّ فهو أيضاً يوجب عدم الفرق بين الصورتين، مع ما عرفت من قصور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التحفّظ من خروج المنيّ بعد الإنزال إن استيقظ قبله، خصوصاً مع الحرج و الإضرار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شرطيّاً فيصحّ صومه لما مرّ، و لو أمكن الالتزام بوجوبه تكليفاً أو حرمة إدامة الخروج، نظراً إلى أنّه من الاستمناء الممنوع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استشكل بعضهم في المسألة في كتاب الطهارة</w:t>
      </w:r>
      <w:r>
        <w:rPr>
          <w:rStyle w:val="FootnoteAnchor"/>
          <w:rtl w:val="true"/>
        </w:rPr>
        <w:footnoteReference w:id="746"/>
      </w:r>
      <w:r>
        <w:rPr>
          <w:rFonts w:ascii="Amiri" w:hAnsi="Amiri" w:eastAsia="Amiri" w:cs="Amiri"/>
          <w:color w:val="111111"/>
          <w:sz w:val="28"/>
          <w:sz w:val="28"/>
          <w:szCs w:val="28"/>
          <w:rtl w:val="true"/>
          <w:lang w:bidi="ar-SA"/>
        </w:rPr>
        <w:t>، و لعمري أنّ أمثال هذه التوهّمات غير لائق بأمثال فقهائنا رضوان اللَّه تعالى عليهم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تمّ الفراغ يوم الثلاثاء من الأُسبوع الأخير من شهر رمضان لعام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 في النجف الأشرف على صاحبها آلاف الثناء و التحيّة، و نسأل اللَّه أن يوفّقنا لإتمامه في سائر شهور الصيام إن شاء اللَّه تعالى</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bookmarkStart w:id="179" w:name="pg12366_123114"/>
    </w:p>
    <w:p>
      <w:pPr>
        <w:pStyle w:val="Heading4"/>
        <w:numPr>
          <w:ilvl w:val="3"/>
          <w:numId w:val="1"/>
        </w:numPr>
        <w:rPr/>
      </w:pPr>
      <w:bookmarkStart w:id="180" w:name="__RefHeading___Toc8896045_417432637"/>
      <w:bookmarkStart w:id="181" w:name="_Toc66"/>
      <w:bookmarkEnd w:id="179"/>
      <w:bookmarkEnd w:id="180"/>
      <w:r>
        <w:rPr>
          <w:rtl w:val="true"/>
        </w:rPr>
        <w:t>[</w:t>
      </w:r>
      <w:r>
        <w:rPr>
          <w:rtl w:val="true"/>
        </w:rPr>
        <w:t>السادس</w:t>
      </w:r>
      <w:r>
        <w:rPr>
          <w:rtl w:val="true"/>
        </w:rPr>
        <w:t xml:space="preserve">: </w:t>
      </w:r>
      <w:r>
        <w:rPr>
          <w:rtl w:val="true"/>
        </w:rPr>
        <w:t>تعمّد الكذب على اللَّه تعالى و رسوله</w:t>
      </w:r>
      <w:r>
        <w:rPr>
          <w:rtl w:val="true"/>
        </w:rPr>
        <w:t>]</w:t>
      </w:r>
      <w:bookmarkEnd w:id="181"/>
    </w:p>
    <w:p>
      <w:pPr>
        <w:pStyle w:val="Heading5"/>
        <w:numPr>
          <w:ilvl w:val="4"/>
          <w:numId w:val="1"/>
        </w:numPr>
        <w:rPr/>
      </w:pPr>
      <w:bookmarkStart w:id="182" w:name="__RefHeading___Toc8896047_417432637"/>
      <w:bookmarkStart w:id="183" w:name="_Toc67"/>
      <w:bookmarkEnd w:id="182"/>
      <w:r>
        <w:rPr>
          <w:rtl w:val="true"/>
        </w:rPr>
        <w:t>اشارة</w:t>
      </w:r>
      <w:bookmarkEnd w:id="183"/>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تعالى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المشهور بين القدماء</w:t>
      </w:r>
      <w:r>
        <w:rPr>
          <w:rStyle w:val="FootnoteAnchor"/>
          <w:rtl w:val="true"/>
        </w:rPr>
        <w:footnoteReference w:id="748"/>
      </w:r>
      <w:r>
        <w:rPr>
          <w:rFonts w:ascii="Amiri" w:hAnsi="Amiri" w:eastAsia="Amiri" w:cs="Amiri"/>
          <w:color w:val="111111"/>
          <w:sz w:val="28"/>
          <w:sz w:val="28"/>
          <w:szCs w:val="28"/>
          <w:rtl w:val="true"/>
          <w:lang w:bidi="ar-SA"/>
        </w:rPr>
        <w:t>، و ادّعي عليه الإجماع مراراً</w:t>
      </w:r>
      <w:r>
        <w:rPr>
          <w:rStyle w:val="FootnoteAnchor"/>
          <w:rtl w:val="true"/>
        </w:rPr>
        <w:footnoteReference w:id="749"/>
      </w:r>
      <w:r>
        <w:rPr>
          <w:rFonts w:ascii="Amiri" w:hAnsi="Amiri" w:eastAsia="Amiri" w:cs="Amiri"/>
          <w:color w:val="111111"/>
          <w:sz w:val="28"/>
          <w:sz w:val="28"/>
          <w:szCs w:val="28"/>
          <w:rtl w:val="true"/>
          <w:lang w:bidi="ar-SA"/>
        </w:rPr>
        <w:t>، و نسب إلى العمانيّ</w:t>
      </w:r>
      <w:r>
        <w:rPr>
          <w:rStyle w:val="FootnoteAnchor"/>
          <w:rtl w:val="true"/>
        </w:rPr>
        <w:footnoteReference w:id="750"/>
      </w:r>
      <w:r>
        <w:rPr>
          <w:rFonts w:ascii="Amiri" w:hAnsi="Amiri" w:eastAsia="Amiri" w:cs="Amiri"/>
          <w:color w:val="111111"/>
          <w:sz w:val="28"/>
          <w:sz w:val="28"/>
          <w:szCs w:val="28"/>
          <w:rtl w:val="true"/>
          <w:lang w:bidi="ar-SA"/>
        </w:rPr>
        <w:t xml:space="preserve">و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w:t>
      </w:r>
      <w:r>
        <w:rPr>
          <w:rStyle w:val="FootnoteAnchor"/>
          <w:rtl w:val="true"/>
        </w:rPr>
        <w:footnoteReference w:id="751"/>
      </w:r>
      <w:r>
        <w:rPr>
          <w:rFonts w:ascii="Amiri" w:hAnsi="Amiri" w:eastAsia="Amiri" w:cs="Amiri"/>
          <w:color w:val="111111"/>
          <w:sz w:val="28"/>
          <w:sz w:val="28"/>
          <w:szCs w:val="28"/>
          <w:rtl w:val="true"/>
          <w:lang w:bidi="ar-SA"/>
        </w:rPr>
        <w:t>و إلى ابن إدريس</w:t>
      </w:r>
      <w:r>
        <w:rPr>
          <w:rStyle w:val="FootnoteAnchor"/>
          <w:rtl w:val="true"/>
        </w:rPr>
        <w:footnoteReference w:id="752"/>
      </w:r>
      <w:r>
        <w:rPr>
          <w:rFonts w:ascii="Amiri" w:hAnsi="Amiri" w:eastAsia="Amiri" w:cs="Amiri"/>
          <w:color w:val="111111"/>
          <w:sz w:val="28"/>
          <w:sz w:val="28"/>
          <w:szCs w:val="28"/>
          <w:rtl w:val="true"/>
          <w:lang w:bidi="ar-SA"/>
        </w:rPr>
        <w:t xml:space="preserve">، و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معتبرة</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و إلى جملة من المتأخّرين</w:t>
      </w:r>
      <w:r>
        <w:rPr>
          <w:rStyle w:val="FootnoteAnchor"/>
          <w:rtl w:val="true"/>
        </w:rPr>
        <w:footnoteReference w:id="754"/>
      </w:r>
      <w:r>
        <w:rPr>
          <w:rFonts w:ascii="IRNazanin" w:hAnsi="IRNazanin" w:eastAsia="IRNazanin"/>
          <w:color w:val="111111"/>
          <w:sz w:val="28"/>
          <w:sz w:val="28"/>
          <w:szCs w:val="28"/>
          <w:rtl w:val="true"/>
          <w:lang w:bidi="fa-IR"/>
        </w:rPr>
        <w:t>،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خالفهم أصحابنا المتأخّرين</w:t>
      </w:r>
      <w:r>
        <w:rPr>
          <w:rStyle w:val="FootnoteAnchor"/>
          <w:rtl w:val="true"/>
        </w:rPr>
        <w:footnoteReference w:id="755"/>
      </w:r>
      <w:r>
        <w:rPr>
          <w:rFonts w:ascii="Amiri" w:hAnsi="Amiri" w:eastAsia="Amiri" w:cs="Amiri"/>
          <w:color w:val="111111"/>
          <w:sz w:val="28"/>
          <w:sz w:val="28"/>
          <w:szCs w:val="28"/>
          <w:rtl w:val="true"/>
          <w:lang w:bidi="ar-SA"/>
        </w:rPr>
        <w:t>، نظراً إلى أنّ هذه المسألة من المسائل المبتلى بها جدّاً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يبعد استنادهم فيها إلى الأخبار حتى يناقش فيها سنداً أو دلالة، مع أنّه لم يثبت نسبة الخلاف إلى السيّد، و لا سيّما بعد دعواه الإجماع</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إنّه من المسائل التي انفردت بها الإماميّة، و خالفهم الجمهور</w:t>
      </w:r>
      <w:r>
        <w:rPr>
          <w:rStyle w:val="FootnoteAnchor"/>
          <w:rtl w:val="true"/>
        </w:rPr>
        <w:footnoteReference w:id="757"/>
      </w:r>
      <w:r>
        <w:rPr>
          <w:rFonts w:ascii="Amiri" w:hAnsi="Amiri" w:eastAsia="Amiri" w:cs="Amiri"/>
          <w:color w:val="111111"/>
          <w:sz w:val="28"/>
          <w:sz w:val="28"/>
          <w:szCs w:val="28"/>
          <w:rtl w:val="true"/>
          <w:lang w:bidi="ar-SA"/>
        </w:rPr>
        <w:t>، تكون الأخبار الظاهرة في أنّ الكذب ناقض الكمال لا الصحّة</w:t>
      </w:r>
      <w:r>
        <w:rPr>
          <w:rStyle w:val="FootnoteAnchor"/>
          <w:rtl w:val="true"/>
        </w:rPr>
        <w:footnoteReference w:id="758"/>
      </w:r>
      <w:r>
        <w:rPr>
          <w:rFonts w:ascii="Amiri" w:hAnsi="Amiri" w:eastAsia="Amiri" w:cs="Amiri"/>
          <w:color w:val="111111"/>
          <w:sz w:val="28"/>
          <w:sz w:val="28"/>
          <w:szCs w:val="28"/>
          <w:rtl w:val="true"/>
          <w:lang w:bidi="ar-SA"/>
        </w:rPr>
        <w:t>، محمولة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الأخبار معتبر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كذب في رمضان،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أفطر، و عليه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كذبته؟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يكذب على اللَّه و على رسوله صلّى اللَّه عليه و آله</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و دلالته واضحة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المناقشة فيها</w:t>
      </w:r>
      <w:r>
        <w:rPr>
          <w:rStyle w:val="FootnoteAnchor"/>
          <w:rtl w:val="true"/>
        </w:rPr>
        <w:footnoteReference w:id="760"/>
      </w:r>
      <w:r>
        <w:rPr>
          <w:rFonts w:ascii="Amiri" w:hAnsi="Amiri" w:eastAsia="Amiri" w:cs="Amiri"/>
          <w:color w:val="111111"/>
          <w:sz w:val="28"/>
          <w:sz w:val="28"/>
          <w:szCs w:val="28"/>
          <w:rtl w:val="true"/>
          <w:lang w:bidi="ar-SA"/>
        </w:rPr>
        <w:t>باشتمال بعض الأخبار على أنّ الكذبة تنقض الوضوء</w:t>
      </w:r>
      <w:r>
        <w:rPr>
          <w:rStyle w:val="FootnoteAnchor"/>
          <w:rtl w:val="true"/>
        </w:rPr>
        <w:footnoteReference w:id="761"/>
      </w:r>
      <w:r>
        <w:rPr>
          <w:rFonts w:ascii="Amiri" w:hAnsi="Amiri" w:eastAsia="Amiri" w:cs="Amiri"/>
          <w:color w:val="111111"/>
          <w:sz w:val="28"/>
          <w:sz w:val="28"/>
          <w:szCs w:val="28"/>
          <w:rtl w:val="true"/>
          <w:lang w:bidi="ar-SA"/>
        </w:rPr>
        <w:t>، و أنّ الغيبة مفطر</w:t>
      </w:r>
      <w:r>
        <w:rPr>
          <w:rStyle w:val="FootnoteAnchor"/>
          <w:rtl w:val="true"/>
        </w:rPr>
        <w:footnoteReference w:id="762"/>
      </w:r>
      <w:r>
        <w:rPr>
          <w:rFonts w:ascii="Amiri" w:hAnsi="Amiri" w:eastAsia="Amiri" w:cs="Amiri"/>
          <w:color w:val="111111"/>
          <w:sz w:val="28"/>
          <w:sz w:val="28"/>
          <w:szCs w:val="28"/>
          <w:rtl w:val="true"/>
          <w:lang w:bidi="ar-SA"/>
        </w:rPr>
        <w:t>، و أنّ النظرة و الظلم مفطر</w:t>
      </w:r>
      <w:r>
        <w:rPr>
          <w:rStyle w:val="FootnoteAnchor"/>
          <w:rtl w:val="true"/>
        </w:rPr>
        <w:footnoteReference w:id="76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أمثاله</w:t>
      </w:r>
      <w:r>
        <w:rPr>
          <w:rStyle w:val="FootnoteAnchor"/>
          <w:rtl w:val="true"/>
        </w:rPr>
        <w:footnoteReference w:id="764"/>
      </w:r>
      <w:r>
        <w:rPr>
          <w:rFonts w:ascii="Amiri" w:hAnsi="Amiri" w:eastAsia="Amiri" w:cs="Amiri"/>
          <w:color w:val="111111"/>
          <w:sz w:val="28"/>
          <w:sz w:val="28"/>
          <w:szCs w:val="28"/>
          <w:rtl w:val="true"/>
          <w:lang w:bidi="ar-SA"/>
        </w:rPr>
        <w:t>، ليست في محلّها، و إلّا يلزم الإشكال في وجوب الصلاة و الصوم و الزكاة و الحج و غيرها، لاختلاف ألسنة أخبارها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توهين الخبر بوحدة السياق في الخبر الآخر</w:t>
      </w:r>
      <w:r>
        <w:rPr>
          <w:rStyle w:val="FootnoteAnchor"/>
          <w:rtl w:val="true"/>
        </w:rPr>
        <w:footnoteReference w:id="765"/>
      </w:r>
      <w:r>
        <w:rPr>
          <w:rFonts w:ascii="Amiri" w:hAnsi="Amiri" w:eastAsia="Amiri" w:cs="Amiri"/>
          <w:color w:val="111111"/>
          <w:sz w:val="28"/>
          <w:sz w:val="28"/>
          <w:szCs w:val="28"/>
          <w:rtl w:val="true"/>
          <w:lang w:bidi="ar-SA"/>
        </w:rPr>
        <w:t>و لو كان جائزاً، و لكنّه بعد تماميّة صدور الجملة الناطقة بأنّ الكذبة تنقض الوضوء، و بعد تماميّة جهة الصدور، و بعد تماميّة الدلالة؛ و الأخبار التي تشتمل عليها</w:t>
      </w:r>
      <w:r>
        <w:rPr>
          <w:rStyle w:val="FootnoteAnchor"/>
          <w:rtl w:val="true"/>
        </w:rPr>
        <w:footnoteReference w:id="766"/>
      </w:r>
      <w:r>
        <w:rPr>
          <w:rFonts w:ascii="Amiri" w:hAnsi="Amiri" w:eastAsia="Amiri" w:cs="Amiri"/>
          <w:color w:val="111111"/>
          <w:sz w:val="28"/>
          <w:sz w:val="28"/>
          <w:szCs w:val="28"/>
          <w:rtl w:val="true"/>
          <w:lang w:bidi="ar-SA"/>
        </w:rPr>
        <w:t>، بين ما لا يثبت به صدور الجملة المذكورة، و بين ما يحتمل كونها تقيّة؛ لذهاب العامّة إلى نواقض الوضوء غير ما عندنا، و يجوز أن يكون الكذبة منها و إن لم يذكر عنهم، و بين ما يحتمل أن يكون المراد من الوضوء نفس الصوم، لأنّه طهور كما عن بعض المراسيل</w:t>
      </w:r>
      <w:r>
        <w:rPr>
          <w:rStyle w:val="FootnoteAnchor"/>
          <w:rtl w:val="true"/>
        </w:rPr>
        <w:footnoteReference w:id="767"/>
      </w:r>
      <w:r>
        <w:rPr>
          <w:rFonts w:ascii="Amiri" w:hAnsi="Amiri" w:eastAsia="Amiri" w:cs="Amiri"/>
          <w:color w:val="111111"/>
          <w:sz w:val="28"/>
          <w:sz w:val="28"/>
          <w:szCs w:val="28"/>
          <w:rtl w:val="true"/>
          <w:lang w:bidi="ar-SA"/>
        </w:rPr>
        <w:t>، و يساعده الاعتبار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عدم ذهاب الكلّ إلى ناقضيّة الكذبة يورث الإجمال،</w:t>
      </w:r>
    </w:p>
    <w:p>
      <w:pPr>
        <w:pStyle w:val="BookText"/>
        <w:rPr/>
      </w:pPr>
      <w:r>
        <w:rPr>
          <w:rFonts w:ascii="Amiri" w:hAnsi="Amiri" w:eastAsia="Amiri" w:cs="Amiri"/>
          <w:color w:val="111111"/>
          <w:sz w:val="28"/>
          <w:sz w:val="28"/>
          <w:szCs w:val="28"/>
          <w:rtl w:val="true"/>
          <w:lang w:bidi="ar-SA"/>
        </w:rPr>
        <w:t xml:space="preserve">فلا يبقى لتلك الأخبار وجه لصالحيّتها للقرينة بالنسبة إلى معتبر سماعة، و معتبر ابن يونس،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الكذب على اللَّه، و على رسوله، و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يفطر الصائم</w:t>
      </w:r>
      <w:r>
        <w:rPr>
          <w:rFonts w:eastAsia="Amiri" w:cs="Amiri" w:ascii="Amiri" w:hAnsi="Amiri"/>
          <w:color w:val="111111"/>
          <w:sz w:val="28"/>
          <w:szCs w:val="28"/>
          <w:rtl w:val="true"/>
          <w:lang w:bidi="ar-SA"/>
        </w:rPr>
        <w:t>»</w:t>
      </w:r>
      <w:r>
        <w:rPr>
          <w:rStyle w:val="FootnoteAnchor"/>
          <w:rtl w:val="true"/>
        </w:rPr>
        <w:footnoteReference w:id="768"/>
      </w:r>
      <w:r>
        <w:rPr>
          <w:rFonts w:ascii="IRNazanin" w:hAnsi="IRNazanin" w:eastAsia="IRNazanin"/>
          <w:color w:val="111111"/>
          <w:sz w:val="28"/>
          <w:sz w:val="28"/>
          <w:szCs w:val="28"/>
          <w:rtl w:val="true"/>
          <w:lang w:bidi="fa-IR"/>
        </w:rPr>
        <w:t>فلا تخلط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من تعمّد الكذب تعمّد الكذب هو الكذب العمدي الصادر عن العالم بالكذب، و من المحرّر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العالم بالكذب لا يتمكّن من الكذب، و من الإذعان بالقضيّة، و من الإخبار عن الواقع</w:t>
      </w:r>
      <w:r>
        <w:rPr>
          <w:rStyle w:val="FootnoteAnchor"/>
          <w:rtl w:val="true"/>
        </w:rPr>
        <w:footnoteReference w:id="769"/>
      </w:r>
      <w:r>
        <w:rPr>
          <w:rFonts w:ascii="Amiri" w:hAnsi="Amiri" w:eastAsia="Amiri" w:cs="Amiri"/>
          <w:color w:val="111111"/>
          <w:sz w:val="28"/>
          <w:sz w:val="28"/>
          <w:szCs w:val="28"/>
          <w:rtl w:val="true"/>
          <w:lang w:bidi="ar-SA"/>
        </w:rPr>
        <w:t>، كما لا يعقل أن يخاف الإنسان من الأسد مع العلم بالعدم، فالمراد من التعمّد هو التشبّه بالعمد و تصنّع العمد، كما هو مقتضى هيئة باب التفعّل، أو يكون المراد من العمد هنا شبه العمد؛ لأنّ عمد الكذب لا يرجع إلّا إليه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فالإشكال الصغروي بأن الكذب العمدي مفطر، و لا مصداق له، و ما هو له المصداق ليس بمفطر حتّى الهزل، كما يأتي عنهم، ينحلّ بذلك، و أمّا التشبّث لحلّ معضلة المسألة عقلًا، بما في المفصّلات، فكلّه خال عن</w:t>
      </w:r>
    </w:p>
    <w:p>
      <w:pPr>
        <w:pStyle w:val="BookText"/>
        <w:rPr/>
      </w:pP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 التحصيل، و من شاء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إجماعاً قطعيّاً، و يدلّ عليه معتبر ابن يونس،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الكذب على اللَّه، و على رسوله، و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يفطر الصائم</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القدر المتيقّن من الكذبة على اللَّه، و على الرسول، و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ما إذا كانت المسائل التشريعيّة الإسلاميّة، و تكون الكذبة على اللَّه أصل الشرع، و صاحب الشريعة، دون غيره، و إذا كانت الكذبة على غيره راجعة إليه تعالى، موجب للبطلان، و الرجوع إليه ليس قهريّاً، بل لا بدّ من القصد و الإرادة و إلّا فلا تحصل النسبة و الكذبة، كما لا يخفى</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لا يكون فرق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فاطمة الزهراء سلام اللَّه عليها و الفقهاء و غيرهم من هذه الجهة، و كلّ ذلك لأنّ الخبر الناطق بمفطريّة الكذبة ليس له الإطلاق ظاهراً؛ لأنّ النظر فيه و في ما يشبهه إلى أبناء العامّة القائلين بعدم المفطرية، و المفتين في الإسلام على خلاف موازين الإفتاء، و ناسبين الأحكام في الفتوى إلى صاحب الإسلام،</w:t>
      </w:r>
    </w:p>
    <w:p>
      <w:pPr>
        <w:pStyle w:val="BookText"/>
        <w:rPr/>
      </w:pPr>
      <w:r>
        <w:rPr>
          <w:rFonts w:ascii="Amiri" w:hAnsi="Amiri" w:eastAsia="Amiri" w:cs="Amiri"/>
          <w:color w:val="111111"/>
          <w:sz w:val="28"/>
          <w:sz w:val="28"/>
          <w:szCs w:val="28"/>
          <w:rtl w:val="true"/>
          <w:lang w:bidi="ar-SA"/>
        </w:rPr>
        <w:t xml:space="preserve">و كذا باقي الأنبياء و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من غير فرق بين كونه في الدين أو الدنيا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أخذ الرسول بعنوان الرسالة، و الأئمّة بعنوان الإمامة، يشعر بما يرتبط بالعنوانين، دون ما هو خارج عنهما، فلو كان واحد يكذب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تسرّع في حكم كذا، و ليس من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فبطلان صومه ممنوع إلّا إذا كان قوله ردّة، و بطلان الصوم بالردّة بحث آخر، ربّما يمكن تصحيحه بالتوبة إذا لحقته فوراً، فلا تخلط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الدنيا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المعروف بينهم</w:t>
      </w:r>
      <w:r>
        <w:rPr>
          <w:rStyle w:val="FootnoteAnchor"/>
          <w:rtl w:val="true"/>
        </w:rPr>
        <w:footnoteReference w:id="771"/>
      </w:r>
      <w:r>
        <w:rPr>
          <w:rFonts w:ascii="Amiri" w:hAnsi="Amiri" w:eastAsia="Amiri" w:cs="Amiri"/>
          <w:color w:val="111111"/>
          <w:sz w:val="28"/>
          <w:sz w:val="28"/>
          <w:szCs w:val="28"/>
          <w:rtl w:val="true"/>
          <w:lang w:bidi="ar-SA"/>
        </w:rPr>
        <w:t xml:space="preserve">، خلافاً لما نسب إلى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w:t>
      </w:r>
      <w:r>
        <w:rPr>
          <w:rFonts w:eastAsia="Amiri" w:cs="Amiri" w:ascii="Amiri" w:hAnsi="Amiri"/>
          <w:color w:val="111111"/>
          <w:sz w:val="28"/>
          <w:szCs w:val="28"/>
          <w:rtl w:val="true"/>
          <w:lang w:bidi="ar-SA"/>
        </w:rPr>
        <w:t>»</w:t>
      </w:r>
      <w:r>
        <w:rPr>
          <w:rStyle w:val="FootnoteAnchor"/>
          <w:rtl w:val="true"/>
        </w:rPr>
        <w:footnoteReference w:id="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قويّ جدّاً؛ ضرورة أنّه مضافاً إلى ما مرّ من عدم ثبوت الإطلاق جدّاً، لا يجوز أن يلتزم أحد بأنّ نسبة الضحك و البكاء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الولادة، و حين ما كان مثلًا في القماط، أو نسبة أنّ قماطه كان أبيض أو أسود أو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يضرب بكذا، و هكذا سائر الأئمّة و غيرهم، من</w:t>
      </w:r>
    </w:p>
    <w:p>
      <w:pPr>
        <w:pStyle w:val="BookText"/>
        <w:rPr/>
      </w:pPr>
      <w:r>
        <w:rPr>
          <w:rFonts w:ascii="Amiri" w:hAnsi="Amiri" w:eastAsia="Amiri" w:cs="Amiri"/>
          <w:color w:val="111111"/>
          <w:sz w:val="28"/>
          <w:sz w:val="28"/>
          <w:szCs w:val="28"/>
          <w:rtl w:val="true"/>
          <w:lang w:bidi="ar-SA"/>
        </w:rPr>
        <w:t xml:space="preserve">و بين كونه بالقول أو بالكتابة أو الإشارة أو الكناية، و نحوها ممّا يصدق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سأله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فأشار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مقام لا، أو لا في مقام نعم، بطل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أخبر صادقاً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أخبرت به عنه كذب، أو أخبر عنه كاذباً في الليل،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أخبرت به في الليل صدق، فسد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المفطر المبطل للصوم و لو كان محرّماً و أحياناً موجباً للارتداد، فلا تخلط، و كن على بصيرة من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لا يحصل إلّا في صورة الإرادة و القصد، فلو كان الكلام بحسب النوع كنائيّاً، و لكنّه لم يقصد به النسبة و الإخبار عن المكنى عنه، لا يفطر، لما لا يتحقّق به الإخبار و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بطل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بشرط كونه ممّا يرجع إلى الدين، و يريد الإخبار و الكذب على صاحب الدين و أصل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فسد صومه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إذا كان النظر إلى إفادة أنّه صادق أو كاذب، و لا يكون مقصوده مؤن المنجر به، فإطلاق الفرعين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الأحوط عدم الفرق بين الكذب عليهم في أقوالهم 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كالإخبار كاذباً بأنّه فعل كذا أو كان كذا، و الأقوى عدم ترتّب الفساد مع عدم القصد الجدّي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الإخبار بأن كان هازلًا أو لاغياً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يرجع إلى الأحكام دون العادات و الآداب، كما إذا أخبر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كان ابن خمس سنين يحبّ الرمّان، أو لا يأكل المرق، و هكذا بالقياس إلى عصر إمامتهم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لعمري إنّه من يتدبّر في ما يستلزم فتواهم هنا يطمئنّ بأن الكذبة المفطرة مخصوصة بالمسائل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القصد 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 أنّ القصد الجدّي الحاصل في أكل الربا و شرب الخمر، لا يحصل في الكذبة بعد العلم بكذبها، و ما يحصل من الكاذب هو التصنّع بالجدّ، و الهازل و الكاذب بالجدّ غير مفترق إلّا في الأغراض، مثلًا إذا كان رجل يكذب ثمّ يسأل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صادق؟ فيخبر بصدقه، فإنّه لا يكون إخباراً جدّيّاً إلّا أنّه يتمثّل الجدّ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مبطليّة الكذبة عن هزل لقصور الإطلاق، و لذلك احتاط فيه بعض الأصحاب</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bookmarkStart w:id="184" w:name="pg12366_123122"/>
    </w:p>
    <w:p>
      <w:pPr>
        <w:pStyle w:val="Heading5"/>
        <w:numPr>
          <w:ilvl w:val="4"/>
          <w:numId w:val="1"/>
        </w:numPr>
        <w:rPr/>
      </w:pPr>
      <w:bookmarkStart w:id="185" w:name="__RefHeading___Toc8896049_417432637"/>
      <w:bookmarkStart w:id="186" w:name="_Toc68"/>
      <w:bookmarkEnd w:id="184"/>
      <w:bookmarkEnd w:id="185"/>
      <w:r>
        <w:rPr>
          <w:rtl w:val="true"/>
        </w:rPr>
        <w:t>[</w:t>
      </w:r>
      <w:r>
        <w:rPr>
          <w:rtl w:val="true"/>
        </w:rPr>
        <w:t xml:space="preserve">مسألة </w:t>
      </w:r>
      <w:r>
        <w:rPr/>
        <w:t>4</w:t>
      </w:r>
      <w:r>
        <w:rPr>
          <w:rtl w:val="true"/>
        </w:rPr>
        <w:t xml:space="preserve">: </w:t>
      </w:r>
      <w:r>
        <w:rPr>
          <w:rtl w:val="true"/>
        </w:rPr>
        <w:t>لا فرق بين أن يكون الكذب مجعولًا له أو لغيره</w:t>
      </w:r>
      <w:r>
        <w:rPr>
          <w:rtl w:val="true"/>
        </w:rPr>
        <w:t>]</w:t>
      </w:r>
      <w:bookmarkEnd w:id="18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أن يكون الكذب مجعولًا له أو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مذكوراً في بعض كتب التواريخ، أو الأخبار إذا كان على وجه الإخبار، نعم لا يفسده إذا كان على وجه الحكاية و النقل من شخص أو كتاب</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8896051_417432637"/>
      <w:bookmarkStart w:id="188" w:name="_Toc69"/>
      <w:bookmarkEnd w:id="187"/>
      <w:r>
        <w:rPr>
          <w:rtl w:val="true"/>
        </w:rPr>
        <w:t>[</w:t>
      </w:r>
      <w:r>
        <w:rPr>
          <w:rtl w:val="true"/>
        </w:rPr>
        <w:t>السابع</w:t>
      </w:r>
      <w:r>
        <w:rPr>
          <w:rtl w:val="true"/>
        </w:rPr>
        <w:t xml:space="preserve">: </w:t>
      </w:r>
      <w:r>
        <w:rPr>
          <w:rtl w:val="true"/>
        </w:rPr>
        <w:t>رمس الرأس في الماء على الأحوط</w:t>
      </w:r>
      <w:r>
        <w:rPr>
          <w:rtl w:val="true"/>
        </w:rPr>
        <w:t>]</w:t>
      </w:r>
      <w:bookmarkEnd w:id="188"/>
    </w:p>
    <w:p>
      <w:pPr>
        <w:pStyle w:val="Heading5"/>
        <w:numPr>
          <w:ilvl w:val="4"/>
          <w:numId w:val="1"/>
        </w:numPr>
        <w:rPr/>
      </w:pPr>
      <w:bookmarkStart w:id="189" w:name="__RefHeading___Toc8896053_417432637"/>
      <w:bookmarkStart w:id="190" w:name="_Toc70"/>
      <w:bookmarkEnd w:id="189"/>
      <w:r>
        <w:rPr>
          <w:rtl w:val="true"/>
        </w:rPr>
        <w:t>اشارة</w:t>
      </w:r>
      <w:bookmarkEnd w:id="190"/>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رمس الرأس في الماء على الأحوط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خفيّ أنّ ما هو المجعول لغيره لا يمكن أن تناله يد الجعل ثانياً، فلا محالة إذا حكاه يستند إلى الغير، و لو لم يستند إليه يكون كذباً آخر مجعولًا له إلّا أنّه مماثل مع الكذبة المجعولة في الكتاب،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وفاقاً للأكثر</w:t>
      </w:r>
      <w:r>
        <w:rPr>
          <w:rStyle w:val="FootnoteAnchor"/>
          <w:rtl w:val="true"/>
        </w:rPr>
        <w:footnoteReference w:id="774"/>
      </w:r>
      <w:r>
        <w:rPr>
          <w:rFonts w:ascii="Amiri" w:hAnsi="Amiri" w:eastAsia="Amiri" w:cs="Amiri"/>
          <w:color w:val="111111"/>
          <w:sz w:val="28"/>
          <w:sz w:val="28"/>
          <w:szCs w:val="28"/>
          <w:rtl w:val="true"/>
          <w:lang w:bidi="ar-SA"/>
        </w:rPr>
        <w:t>، بل قيل هو المشهور</w:t>
      </w:r>
      <w:r>
        <w:rPr>
          <w:rStyle w:val="FootnoteAnchor"/>
          <w:rtl w:val="true"/>
        </w:rPr>
        <w:footnoteReference w:id="775"/>
      </w:r>
      <w:r>
        <w:rPr>
          <w:rFonts w:ascii="Amiri" w:hAnsi="Amiri" w:eastAsia="Amiri" w:cs="Amiri"/>
          <w:color w:val="111111"/>
          <w:sz w:val="28"/>
          <w:sz w:val="28"/>
          <w:szCs w:val="28"/>
          <w:rtl w:val="true"/>
          <w:lang w:bidi="ar-SA"/>
        </w:rPr>
        <w:t>، و عليه دعوى الإجماع</w:t>
      </w:r>
      <w:r>
        <w:rPr>
          <w:rStyle w:val="FootnoteAnchor"/>
          <w:rtl w:val="true"/>
        </w:rPr>
        <w:footnoteReference w:id="776"/>
      </w:r>
      <w:r>
        <w:rPr>
          <w:rFonts w:ascii="Amiri" w:hAnsi="Amiri" w:eastAsia="Amiri" w:cs="Amiri"/>
          <w:color w:val="111111"/>
          <w:sz w:val="28"/>
          <w:sz w:val="28"/>
          <w:szCs w:val="28"/>
          <w:rtl w:val="true"/>
          <w:lang w:bidi="ar-SA"/>
        </w:rPr>
        <w:t>، خلافاً للجمهور من العامّة</w:t>
      </w:r>
      <w:r>
        <w:rPr>
          <w:rStyle w:val="FootnoteAnchor"/>
          <w:rtl w:val="true"/>
        </w:rPr>
        <w:footnoteReference w:id="777"/>
      </w:r>
      <w:r>
        <w:rPr>
          <w:rFonts w:ascii="Amiri" w:hAnsi="Amiri" w:eastAsia="Amiri" w:cs="Amiri"/>
          <w:color w:val="111111"/>
          <w:sz w:val="28"/>
          <w:sz w:val="28"/>
          <w:szCs w:val="28"/>
          <w:rtl w:val="true"/>
          <w:lang w:bidi="ar-SA"/>
        </w:rPr>
        <w:t xml:space="preserve">، و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إدريس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التحريم بلا فساد</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الارتماس</w:t>
      </w:r>
      <w:r>
        <w:rPr>
          <w:rStyle w:val="FootnoteAnchor"/>
          <w:rtl w:val="true"/>
        </w:rPr>
        <w:footnoteReference w:id="779"/>
      </w:r>
      <w:r>
        <w:rPr>
          <w:rFonts w:ascii="Amiri" w:hAnsi="Amiri" w:eastAsia="Amiri" w:cs="Amiri"/>
          <w:color w:val="111111"/>
          <w:sz w:val="28"/>
          <w:sz w:val="28"/>
          <w:szCs w:val="28"/>
          <w:rtl w:val="true"/>
          <w:lang w:bidi="ar-SA"/>
        </w:rPr>
        <w:t>، وفاقاً لطائفة من العامّة</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عدم الكراهة، فتكون النواهي إرشاداً إلى المنقصة في الصوم كالصلاة في الحمّام، و حيث إنّ العبرة بروايات الباب</w:t>
      </w:r>
      <w:r>
        <w:rPr>
          <w:rStyle w:val="FootnoteAnchor"/>
          <w:rtl w:val="true"/>
        </w:rPr>
        <w:footnoteReference w:id="781"/>
      </w:r>
      <w:r>
        <w:rPr>
          <w:rFonts w:ascii="Amiri" w:hAnsi="Amiri" w:eastAsia="Amiri" w:cs="Amiri"/>
          <w:color w:val="111111"/>
          <w:sz w:val="28"/>
          <w:sz w:val="28"/>
          <w:szCs w:val="28"/>
          <w:rtl w:val="true"/>
          <w:lang w:bidi="ar-SA"/>
        </w:rPr>
        <w:t>، فهي ظاهرة في الإرشاد إلى الفساد حسب الأصل المحرّر، إلّا أنّه هناك بعض القرائن المقتضية لكون النواهي الصريحة محمولة على التكليف، لا الوضع؛ و ذلك لوحدة السياق، كما في معتبر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يرتمس الصائم، و لا المحرم رأسه في الماء</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خبر عبد اللَّه بن سنان،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للصائم أن يرتمس في الماء</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لمعتبر إسحاق بن عمار الناطق بالصحّة و عدم لزوم القضاء</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كتاب الصوم، أبواب ما يمسك عنه الصائم،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فهو و ذان شواهد قطعيّة على صرف الظواهر من الإرشاد إلى التحريم أو التنزيه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هناك معتبر محمّد بن مسلم الحاصر السابق</w:t>
      </w:r>
      <w:r>
        <w:rPr>
          <w:rStyle w:val="FootnoteAnchor"/>
          <w:rtl w:val="true"/>
        </w:rPr>
        <w:footnoteReference w:id="785"/>
      </w:r>
      <w:r>
        <w:rPr>
          <w:rFonts w:ascii="Amiri" w:hAnsi="Amiri" w:eastAsia="Amiri" w:cs="Amiri"/>
          <w:color w:val="111111"/>
          <w:sz w:val="28"/>
          <w:sz w:val="28"/>
          <w:szCs w:val="28"/>
          <w:rtl w:val="true"/>
          <w:lang w:bidi="ar-SA"/>
        </w:rPr>
        <w:t>، الظاهر في مفطريّة الارتماس، يلزم التعارض بينه و بين معتبر إسحاق بن عمار، فيكون المرجع خبر ابن مسلم؛ لمخالفته للعامّة، فيكون الشاهد على صرف تلك الظواهر، ساقطاً، و شهادة رواية ابن سنان ممنوعة، لضعفها سنداً و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وحدة السياق لا يقتضي أن يكون الارتماس غير مبطل، لإمكان كونه حراماً و مبطلًا كما لا يخفى</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يتوهّم أنّ دلالة معتبر ابن مسلم الحاصر على البطلان، ليست وضعيّة، بل هي إطلاقيّة سياقيّة، فيمكن الجمع بينه و بين خبر إسحاق عرفاً</w:t>
      </w:r>
      <w:r>
        <w:rPr>
          <w:rStyle w:val="FootnoteAnchor"/>
          <w:rtl w:val="true"/>
        </w:rPr>
        <w:footnoteReference w:id="786"/>
      </w:r>
      <w:r>
        <w:rPr>
          <w:rFonts w:ascii="Amiri" w:hAnsi="Amiri" w:eastAsia="Amiri" w:cs="Amiri"/>
          <w:color w:val="111111"/>
          <w:sz w:val="28"/>
          <w:sz w:val="28"/>
          <w:szCs w:val="28"/>
          <w:rtl w:val="true"/>
          <w:lang w:bidi="ar-SA"/>
        </w:rPr>
        <w:t>، فلا تصل النوبة إلى المعارضة، ضرورة أنّ الارتماس</w:t>
      </w:r>
    </w:p>
    <w:p>
      <w:pPr>
        <w:pStyle w:val="BookText"/>
        <w:rPr/>
      </w:pPr>
      <w:r>
        <w:rPr>
          <w:rFonts w:ascii="Amiri" w:hAnsi="Amiri" w:eastAsia="Amiri" w:cs="Amiri"/>
          <w:color w:val="111111"/>
          <w:sz w:val="28"/>
          <w:sz w:val="28"/>
          <w:szCs w:val="28"/>
          <w:rtl w:val="true"/>
          <w:lang w:bidi="ar-SA"/>
        </w:rPr>
        <w:t>يجوز أن يكون مضرّاً، و موجباً لنقصان الصوم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ذاك و ذلك احتاط الماتِن و جمع من المعاصرين</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لأجل إمكان الخدشة في سند خبر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عمران بن موسى فيه اشتهر القول بالبطلان، لضعف الشواهد الأُخر على صرف الظواهر، بعد تأييدها بما في الحصر المستفاد من خبر ابن مسلم</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بعد اللتيا و التي الأخذ بمدلول الحصر، و ظهوره في البطلان، بعد اعتبار خبر إسحاق، مشكل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حمل النواهي على التحريم غير جائز؛ لأنّ الارتماس في الصوم غير الواجب المعيّن ليس بحرام قطعاً، و حمل الأخبار عليه بلا شاهد، و حملها على التنزيه أيضاً غير وجيه،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النهي عن العود، و هكذا بعض الأخبار الأُخر الظاهرة في غير الكراهة المصطلحة</w:t>
      </w:r>
      <w:r>
        <w:rPr>
          <w:rStyle w:val="FootnoteAnchor"/>
          <w:rtl w:val="true"/>
        </w:rPr>
        <w:footnoteReference w:id="789"/>
      </w:r>
      <w:r>
        <w:rPr>
          <w:rFonts w:ascii="Amiri" w:hAnsi="Amiri" w:eastAsia="Amiri" w:cs="Amiri"/>
          <w:color w:val="111111"/>
          <w:sz w:val="28"/>
          <w:sz w:val="28"/>
          <w:szCs w:val="28"/>
          <w:rtl w:val="true"/>
          <w:lang w:bidi="ar-SA"/>
        </w:rPr>
        <w:t>المحمول كلّها على الإرشاد إلى أنّ الارتماس موجب للمنقصة في الصوم، فلا يكون مكروهاً حسب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مع خروج البدن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بعض الشواهد الأُخر على ما أبدعنا محرّر في كتابنا الكبير</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الذوق السليم، و الفهم المستقيم حول الأوامر و النواهي الصادرة حول المركّبات الشرعيّة، بين ما هي إرشاد إلى الشرطيّة و المانعيّة، فتكون تلك المركّبات باطلة عند الاختلال، و بين ما هي إرشاد إلى حصول المنقصة في المركّب بارتكاب المنهي عنه أو بترك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حرمة نفس المنهي عنه أو كراهته أو وجوب نفس المأمور به أو استحبابه على وجه يكون المركّب ظرفاً لهما، فهو مضافاً إلى شبهة في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تماميّة القضايا الحينيّة في الاعتباريّات مطلقاً أنّه غير موافق لفهم العرف جدّاً، فالصلاة و الصوم هنا واحد من هذه الجهة، فكما أنّ نواهيها الواردة في نواحيها المختلفة ترجع إلى قلّة ثوابها في ضميمة تلك الخصوصيّة، كذلك نواهي الصوم ترشد إلى نقصان الصوم درجة، و ثواباً، و أثراً معنويّاً، و غير ذلك، فلا تخلط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الميسي عدم البطلان</w:t>
      </w:r>
      <w:r>
        <w:rPr>
          <w:rStyle w:val="FootnoteAnchor"/>
          <w:rtl w:val="true"/>
        </w:rPr>
        <w:footnoteReference w:id="791"/>
      </w:r>
      <w:r>
        <w:rPr>
          <w:rFonts w:ascii="Amiri" w:hAnsi="Amiri" w:eastAsia="Amiri" w:cs="Amiri"/>
          <w:color w:val="111111"/>
          <w:sz w:val="28"/>
          <w:sz w:val="28"/>
          <w:szCs w:val="28"/>
          <w:rtl w:val="true"/>
          <w:lang w:bidi="ar-SA"/>
        </w:rPr>
        <w:t xml:space="preserve">،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فيه</w:t>
      </w:r>
      <w:r>
        <w:rPr>
          <w:rStyle w:val="FootnoteAnchor"/>
          <w:rtl w:val="true"/>
        </w:rPr>
        <w:footnoteReference w:id="79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يلحق المضاف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بالمطلق، نعم لا يترك الاحتياط في مثل الجلّاب، خصوصاً مع ذهاب رائحته، و لا بأس بالإفاضة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انصراف الأخبار إلى ما هو المعتاد و أنّه لو كان باطلًا الصوم به، يلزم كون الارتماس المستند في الأخبار إلى الشخص، مبطلًا، و المستند إلى الرأس كما في معتبر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يغمس رأسه في الماء</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 مبطلًا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الصناعة رفع الإبهام و الإجمال في الخبر الأوّل بما في الخبر الثاني، فيكون ارتماس البدن، من الحجر في جنب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حكم الماء مطلق المائع و إن كان مضافاً</w:t>
      </w:r>
      <w:r>
        <w:rPr>
          <w:rStyle w:val="FootnoteAnchor"/>
          <w:rtl w:val="true"/>
        </w:rPr>
        <w:footnoteReference w:id="794"/>
      </w:r>
      <w:r>
        <w:rPr>
          <w:rFonts w:ascii="Amiri" w:hAnsi="Amiri" w:eastAsia="Amiri" w:cs="Amiri"/>
          <w:color w:val="111111"/>
          <w:sz w:val="28"/>
          <w:sz w:val="28"/>
          <w:szCs w:val="28"/>
          <w:rtl w:val="true"/>
          <w:lang w:bidi="ar-SA"/>
        </w:rPr>
        <w:t xml:space="preserve">، و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خصوص المضاف بالمطلق</w:t>
      </w:r>
      <w:r>
        <w:rPr>
          <w:rStyle w:val="FootnoteAnchor"/>
          <w:rtl w:val="true"/>
        </w:rPr>
        <w:footnoteReference w:id="795"/>
      </w:r>
      <w:r>
        <w:rPr>
          <w:rFonts w:ascii="Amiri" w:hAnsi="Amiri" w:eastAsia="Amiri" w:cs="Amiri"/>
          <w:color w:val="111111"/>
          <w:sz w:val="28"/>
          <w:sz w:val="28"/>
          <w:szCs w:val="28"/>
          <w:rtl w:val="true"/>
          <w:lang w:bidi="ar-SA"/>
        </w:rPr>
        <w:t>، فقول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لأنّه أولى بالإلحاق من مطلق المائع</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مجرّد الارتماس، يلزم بطلان الصوم بالرمس في التراب،</w:t>
      </w:r>
    </w:p>
    <w:p>
      <w:pPr>
        <w:pStyle w:val="BookText"/>
        <w:rPr/>
      </w:pPr>
      <w:r>
        <w:rPr>
          <w:rFonts w:ascii="Amiri" w:hAnsi="Amiri" w:eastAsia="Amiri" w:cs="Amiri"/>
          <w:color w:val="111111"/>
          <w:sz w:val="28"/>
          <w:sz w:val="28"/>
          <w:szCs w:val="28"/>
          <w:rtl w:val="true"/>
          <w:lang w:bidi="ar-SA"/>
        </w:rPr>
        <w:t xml:space="preserve">و نحوها ممّا لا يسمّى رمساً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كثر الماء، بل لا بأس برمس البعض و إن كان فيه المنافذ، و لا بغمس التمام على التعاقب بأن غمس نصفه، ثمّ أخرجه، و غمس نصفه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مقتضى اللغة، فالحكم في غير المطلق بلا وجه جدّاً، و لا معنى لإلغاء الخصوصيّة بعد اختصاص الحكمة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احتمال عدم مبطليّة الارتماس في الماء الحارّ الفائر غير بعيد، لدعوى الانصراف، و لمناسبة الحكمة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رمساً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شكّ في الصدق، نعم إذا كان الماء المفاض على وجه إذا يدخل الصائم فيه يستولي عليه فيغشيه، فإنّه لا يبعد صدق الارتماس، لعدم اشتراط الارتماس بكون المرتمس وارداً عليه من السطح العالي، و لذلك لو ألقى عليه مقدار من الماء بحيث يرمسه، و يحتويه دفعة، يصدق الارتماس عليه</w:t>
      </w:r>
      <w:r>
        <w:rPr>
          <w:rFonts w:eastAsia="Amiri" w:cs="Amiri" w:ascii="Amiri" w:hAnsi="Amiri"/>
          <w:color w:val="111111"/>
          <w:sz w:val="28"/>
          <w:szCs w:val="28"/>
          <w:rtl w:val="true"/>
          <w:lang w:bidi="ar-SA"/>
        </w:rPr>
        <w:t>.</w:t>
      </w:r>
      <w:bookmarkStart w:id="191" w:name="pg12366_123129"/>
    </w:p>
    <w:p>
      <w:pPr>
        <w:pStyle w:val="Heading5"/>
        <w:numPr>
          <w:ilvl w:val="4"/>
          <w:numId w:val="1"/>
        </w:numPr>
        <w:rPr/>
      </w:pPr>
      <w:bookmarkStart w:id="192" w:name="__RefHeading___Toc8896055_417432637"/>
      <w:bookmarkStart w:id="193" w:name="_Toc71"/>
      <w:bookmarkEnd w:id="191"/>
      <w:bookmarkEnd w:id="192"/>
      <w:r>
        <w:rPr>
          <w:rtl w:val="true"/>
        </w:rPr>
        <w:t>[</w:t>
      </w:r>
      <w:r>
        <w:rPr>
          <w:rtl w:val="true"/>
        </w:rPr>
        <w:t xml:space="preserve">مسألة </w:t>
      </w:r>
      <w:r>
        <w:rPr/>
        <w:t>5</w:t>
      </w:r>
      <w:r>
        <w:rPr>
          <w:rtl w:val="true"/>
        </w:rPr>
        <w:t xml:space="preserve">: </w:t>
      </w:r>
      <w:r>
        <w:rPr>
          <w:rtl w:val="true"/>
        </w:rPr>
        <w:t>لو ارتمس الصائم مغتسلًا</w:t>
      </w:r>
      <w:r>
        <w:rPr>
          <w:rtl w:val="true"/>
        </w:rPr>
        <w:t>]</w:t>
      </w:r>
      <w:bookmarkEnd w:id="19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ارتمس الصائم مغتسلًا، فإن كان تطوّعاً أو واجباً موسّعاً بطل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واجباً معيّناً، فإن قصد الغسل بأوّل مسمّى الارتماس بطل صومه و غسله، على 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بطل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المبنى الذي عرفت فيه، و في صحّة غسله إشكال ناشئ عن النواهي المطلقة عن ارتماس الصائم، بناء على كونها محرّمة، بل و مكروهة على الإطلاق، و لكن عرفت ما فيه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صومه و غسله على تأمّل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الصوم فربّما يبطل بنفس القصد، بناء على أنّ نيّة القطع قاطعة كما عرفت أنّه الأحوط</w:t>
      </w:r>
      <w:r>
        <w:rPr>
          <w:rStyle w:val="FootnoteAnchor"/>
          <w:rtl w:val="true"/>
        </w:rPr>
        <w:footnoteReference w:id="796"/>
      </w:r>
      <w:r>
        <w:rPr>
          <w:rFonts w:ascii="Amiri" w:hAnsi="Amiri" w:eastAsia="Amiri" w:cs="Amiri"/>
          <w:color w:val="111111"/>
          <w:sz w:val="28"/>
          <w:sz w:val="28"/>
          <w:szCs w:val="28"/>
          <w:rtl w:val="true"/>
          <w:lang w:bidi="ar-SA"/>
        </w:rPr>
        <w:t>، و أمّا بطلان الغسل فهو ممنوع، لأنّ الارتماس منهي بالنواهي الإرشاديّة حسب مبناهم، و لا يقولون بأنّه محرّم في ذاته حتّى يلزم أن يكون من الإفطار بالمحرّم، فما هو سبب عصيان العبد تركه الواجب المعيّن بإبطاله بالارتماس، فالغسل صحيح، و لا سيّما إذا قلنا بأنّ نيّة القاطع قاطعة، فلا يكون الارتماس من باب المقدميّة لترك الواجب ممنوعاً أيضاً لو قلنا به، مع أنّه كلام غير متين محرّر في محلّه</w:t>
      </w:r>
      <w:r>
        <w:rPr>
          <w:rStyle w:val="FootnoteAnchor"/>
          <w:rtl w:val="true"/>
        </w:rPr>
        <w:footnoteReference w:id="797"/>
      </w:r>
      <w:r>
        <w:rPr>
          <w:rFonts w:ascii="Amiri" w:hAnsi="Amiri" w:eastAsia="Amiri" w:cs="Amiri"/>
          <w:color w:val="111111"/>
          <w:sz w:val="28"/>
          <w:sz w:val="28"/>
          <w:szCs w:val="28"/>
          <w:rtl w:val="true"/>
          <w:lang w:bidi="ar-SA"/>
        </w:rPr>
        <w:t>، فتأمّل</w:t>
      </w:r>
    </w:p>
    <w:p>
      <w:pPr>
        <w:pStyle w:val="BookText"/>
        <w:rPr/>
      </w:pPr>
      <w:r>
        <w:rPr>
          <w:rFonts w:ascii="Amiri" w:hAnsi="Amiri" w:eastAsia="Amiri" w:cs="Amiri"/>
          <w:color w:val="111111"/>
          <w:sz w:val="28"/>
          <w:sz w:val="28"/>
          <w:szCs w:val="28"/>
          <w:rtl w:val="true"/>
          <w:lang w:bidi="ar-SA"/>
        </w:rPr>
        <w:t xml:space="preserve">و إن نواه بالمكث أو الخروج صحّ 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صومه في غير شهر رمضان، و أمّا فيه فيبطلان معاً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الماتن في غير محلّه، و فتواهم بالبطلان</w:t>
      </w:r>
      <w:r>
        <w:rPr>
          <w:rStyle w:val="FootnoteAnchor"/>
          <w:rtl w:val="true"/>
        </w:rPr>
        <w:footnoteReference w:id="798"/>
      </w:r>
      <w:r>
        <w:rPr>
          <w:rFonts w:ascii="IRNazanin" w:hAnsi="IRNazanin" w:eastAsia="IRNazanin"/>
          <w:color w:val="111111"/>
          <w:sz w:val="28"/>
          <w:sz w:val="28"/>
          <w:szCs w:val="28"/>
          <w:rtl w:val="true"/>
          <w:lang w:bidi="fa-IR"/>
        </w:rPr>
        <w:t>أسوأ حالًا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ما هو المعروف عنهم في كفايته لصحة الغسل</w:t>
      </w:r>
      <w:r>
        <w:rPr>
          <w:rStyle w:val="FootnoteAnchor"/>
          <w:rtl w:val="true"/>
        </w:rPr>
        <w:footnoteReference w:id="799"/>
      </w:r>
      <w:r>
        <w:rPr>
          <w:rFonts w:ascii="Amiri" w:hAnsi="Amiri" w:eastAsia="Amiri" w:cs="Amiri"/>
          <w:color w:val="111111"/>
          <w:sz w:val="28"/>
          <w:sz w:val="28"/>
          <w:szCs w:val="28"/>
          <w:rtl w:val="true"/>
          <w:lang w:bidi="ar-SA"/>
        </w:rPr>
        <w:t>، و إلّا فللمناقشة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لزوم الولوج في الماء، و لا يكفي حين الخروج وجه محرّر في محلّه</w:t>
      </w:r>
      <w:r>
        <w:rPr>
          <w:rStyle w:val="FootnoteAnchor"/>
          <w:rtl w:val="true"/>
        </w:rPr>
        <w:footnoteReference w:id="800"/>
      </w:r>
      <w:r>
        <w:rPr>
          <w:rFonts w:ascii="Amiri" w:hAnsi="Amiri" w:eastAsia="Amiri" w:cs="Amiri"/>
          <w:color w:val="111111"/>
          <w:sz w:val="28"/>
          <w:sz w:val="28"/>
          <w:szCs w:val="28"/>
          <w:rtl w:val="true"/>
          <w:lang w:bidi="ar-SA"/>
        </w:rPr>
        <w:t>، و أمّا وجه التقييد بغير شهر رمضان سيظهر من الفرض الآتي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فيبطلان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بطلان الصوم فحسب الفرض، و أمّا بطلان الغسل فبتوهّم أنّ الخروج و المكث مبغوضان أو محرّمان، و على كلّ تقدير لا يصلحان ليتحقّق بهما العبادة؛ ضرورة أنّ المفروض دخوله و ارتماسه عمدي، فما يترتّب عليه تصحّ العقوبة عليه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خارجاً عن الاختيار؛ لأنّ الامتناع بالاختيار لا ينافي جواز العقاب،</w:t>
      </w:r>
    </w:p>
    <w:p>
      <w:pPr>
        <w:pStyle w:val="BookText"/>
        <w:rPr/>
      </w:pPr>
      <w:r>
        <w:rPr>
          <w:rFonts w:ascii="Amiri" w:hAnsi="Amiri" w:eastAsia="Amiri" w:cs="Amiri"/>
          <w:color w:val="111111"/>
          <w:sz w:val="28"/>
          <w:sz w:val="28"/>
          <w:szCs w:val="28"/>
          <w:rtl w:val="true"/>
          <w:lang w:bidi="ar-SA"/>
        </w:rPr>
        <w:t>بل و الخطاب، و لا سيما على ما هو المحرّر من قانونيّة الخطابات</w:t>
      </w:r>
      <w:r>
        <w:rPr>
          <w:rStyle w:val="FootnoteAnchor"/>
          <w:rtl w:val="true"/>
        </w:rPr>
        <w:footnoteReference w:id="801"/>
      </w:r>
      <w:r>
        <w:rPr>
          <w:rFonts w:ascii="Amiri" w:hAnsi="Amiri" w:eastAsia="Amiri" w:cs="Amiri"/>
          <w:color w:val="111111"/>
          <w:sz w:val="28"/>
          <w:sz w:val="28"/>
          <w:szCs w:val="28"/>
          <w:rtl w:val="true"/>
          <w:lang w:bidi="ar-SA"/>
        </w:rPr>
        <w:t>، و لذلك كان الأقوى محرميّة الخروج و المكث خطاباً و عقاباً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ممّا يؤسف عليه، أجنبيّة هذه المسألة عمّا نحن فيه؛ ضرورة أنّ المفطر هو الارتماس، و قد مرّ</w:t>
      </w:r>
      <w:r>
        <w:rPr>
          <w:rStyle w:val="FootnoteAnchor"/>
          <w:rtl w:val="true"/>
        </w:rPr>
        <w:footnoteReference w:id="802"/>
      </w:r>
      <w:r>
        <w:rPr>
          <w:rFonts w:ascii="Amiri" w:hAnsi="Amiri" w:eastAsia="Amiri" w:cs="Amiri"/>
          <w:color w:val="111111"/>
          <w:sz w:val="28"/>
          <w:sz w:val="28"/>
          <w:szCs w:val="28"/>
          <w:rtl w:val="true"/>
          <w:lang w:bidi="ar-SA"/>
        </w:rPr>
        <w:t>أنّه ليس بحرام تكليفاً و لو كان ما هو الواجب الاجتناب عنه بعد بطلان الصوم بعنوان التأديب، هو المفطر و هو الارتماس، فلا يكون البقاء و المكث من المفطر بالضرورة؛ لأنّ ما هو المفطر هو المعنى الحدثي الآني المتحقّق، و قد زال و انعدم بعد الارتماس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w:t>
      </w:r>
      <w:r>
        <w:rPr>
          <w:rStyle w:val="FootnoteAnchor"/>
          <w:rtl w:val="true"/>
        </w:rPr>
        <w:footnoteReference w:id="803"/>
      </w:r>
      <w:r>
        <w:rPr>
          <w:rFonts w:ascii="Amiri" w:hAnsi="Amiri" w:eastAsia="Amiri" w:cs="Amiri"/>
          <w:color w:val="111111"/>
          <w:sz w:val="28"/>
          <w:sz w:val="28"/>
          <w:szCs w:val="28"/>
          <w:rtl w:val="true"/>
          <w:lang w:bidi="ar-SA"/>
        </w:rPr>
        <w:t>و غيره</w:t>
      </w:r>
      <w:r>
        <w:rPr>
          <w:rStyle w:val="FootnoteAnchor"/>
          <w:rtl w:val="true"/>
        </w:rPr>
        <w:footnoteReference w:id="804"/>
      </w:r>
      <w:r>
        <w:rPr>
          <w:rFonts w:ascii="Amiri" w:hAnsi="Amiri" w:eastAsia="Amiri" w:cs="Amiri"/>
          <w:color w:val="111111"/>
          <w:sz w:val="28"/>
          <w:sz w:val="28"/>
          <w:szCs w:val="28"/>
          <w:rtl w:val="true"/>
          <w:lang w:bidi="ar-SA"/>
        </w:rPr>
        <w:t>، و ما سلكه المحشّون نوعاً أو كلّا، خال عن التحصيل، فالغسل حال الخروج، و المكث يصحّ إلّا على القول بلزوم الولوج في صحّته على ما تحرّر في كتاب الطهارة، و لا وجه لتوهّم النهي عنه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الغسل و لو كان الارتماس محرّماً تكليفاً أو مكروهاً كما هما القولان في المسألة؛ لأنّ بين العنوانين عموم من وجه،</w:t>
      </w:r>
    </w:p>
    <w:p>
      <w:pPr>
        <w:pStyle w:val="BookText"/>
        <w:rPr/>
      </w:pPr>
      <w:r>
        <w:rPr>
          <w:rFonts w:ascii="Amiri" w:hAnsi="Amiri" w:eastAsia="Amiri" w:cs="Amiri"/>
          <w:color w:val="111111"/>
          <w:sz w:val="28"/>
          <w:sz w:val="28"/>
          <w:szCs w:val="28"/>
          <w:rtl w:val="true"/>
          <w:lang w:bidi="ar-SA"/>
        </w:rPr>
        <w:t xml:space="preserve">إلّا إذا 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نوى الغسل بالخروج، فإنّه صحيح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كمسألة الصلاة في الدار الغصبيّة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الغسل الارتماسي مورد الأمر ممنوع، بل المأمور به هو الغسل، و الارتماسي أحد مصاديقه، و الترتيبي مصداق آخر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قلنا بأنّ الارتماس مبطل، و حرام تكليفاً فالصحّة أيضاً معلومة، لما عرفت آنفاً، فعلى جميع التقادير لا فرض يفسد فيه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ذكرنا في تنبيهات التوصّلي و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صورة تمكّن العبد من امتثال الواجب أو المستحبّ الغير الملازم مع المحرّم، لا يبعد حكم العرف بلزوم ذلك كشفا نوع تقييد في المأمور به</w:t>
      </w:r>
      <w:r>
        <w:rPr>
          <w:rStyle w:val="FootnoteAnchor"/>
          <w:rtl w:val="true"/>
        </w:rPr>
        <w:footnoteReference w:id="805"/>
      </w:r>
      <w:r>
        <w:rPr>
          <w:rFonts w:ascii="Amiri" w:hAnsi="Amiri" w:eastAsia="Amiri" w:cs="Amiri"/>
          <w:color w:val="111111"/>
          <w:sz w:val="28"/>
          <w:sz w:val="28"/>
          <w:szCs w:val="28"/>
          <w:rtl w:val="true"/>
          <w:lang w:bidi="ar-SA"/>
        </w:rPr>
        <w:t>، و لكنّه هنا لا ينفع؛ لأنّ الارتماس على رأينا واضح، و على رأيهم مفسد، و ليس من المحرّم التكليفي بعنوانه، فلا تخلط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إذا 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لما أُشير إليه من أنّ بعد الارتماس العمدي الممنوع، يكون المكث و الخروج مورد العقاب، و إذا كان واجباً الخروج، و محرّماً المكث، فالغسل حين المكث غير نافذ</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تاب عمّا صنعه فلا يستحقّ العقوبة بالنسبة إلى المكث حين</w:t>
      </w:r>
      <w:bookmarkStart w:id="194" w:name="pg12366_123133"/>
    </w:p>
    <w:p>
      <w:pPr>
        <w:pStyle w:val="Heading4"/>
        <w:numPr>
          <w:ilvl w:val="3"/>
          <w:numId w:val="1"/>
        </w:numPr>
        <w:rPr/>
      </w:pPr>
      <w:bookmarkStart w:id="195" w:name="__RefHeading___Toc8896057_417432637"/>
      <w:bookmarkStart w:id="196" w:name="_Toc72"/>
      <w:bookmarkEnd w:id="194"/>
      <w:bookmarkEnd w:id="195"/>
      <w:r>
        <w:rPr>
          <w:rtl w:val="true"/>
        </w:rPr>
        <w:t>[</w:t>
      </w:r>
      <w:r>
        <w:rPr>
          <w:rtl w:val="true"/>
        </w:rPr>
        <w:t>الثامن</w:t>
      </w:r>
      <w:r>
        <w:rPr>
          <w:rtl w:val="true"/>
        </w:rPr>
        <w:t xml:space="preserve">: </w:t>
      </w:r>
      <w:r>
        <w:rPr>
          <w:rtl w:val="true"/>
        </w:rPr>
        <w:t>إيصال الغبار الغليظ إلى الحلق</w:t>
      </w:r>
      <w:r>
        <w:rPr>
          <w:rtl w:val="true"/>
        </w:rPr>
        <w:t>]</w:t>
      </w:r>
      <w:bookmarkEnd w:id="196"/>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إيصال الغبار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الغليظ إلى الحلق، بل و غير الغليظ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الخروج، و بالنسبة إلى الحركة الخروجيّة، فإذا غسل حينها يصحّ، و لكن كلّ ذلك ممّا لا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كفاية التوبة بالنسبة إلى نفي الاستحقاق في مثل الخروج عن الأرض المغصوبة، محلّ إشكال؛ لأنّ من شرائط التوبة إمكان ترك المنهي عنه، و هو هنا 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إيصال 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إجماعاً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806"/>
      </w:r>
      <w:r>
        <w:rPr>
          <w:rFonts w:ascii="Amiri" w:hAnsi="Amiri" w:eastAsia="Amiri" w:cs="Amiri"/>
          <w:color w:val="111111"/>
          <w:sz w:val="28"/>
          <w:sz w:val="28"/>
          <w:szCs w:val="28"/>
          <w:rtl w:val="true"/>
          <w:lang w:bidi="ar-SA"/>
        </w:rPr>
        <w:t>و غيرها</w:t>
      </w:r>
      <w:r>
        <w:rPr>
          <w:rStyle w:val="FootnoteAnchor"/>
          <w:rtl w:val="true"/>
        </w:rPr>
        <w:footnoteReference w:id="807"/>
      </w:r>
      <w:r>
        <w:rPr>
          <w:rFonts w:ascii="Amiri" w:hAnsi="Amiri" w:eastAsia="Amiri" w:cs="Amiri"/>
          <w:color w:val="111111"/>
          <w:sz w:val="28"/>
          <w:sz w:val="28"/>
          <w:szCs w:val="28"/>
          <w:rtl w:val="true"/>
          <w:lang w:bidi="ar-SA"/>
        </w:rPr>
        <w:t>، و قيل على المشهور شهرة عظيمة، كادت تكون إجماعاً؛ إذ لم يعرف مخالف فيه صريحاً إلى الأزمنة المتأخّرة</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يظهر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عن نقل الإجماع</w:t>
      </w:r>
      <w:r>
        <w:rPr>
          <w:rStyle w:val="FootnoteAnchor"/>
          <w:rtl w:val="true"/>
        </w:rPr>
        <w:footnoteReference w:id="809"/>
      </w:r>
      <w:r>
        <w:rPr>
          <w:rFonts w:ascii="Amiri" w:hAnsi="Amiri" w:eastAsia="Amiri" w:cs="Amiri"/>
          <w:color w:val="111111"/>
          <w:sz w:val="28"/>
          <w:sz w:val="28"/>
          <w:szCs w:val="28"/>
          <w:rtl w:val="true"/>
          <w:lang w:bidi="ar-SA"/>
        </w:rPr>
        <w:t xml:space="preserve">، و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الخلاف في المسألة</w:t>
      </w:r>
      <w:r>
        <w:rPr>
          <w:rStyle w:val="FootnoteAnchor"/>
          <w:rtl w:val="true"/>
        </w:rPr>
        <w:footnoteReference w:id="810"/>
      </w:r>
      <w:r>
        <w:rPr>
          <w:rFonts w:ascii="IRNazanin" w:hAnsi="IRNazanin" w:eastAsia="IRNazanin"/>
          <w:color w:val="111111"/>
          <w:sz w:val="28"/>
          <w:sz w:val="28"/>
          <w:szCs w:val="28"/>
          <w:rtl w:val="true"/>
          <w:lang w:bidi="fa-IR"/>
        </w:rPr>
        <w:t>، و خلو</w:t>
      </w:r>
    </w:p>
    <w:p>
      <w:pPr>
        <w:pStyle w:val="BookText"/>
        <w:rPr/>
      </w:pPr>
      <w:r>
        <w:rPr>
          <w:rFonts w:ascii="Amiri" w:hAnsi="Amiri" w:eastAsia="Amiri" w:cs="Amiri"/>
          <w:color w:val="111111"/>
          <w:sz w:val="28"/>
          <w:sz w:val="28"/>
          <w:szCs w:val="28"/>
          <w:rtl w:val="true"/>
          <w:lang w:bidi="ar-SA"/>
        </w:rPr>
        <w:t xml:space="preserve">كلمات الصدوق، و المفيد، بل و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السيّد</w:t>
      </w:r>
      <w:r>
        <w:rPr>
          <w:rStyle w:val="FootnoteAnchor"/>
          <w:rtl w:val="true"/>
        </w:rPr>
        <w:footnoteReference w:id="811"/>
      </w:r>
      <w:r>
        <w:rPr>
          <w:rFonts w:ascii="Amiri" w:hAnsi="Amiri" w:eastAsia="Amiri" w:cs="Amiri"/>
          <w:color w:val="111111"/>
          <w:sz w:val="28"/>
          <w:sz w:val="28"/>
          <w:szCs w:val="28"/>
          <w:rtl w:val="true"/>
          <w:lang w:bidi="ar-SA"/>
        </w:rPr>
        <w:t xml:space="preserve">، يشعر بأنّ المسألة ليست إجماعية، و لا مشهورة و إنّما الشهرة أُخذت في كلمات المتأخّرين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استظهر أنّه المشهور</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وصلت النوبة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13"/>
      </w:r>
      <w:r>
        <w:rPr>
          <w:rFonts w:ascii="Amiri" w:hAnsi="Amiri" w:eastAsia="Amiri" w:cs="Amiri"/>
          <w:color w:val="111111"/>
          <w:sz w:val="28"/>
          <w:sz w:val="28"/>
          <w:szCs w:val="28"/>
          <w:rtl w:val="true"/>
          <w:lang w:bidi="ar-SA"/>
        </w:rPr>
        <w:t xml:space="preserve">فقال ما قال من غير تأمّل في كلمات القوم، فإنّ مثل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دابة على نقل الإجماع، تمسّك بالأخبار</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يشهد على عدم تأمّلهم نقلهم الإجماع</w:t>
      </w:r>
      <w:r>
        <w:rPr>
          <w:rStyle w:val="FootnoteAnchor"/>
          <w:rtl w:val="true"/>
        </w:rPr>
        <w:footnoteReference w:id="815"/>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فاقدة له</w:t>
      </w:r>
      <w:r>
        <w:rPr>
          <w:rStyle w:val="FootnoteAnchor"/>
          <w:rtl w:val="true"/>
        </w:rPr>
        <w:footnoteReference w:id="816"/>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الجمهور قالوا بعدم المبطليّة</w:t>
      </w:r>
      <w:r>
        <w:rPr>
          <w:rStyle w:val="FootnoteAnchor"/>
          <w:rtl w:val="true"/>
        </w:rPr>
        <w:footnoteReference w:id="817"/>
      </w:r>
      <w:r>
        <w:rPr>
          <w:rFonts w:ascii="Amiri" w:hAnsi="Amiri" w:eastAsia="Amiri" w:cs="Amiri"/>
          <w:color w:val="111111"/>
          <w:sz w:val="28"/>
          <w:sz w:val="28"/>
          <w:szCs w:val="28"/>
          <w:rtl w:val="true"/>
          <w:lang w:bidi="ar-SA"/>
        </w:rPr>
        <w:t>، و هو الأقرب، كما عليه كثير</w:t>
      </w:r>
    </w:p>
    <w:p>
      <w:pPr>
        <w:pStyle w:val="BookText"/>
        <w:rPr/>
      </w:pPr>
      <w:r>
        <w:rPr>
          <w:rFonts w:ascii="Amiri" w:hAnsi="Amiri" w:eastAsia="Amiri" w:cs="Amiri"/>
          <w:color w:val="111111"/>
          <w:sz w:val="28"/>
          <w:sz w:val="28"/>
          <w:szCs w:val="28"/>
          <w:rtl w:val="true"/>
          <w:lang w:bidi="ar-SA"/>
        </w:rPr>
        <w:t>من المتأخّرين</w:t>
      </w:r>
      <w:r>
        <w:rPr>
          <w:rStyle w:val="FootnoteAnchor"/>
          <w:rtl w:val="true"/>
        </w:rPr>
        <w:footnoteReference w:id="818"/>
      </w:r>
      <w:r>
        <w:rPr>
          <w:rFonts w:ascii="Amiri" w:hAnsi="Amiri" w:eastAsia="Amiri" w:cs="Amiri"/>
          <w:color w:val="111111"/>
          <w:sz w:val="28"/>
          <w:sz w:val="28"/>
          <w:szCs w:val="28"/>
          <w:rtl w:val="true"/>
          <w:lang w:bidi="ar-SA"/>
        </w:rPr>
        <w:t>، و هو ظاهر جمع من الأقدمين</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لم تكن الشهرة تامّة فالخبر</w:t>
      </w:r>
      <w:r>
        <w:rPr>
          <w:rStyle w:val="FootnoteAnchor"/>
          <w:rtl w:val="true"/>
        </w:rPr>
        <w:footnoteReference w:id="820"/>
      </w:r>
      <w:r>
        <w:rPr>
          <w:rFonts w:ascii="Amiri" w:hAnsi="Amiri" w:eastAsia="Amiri" w:cs="Amiri"/>
          <w:color w:val="111111"/>
          <w:sz w:val="28"/>
          <w:sz w:val="28"/>
          <w:szCs w:val="28"/>
          <w:rtl w:val="true"/>
          <w:lang w:bidi="ar-SA"/>
        </w:rPr>
        <w:t>المستدلّ به</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كتاب الصوم، أبواب ما يمسك عنه الصائم، الباب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مضافاً إلى ضعف سنده لإضماره، غير معمول به، لذهاب بعضهم أو كثير منهم إلى القضاء دون الكفّارة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فيه الكفّارة شهرين متتابعين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 تقييد الغبار بالغليظ غير 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822"/>
      </w:r>
      <w:r>
        <w:rPr>
          <w:rFonts w:ascii="Amiri" w:hAnsi="Amiri" w:eastAsia="Amiri" w:cs="Amiri"/>
          <w:color w:val="111111"/>
          <w:sz w:val="28"/>
          <w:sz w:val="28"/>
          <w:szCs w:val="28"/>
          <w:rtl w:val="true"/>
          <w:lang w:bidi="ar-SA"/>
        </w:rPr>
        <w:t>و في الخبر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الأقوى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الإيصال بإثارته بنفسه بكنس أو نحوه، أو بإثارة غيره أو بإثارة الهواء مع تمكينه من الوصول، و عدم التحفّظ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القائلين بالبطلان يعتقدون أنّه من الأكل فاعتبروا الغلظة، لأنّ في غير هذه الصورة يشكّ في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مثل الغبار مبطلًا، و هو مورد الابتلاء جدّاً، لبان حكمه و لاشتهر بينهم، فالحصر الظاهر من معتبر ابن مسلم</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كتاب الصوم، أبواب ما يمسك عنه الصائم،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Style w:val="FootnoteAnchor"/>
          <w:rtl w:val="true"/>
        </w:rPr>
        <w:footnoteReference w:id="824"/>
      </w:r>
      <w:r>
        <w:rPr>
          <w:rFonts w:ascii="Amiri" w:hAnsi="Amiri" w:eastAsia="Amiri" w:cs="Amiri"/>
          <w:color w:val="111111"/>
          <w:sz w:val="28"/>
          <w:sz w:val="28"/>
          <w:szCs w:val="28"/>
          <w:rtl w:val="true"/>
          <w:lang w:bidi="ar-SA"/>
        </w:rPr>
        <w:t>جبران الضعف بتلك الشهرة، أو الشهرة الروائيّة فاسد، محرّر تفصيله في الأُصول</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الشهرة الفتوائيّة العمليّة جابرة، و هي ممنوعة أيضاً فلا تخلط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نظراً إلى أنّ الرقيق منه مورد السيرة القطعيّة، و الغليظ منه متعارف في كنس البيت الوارد فيه الخبر، فيكون في حكم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فيما يعسر التحرّز عنه 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أنّ المشهور المدّعى قالوا به في مورد الغليظ</w:t>
      </w:r>
      <w:r>
        <w:rPr>
          <w:rStyle w:val="FootnoteAnchor"/>
          <w:rtl w:val="true"/>
        </w:rPr>
        <w:footnoteReference w:id="826"/>
      </w:r>
      <w:r>
        <w:rPr>
          <w:rFonts w:ascii="Amiri" w:hAnsi="Amiri" w:eastAsia="Amiri" w:cs="Amiri"/>
          <w:color w:val="111111"/>
          <w:sz w:val="28"/>
          <w:sz w:val="28"/>
          <w:szCs w:val="28"/>
          <w:rtl w:val="true"/>
          <w:lang w:bidi="ar-SA"/>
        </w:rPr>
        <w:t xml:space="preserve">، و إن كان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خالياً و فارغاً عنه</w:t>
      </w:r>
      <w:r>
        <w:rPr>
          <w:rStyle w:val="FootnoteAnchor"/>
          <w:rtl w:val="true"/>
        </w:rPr>
        <w:footnoteReference w:id="827"/>
      </w:r>
      <w:r>
        <w:rPr>
          <w:rFonts w:ascii="Amiri" w:hAnsi="Amiri" w:eastAsia="Amiri" w:cs="Amiri"/>
          <w:color w:val="111111"/>
          <w:sz w:val="28"/>
          <w:sz w:val="28"/>
          <w:szCs w:val="28"/>
          <w:rtl w:val="true"/>
          <w:lang w:bidi="ar-SA"/>
        </w:rPr>
        <w:t>إلّا أنّه لا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أنّ خبر ابن سعيد</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1003</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كتاب الصوم، أبواب ما يمسك عنه الصائم، الباب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يصرّح بجواز الغبار الداخل في الحلق، المحمول على الرقيق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بالبطلان في الفروض المذكورة كلّها، لصدق الإيصال، مع أنّ في الخبر الذي استندوا إليه ليس عنوان الإيصال،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كنس بيتاً، فدخل في أنفه و حلقه غبار، فعليه صوم شهرين متتابعين </w:t>
      </w:r>
      <w:r>
        <w:rPr>
          <w:rFonts w:eastAsia="Amiri" w:cs="Amiri" w:ascii="Amiri" w:hAnsi="Amiri"/>
          <w:color w:val="111111"/>
          <w:sz w:val="28"/>
          <w:szCs w:val="28"/>
          <w:rtl w:val="true"/>
          <w:lang w:bidi="ar-SA"/>
        </w:rPr>
        <w:t>..»</w:t>
      </w:r>
      <w:r>
        <w:rPr>
          <w:rStyle w:val="FootnoteAnchor"/>
          <w:rtl w:val="true"/>
        </w:rPr>
        <w:footnoteReference w:id="82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لعدم صدق الإيصال، أو لأنّ المنصرف من الخبر غير ذلك، أو لأنّ القدر المتيقّن من الإجماع و الشهرة غير هذه الصورة، أو لأنّ السيرة</w:t>
      </w:r>
    </w:p>
    <w:p>
      <w:pPr>
        <w:pStyle w:val="BookText"/>
        <w:rPr/>
      </w:pPr>
      <w:r>
        <w:rPr>
          <w:rFonts w:ascii="Amiri" w:hAnsi="Amiri" w:eastAsia="Amiri" w:cs="Amiri"/>
          <w:color w:val="111111"/>
          <w:sz w:val="28"/>
          <w:sz w:val="28"/>
          <w:szCs w:val="28"/>
          <w:rtl w:val="true"/>
          <w:lang w:bidi="ar-SA"/>
        </w:rPr>
        <w:t xml:space="preserve">و لا بأس به مع النسيان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الغفلة، أو القهر الرافع للاختيار، أو تخيّل عدم الوصول، إلّا أن يجتمع في فضاء الفم، ثمّ أكله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اختياراً، قائمة على عدم التحرّز في مورد التعسّر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وجه لذكر هذه الفروع هنا، لما يأتي اختصاص المفطريّة بصورة العمد، و العلم بالموضوع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خفيّ أنّ إيصال الغبار إلى الحلق بعنوانه مفطر، لا من باب صدق الأكل، فهذا التفريع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في الخبر كما أُشير إليه، ناظر إلى وصول الغبار، و دخوله قهراً، و في حال الكنس من غير توسّط الازدراد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اختياري بالقياس إلى المبادي البعيدة كالكنس و نحوه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ذلك أنّه قال المخبر في ذيل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شهرين متتابعين فإنّ ذلك له طر</w:t>
      </w:r>
      <w:r>
        <w:rPr>
          <w:rStyle w:val="FootnoteAnchor"/>
          <w:rtl w:val="true"/>
        </w:rPr>
        <w:footnoteReference w:id="830"/>
      </w:r>
      <w:r>
        <w:rPr>
          <w:rFonts w:ascii="Amiri" w:hAnsi="Amiri" w:eastAsia="Amiri" w:cs="Amiri"/>
          <w:color w:val="111111"/>
          <w:sz w:val="28"/>
          <w:sz w:val="28"/>
          <w:szCs w:val="28"/>
          <w:rtl w:val="true"/>
          <w:lang w:bidi="ar-SA"/>
        </w:rPr>
        <w:t>مثل الأكل و الشرب و النكاح</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الأقوى عدم لحوق البخار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قوله مدّ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لحوق البخار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خلافاً للمحكي عن المتأخّرين</w:t>
      </w:r>
      <w:r>
        <w:rPr>
          <w:rStyle w:val="FootnoteAnchor"/>
          <w:rtl w:val="true"/>
        </w:rPr>
        <w:footnoteReference w:id="832"/>
      </w:r>
      <w:r>
        <w:rPr>
          <w:rFonts w:ascii="Amiri" w:hAnsi="Amiri" w:eastAsia="Amiri" w:cs="Amiri"/>
          <w:color w:val="111111"/>
          <w:sz w:val="28"/>
          <w:sz w:val="28"/>
          <w:szCs w:val="28"/>
          <w:rtl w:val="true"/>
          <w:lang w:bidi="ar-SA"/>
        </w:rPr>
        <w:t>، حيث ألحقوه به إذا كان غليظاً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و جمع من المتأخّرين</w:t>
      </w:r>
      <w:r>
        <w:rPr>
          <w:rStyle w:val="FootnoteAnchor"/>
          <w:rtl w:val="true"/>
        </w:rPr>
        <w:footnoteReference w:id="834"/>
      </w:r>
      <w:r>
        <w:rPr>
          <w:rFonts w:ascii="Amiri" w:hAnsi="Amiri" w:eastAsia="Amiri" w:cs="Amiri"/>
          <w:color w:val="111111"/>
          <w:sz w:val="28"/>
          <w:sz w:val="28"/>
          <w:szCs w:val="28"/>
          <w:rtl w:val="true"/>
          <w:lang w:bidi="ar-SA"/>
        </w:rPr>
        <w:t xml:space="preserve">المناقشة فيه،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بعدمه</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إلحاق البخار الغليظ</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هو المستند توهّم إلغاء الخصوصيّة، و أنّ البخار الغليظ أقوى في التأثير في البدن، فيكون أقرب إلى المنع، فلو كان الغليظ من الغبار ممنوعاً، فهو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الوصول إلى الحلق لمثل الغبار يحرم، بخلاف البخار، فإنّه ليس بحرام في نفسه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الوصول إلى الحلق ليس بمحرّم، و لو كان تراباً؛ لأنّ الأكل حرام، و لازم ما ذكره القوم و التزموه بطلان الصوم بالوصول إلى الحلق، و لو</w:t>
      </w:r>
      <w:bookmarkStart w:id="197" w:name="pg12366_123140"/>
    </w:p>
    <w:p>
      <w:pPr>
        <w:pStyle w:val="BookText"/>
        <w:rPr/>
      </w:pPr>
      <w:bookmarkEnd w:id="197"/>
      <w:r>
        <w:rPr>
          <w:rFonts w:ascii="Amiri" w:hAnsi="Amiri" w:eastAsia="Amiri" w:cs="Amiri"/>
          <w:color w:val="111111"/>
          <w:sz w:val="28"/>
          <w:sz w:val="28"/>
          <w:szCs w:val="28"/>
          <w:rtl w:val="true"/>
          <w:lang w:bidi="ar-SA"/>
        </w:rPr>
        <w:t xml:space="preserve">إلّا إذا انقلب في الفم ماء و ابتلعه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الأقوى عدم لحوق الدخان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أيضاً، نعم، يلحق به شرب الأدخنة على الأحوط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8896059_417432637"/>
      <w:bookmarkStart w:id="199" w:name="_Toc73"/>
      <w:bookmarkEnd w:id="198"/>
      <w:r>
        <w:rPr>
          <w:rtl w:val="true"/>
        </w:rPr>
        <w:t>[</w:t>
      </w:r>
      <w:r>
        <w:rPr>
          <w:rtl w:val="true"/>
        </w:rPr>
        <w:t>التاسع</w:t>
      </w:r>
      <w:r>
        <w:rPr>
          <w:rtl w:val="true"/>
        </w:rPr>
        <w:t xml:space="preserve">: </w:t>
      </w:r>
      <w:r>
        <w:rPr>
          <w:rtl w:val="true"/>
        </w:rPr>
        <w:t>الحقنة</w:t>
      </w:r>
      <w:r>
        <w:rPr>
          <w:rtl w:val="true"/>
        </w:rPr>
        <w:t>]</w:t>
      </w:r>
      <w:bookmarkEnd w:id="199"/>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أرجعه إلى الخارج كما هو متيسّر أحياناً، و هذا أيضاً من مبعدات مرامهم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أنّه لو أرجعه يكون من القي‌ء، لا يخلو عن تأسّف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أيضاً خروج عن فروع هذه المسألة،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مرّ وجه اللحوق و عدمه في ذيل المسألة الأخيرة، و يؤيّد عدم اللحوق، مضافاً إلى قصور الأدلّة المقتضية للحوقه به، وجود الدخنة في رواية ابن سعيد،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الصائم يتدخّن بعود أو بغير ذلك، فتدخل الدخنة في حلقه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 لا بأس به</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إمّا لأجل أنّه من الغليظ الملحق بالغبار الغليظ، لإلغاء الخصوصيّة أو لأجل صدق الشرب فعلًا، و في عصرنا، أو لأجل تنافيه في</w:t>
      </w:r>
    </w:p>
    <w:p>
      <w:pPr>
        <w:pStyle w:val="BookText"/>
        <w:rPr/>
      </w:pPr>
      <w:r>
        <w:rPr>
          <w:rFonts w:ascii="Amiri" w:hAnsi="Amiri" w:eastAsia="Amiri" w:cs="Amiri"/>
          <w:color w:val="111111"/>
          <w:sz w:val="28"/>
          <w:sz w:val="28"/>
          <w:szCs w:val="28"/>
          <w:rtl w:val="true"/>
          <w:lang w:bidi="ar-SA"/>
        </w:rPr>
        <w:t>في محيط المتشرّعة للصوم و الإمساك، أو لأجل أنّ المستفاد من الأدلّة ممنوعيّة الإدخال في الجوف، كما سيظهر تقريبه في ذيل المسألة الآتية إن شاء اللَّه تعالى</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توهّم أنّ شرب الأدخنة لا يدخل في المعدة، و لا في المري، فلا يلحق بالأُمور السابقة، فهو في غير محلّه؛ لأنّه و إن يدخل قصبة الرئة إلّا أنّه يدخل في الحلق أولًا، ثمّ من الحلق ينقسم مجرى الهواء، و مجرى الغذاء، و قد عرفت أنّ الإيصال إلى الحلق مورد المنع، فإذا التحق بالغبار التدخين فالمنع لأجل ذلك، أو لأجل أنّ الإدخال في الجوف ممنوع، فلا فرق بين المجريين</w:t>
      </w:r>
      <w:r>
        <w:rPr>
          <w:rFonts w:eastAsia="Amiri" w:cs="Amiri" w:ascii="Amiri" w:hAnsi="Amiri"/>
          <w:color w:val="111111"/>
          <w:sz w:val="28"/>
          <w:szCs w:val="28"/>
          <w:rtl w:val="true"/>
          <w:lang w:bidi="ar-SA"/>
        </w:rPr>
        <w:t>.</w:t>
      </w:r>
      <w:bookmarkStart w:id="200" w:name="pg12366_123142"/>
    </w:p>
    <w:p>
      <w:pPr>
        <w:pStyle w:val="Heading2"/>
        <w:numPr>
          <w:ilvl w:val="1"/>
          <w:numId w:val="1"/>
        </w:numPr>
        <w:rPr/>
      </w:pPr>
      <w:bookmarkStart w:id="201" w:name="__RefHeading___Toc8896061_417432637"/>
      <w:bookmarkStart w:id="202" w:name="_Toc74"/>
      <w:bookmarkEnd w:id="200"/>
      <w:bookmarkEnd w:id="201"/>
      <w:r>
        <w:rPr>
          <w:rtl w:val="true"/>
        </w:rPr>
        <w:t>[</w:t>
      </w:r>
      <w:r>
        <w:rPr>
          <w:rtl w:val="true"/>
        </w:rPr>
        <w:t>كتاب المكاسب و المتاجر</w:t>
      </w:r>
      <w:r>
        <w:rPr>
          <w:rtl w:val="true"/>
        </w:rPr>
        <w:t>]</w:t>
      </w:r>
      <w:bookmarkEnd w:id="202"/>
    </w:p>
    <w:p>
      <w:pPr>
        <w:pStyle w:val="Heading3"/>
        <w:numPr>
          <w:ilvl w:val="2"/>
          <w:numId w:val="1"/>
        </w:numPr>
        <w:rPr/>
      </w:pPr>
      <w:bookmarkStart w:id="203" w:name="__RefHeading___Toc8896063_417432637"/>
      <w:bookmarkStart w:id="204" w:name="_Toc75"/>
      <w:bookmarkEnd w:id="203"/>
      <w:r>
        <w:rPr>
          <w:rtl w:val="true"/>
        </w:rPr>
        <w:t>اشارة</w:t>
      </w:r>
      <w:bookmarkEnd w:id="20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المكاسب و المتاجر و هي أنواع، نذكرها و نذكر المسائل المتعلِّقة بها في طيِّ كتب</w:t>
      </w:r>
      <w:r>
        <w:rPr>
          <w:rFonts w:eastAsia="Amiri" w:cs="Amiri" w:ascii="Amiri" w:hAnsi="Amiri"/>
          <w:color w:val="111111"/>
          <w:sz w:val="28"/>
          <w:szCs w:val="28"/>
          <w:rtl w:val="true"/>
          <w:lang w:bidi="ar-SA"/>
        </w:rPr>
        <w:t>:</w:t>
      </w:r>
      <w:bookmarkStart w:id="205" w:name="pg12366_123144"/>
    </w:p>
    <w:p>
      <w:pPr>
        <w:pStyle w:val="Heading3"/>
        <w:numPr>
          <w:ilvl w:val="2"/>
          <w:numId w:val="1"/>
        </w:numPr>
        <w:rPr/>
      </w:pPr>
      <w:bookmarkStart w:id="206" w:name="__RefHeading___Toc8896065_417432637"/>
      <w:bookmarkStart w:id="207" w:name="_Toc76"/>
      <w:bookmarkEnd w:id="205"/>
      <w:bookmarkEnd w:id="206"/>
      <w:r>
        <w:rPr>
          <w:rtl w:val="true"/>
        </w:rPr>
        <w:t>[</w:t>
      </w:r>
      <w:r>
        <w:rPr>
          <w:rtl w:val="true"/>
        </w:rPr>
        <w:t>مقدمة تشتمل على مسائل</w:t>
      </w:r>
      <w:r>
        <w:rPr>
          <w:rtl w:val="true"/>
        </w:rPr>
        <w:t>]</w:t>
      </w:r>
      <w:bookmarkEnd w:id="207"/>
    </w:p>
    <w:p>
      <w:pPr>
        <w:pStyle w:val="Heading4"/>
        <w:numPr>
          <w:ilvl w:val="3"/>
          <w:numId w:val="1"/>
        </w:numPr>
        <w:rPr/>
      </w:pPr>
      <w:bookmarkStart w:id="208" w:name="__RefHeading___Toc8896067_417432637"/>
      <w:bookmarkStart w:id="209" w:name="_Toc77"/>
      <w:bookmarkEnd w:id="208"/>
      <w:r>
        <w:rPr>
          <w:rtl w:val="true"/>
        </w:rPr>
        <w:t>اشارة</w:t>
      </w:r>
      <w:bookmarkEnd w:id="209"/>
    </w:p>
    <w:p>
      <w:pPr>
        <w:pStyle w:val="BookText"/>
        <w:rPr/>
      </w:pPr>
      <w:r>
        <w:rPr>
          <w:rFonts w:ascii="Amiri" w:hAnsi="Amiri" w:eastAsia="Amiri" w:cs="Amiri"/>
          <w:color w:val="111111"/>
          <w:sz w:val="28"/>
          <w:sz w:val="28"/>
          <w:szCs w:val="28"/>
          <w:rtl w:val="true"/>
          <w:lang w:bidi="ar-SA"/>
        </w:rPr>
        <w:t>مقدمة تشتمل على مسائل</w:t>
      </w:r>
      <w:r>
        <w:rPr>
          <w:rStyle w:val="FootnoteAnchor"/>
          <w:rtl w:val="true"/>
        </w:rPr>
        <w:footnoteReference w:id="838"/>
      </w:r>
    </w:p>
    <w:p>
      <w:pPr>
        <w:pStyle w:val="Heading4"/>
        <w:numPr>
          <w:ilvl w:val="3"/>
          <w:numId w:val="1"/>
        </w:numPr>
        <w:rPr/>
      </w:pPr>
      <w:bookmarkStart w:id="210" w:name="__RefHeading___Toc8896069_417432637"/>
      <w:bookmarkStart w:id="211" w:name="_Toc78"/>
      <w:bookmarkEnd w:id="210"/>
      <w:r>
        <w:rPr>
          <w:rtl w:val="true"/>
        </w:rPr>
        <w:t>[</w:t>
      </w:r>
      <w:r>
        <w:rPr>
          <w:rtl w:val="true"/>
        </w:rPr>
        <w:t xml:space="preserve">مسألة </w:t>
      </w:r>
      <w:r>
        <w:rPr/>
        <w:t>1</w:t>
      </w:r>
      <w:r>
        <w:rPr>
          <w:rtl w:val="true"/>
        </w:rPr>
        <w:t xml:space="preserve"> </w:t>
      </w:r>
      <w:r>
        <w:rPr>
          <w:rtl w:val="true"/>
        </w:rPr>
        <w:t>حرمة الاكتساب بالأعيان النجسة</w:t>
      </w:r>
      <w:r>
        <w:rPr>
          <w:rtl w:val="true"/>
        </w:rPr>
        <w:t>]</w:t>
      </w:r>
      <w:bookmarkEnd w:id="211"/>
    </w:p>
    <w:p>
      <w:pPr>
        <w:pStyle w:val="Heading5"/>
        <w:numPr>
          <w:ilvl w:val="4"/>
          <w:numId w:val="1"/>
        </w:numPr>
        <w:rPr/>
      </w:pPr>
      <w:bookmarkStart w:id="212" w:name="__RefHeading___Toc8896071_417432637"/>
      <w:bookmarkStart w:id="213" w:name="_Toc79"/>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الاكتساب بالأعيان النجسة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تكليفاً و وضعاً على المشهور بينهم، و عليه الإجماعات الكثيرة المحكيّة عن القدماء و المتأخِّرين</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حصر النزاع في الوضع</w:t>
      </w:r>
      <w:r>
        <w:rPr>
          <w:rStyle w:val="FootnoteAnchor"/>
          <w:rtl w:val="true"/>
        </w:rPr>
        <w:footnoteReference w:id="840"/>
      </w:r>
      <w:r>
        <w:rPr>
          <w:rFonts w:ascii="Amiri" w:hAnsi="Amiri" w:eastAsia="Amiri" w:cs="Amiri"/>
          <w:color w:val="111111"/>
          <w:sz w:val="28"/>
          <w:sz w:val="28"/>
          <w:szCs w:val="28"/>
          <w:rtl w:val="true"/>
          <w:lang w:bidi="ar-SA"/>
        </w:rPr>
        <w:t>، ناشئ من الغفلة عن تقسيمهم</w:t>
      </w:r>
    </w:p>
    <w:p>
      <w:pPr>
        <w:pStyle w:val="BookText"/>
        <w:rPr/>
      </w:pPr>
      <w:r>
        <w:rPr>
          <w:rFonts w:ascii="Amiri" w:hAnsi="Amiri" w:eastAsia="Amiri" w:cs="Amiri"/>
          <w:color w:val="111111"/>
          <w:sz w:val="28"/>
          <w:sz w:val="28"/>
          <w:szCs w:val="28"/>
          <w:rtl w:val="true"/>
          <w:lang w:bidi="ar-SA"/>
        </w:rPr>
        <w:t xml:space="preserve">المكاسب إلى الحرام و المكروه و المباح، بل إلى الواجب و المستحبّ، و عن تخصيصهم البحث على حدة بالمكاسب المحرَّمة؛ لرجوع المسألة الوضعيّة في المقام إلى كتاب البيع، و الإجارة، و غيرهما؛ من اشتراط الماليَّة و الملك فيهما، أو الطهارة، فالتمسُّك بكلام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دعواه الإجماع على عدم صحَّة البيع</w:t>
      </w:r>
      <w:r>
        <w:rPr>
          <w:rStyle w:val="FootnoteAnchor"/>
          <w:rtl w:val="true"/>
        </w:rPr>
        <w:footnoteReference w:id="841"/>
      </w:r>
      <w:r>
        <w:rPr>
          <w:rFonts w:ascii="Amiri" w:hAnsi="Amiri" w:eastAsia="Amiri" w:cs="Amiri"/>
          <w:color w:val="111111"/>
          <w:sz w:val="28"/>
          <w:sz w:val="28"/>
          <w:szCs w:val="28"/>
          <w:rtl w:val="true"/>
          <w:lang w:bidi="ar-SA"/>
        </w:rPr>
        <w:t>، في غير محلّه؛ لأنَّه فرض البحث حول اشتراط الطهارة في المعقود عليه جهات البحث في حرمة التكسُّب بالأعيان النجسة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يقع الكلام في هذه المسألة في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الحرمة التكليفيّة، و عمومها، و أصل الحرمة الوضعيّة، و 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شبهة في الحرمتين إجمالًا، و لا وجه يعتمد عليه لعموم المدَّعى في الطرفين؛ و ذلك لأنَّ أمر سنده دائر بين ما هو ضعيف دلالةً و سنداً، كعمومات المسألة المستدلّ بها، مثل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و أمّا وجوه الحرام من البيع و الشراء فكلّ أمر يكون فيه الفساد ممّا هو منهيّ عنه من جهة أكله و شربه أو كسبه أو نكاحه أو ملكه أو إمساكه أو هبته أو عاريته أو شي‌ء يكون فيه وجه من وجوه الفساد نظير البيع بالربا، لما في ذلك من الفساد، أو البيع للميتة، أو الدم، أو لحم الخنزير، أو لحوم السباع من صنوف سباع الوحش، أو الطير، أو جلودها، أو الخمر، أو شي‌ء من وجوه النجس، فهذا كلّه حرام و محرّم، لأنّ ذلك كلّه منهيّ عن أكله و شربه و لبسه و ملكه و إمساكه و التقلّب فيه بوجه من الوجوه لما فيه من الفساد، فجميع تقلّبه في ذلك حرام و كذلك كلّ بيع ملهوّ به و كلّ منهيّ عنه ممّا يتقرّب به لغير اللَّه، أو يقوى به الكفر و الشرك من جميع وجوه المعاصي، أو باب من الأبواب يقوى به باب من أبواب الضلالة، أو باب من أبواب الباطل، أو باب يوهن به الحقّ فهو حرام محرّم، حرام بيعه و شراؤه و إمساكه و ملكه وهبته و عاريته و جميع التقلّب فيه إلّا في حال تدعو الضرورة فيه إلى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و كلّ أمر يكون فيه الفساد ممّا قد نهي عنه من جهة أكله و شربه و لبسه و نكاحه و إمساكه، لوجه الفساد، ممّا قد نهي عنه، 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و الدم، و لحم الخنزير، و الربا، و جميع الفواحش، و لحوم السباع، و الخمر، و ما أشبه ذلك فحرام ضار للجسم و فاسد للنفس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المنسوب للإمام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النبوي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سنن أبي داود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3488</w:t>
      </w:r>
      <w:r>
        <w:rPr>
          <w:rFonts w:ascii="Amiri" w:hAnsi="Amiri" w:eastAsia="Amiri" w:cs="Amiri"/>
          <w:color w:val="111111"/>
          <w:sz w:val="28"/>
          <w:sz w:val="28"/>
          <w:szCs w:val="28"/>
          <w:rtl w:val="true"/>
          <w:lang w:bidi="ar-SA"/>
        </w:rPr>
        <w:t xml:space="preserve">، عوالي اللّئالي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مستدرك الوسائل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كتاب التجارة، أبواب ما يكتسب به،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المنسوب إلى الشهرة بين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الفريقين</w:t>
      </w:r>
      <w:r>
        <w:rPr>
          <w:rStyle w:val="FootnoteAnchor"/>
          <w:rtl w:val="true"/>
        </w:rPr>
        <w:footnoteReference w:id="844"/>
      </w:r>
      <w:r>
        <w:rPr>
          <w:rFonts w:ascii="Amiri" w:hAnsi="Amiri" w:eastAsia="Amiri" w:cs="Amiri"/>
          <w:color w:val="111111"/>
          <w:sz w:val="28"/>
          <w:sz w:val="28"/>
          <w:szCs w:val="28"/>
          <w:rtl w:val="true"/>
          <w:lang w:bidi="ar-SA"/>
        </w:rPr>
        <w:t>، و بين ما هو قويّ سنداً، و لكنَّه لا يفي بعموم المقصود، مثل ما ورد بيع الخمر</w:t>
      </w:r>
      <w:r>
        <w:rPr>
          <w:rStyle w:val="FootnoteAnchor"/>
          <w:rtl w:val="true"/>
        </w:rPr>
        <w:footnoteReference w:id="845"/>
      </w:r>
      <w:r>
        <w:rPr>
          <w:rFonts w:ascii="Amiri" w:hAnsi="Amiri" w:eastAsia="Amiri" w:cs="Amiri"/>
          <w:color w:val="111111"/>
          <w:sz w:val="28"/>
          <w:sz w:val="28"/>
          <w:szCs w:val="28"/>
          <w:rtl w:val="true"/>
          <w:lang w:bidi="ar-SA"/>
        </w:rPr>
        <w:t>و الميتة</w:t>
      </w:r>
      <w:r>
        <w:rPr>
          <w:rStyle w:val="FootnoteAnchor"/>
          <w:rtl w:val="true"/>
        </w:rPr>
        <w:footnoteReference w:id="846"/>
      </w:r>
      <w:r>
        <w:rPr>
          <w:rFonts w:ascii="Amiri" w:hAnsi="Amiri" w:eastAsia="Amiri" w:cs="Amiri"/>
          <w:color w:val="111111"/>
          <w:sz w:val="28"/>
          <w:sz w:val="28"/>
          <w:szCs w:val="28"/>
          <w:rtl w:val="true"/>
          <w:lang w:bidi="ar-SA"/>
        </w:rPr>
        <w:t>، بل و العذرة</w:t>
      </w:r>
      <w:r>
        <w:rPr>
          <w:rStyle w:val="FootnoteAnchor"/>
          <w:rtl w:val="true"/>
        </w:rPr>
        <w:footnoteReference w:id="847"/>
      </w:r>
      <w:r>
        <w:rPr>
          <w:rFonts w:ascii="Amiri" w:hAnsi="Amiri" w:eastAsia="Amiri" w:cs="Amiri"/>
          <w:color w:val="111111"/>
          <w:sz w:val="28"/>
          <w:sz w:val="28"/>
          <w:szCs w:val="28"/>
          <w:rtl w:val="true"/>
          <w:lang w:bidi="ar-SA"/>
        </w:rPr>
        <w:t>، و نوع من الكلب</w:t>
      </w:r>
      <w:r>
        <w:rPr>
          <w:rStyle w:val="FootnoteAnchor"/>
          <w:rtl w:val="true"/>
        </w:rPr>
        <w:footnoteReference w:id="848"/>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بإلغاء الخصوصيَّة، و بدعوى فهم العرف منها عدم رضا الشرع بذلك و أنّه مبغوض لديه، و لكنَّه مشكل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انجبار ضعفها بتلك الإجماعات و الشهرات</w:t>
      </w:r>
      <w:r>
        <w:rPr>
          <w:rStyle w:val="FootnoteAnchor"/>
          <w:rtl w:val="true"/>
        </w:rPr>
        <w:footnoteReference w:id="849"/>
      </w:r>
      <w:r>
        <w:rPr>
          <w:rFonts w:ascii="Amiri" w:hAnsi="Amiri" w:eastAsia="Amiri" w:cs="Amiri"/>
          <w:color w:val="111111"/>
          <w:sz w:val="28"/>
          <w:sz w:val="28"/>
          <w:szCs w:val="28"/>
          <w:rtl w:val="true"/>
          <w:lang w:bidi="ar-SA"/>
        </w:rPr>
        <w:t>، بعد كونها شهرة غير عمليّة، غير مسموعة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استكشاف استنادهم إليها بعدم وجود رواية في المسألة غيرها، غير ممكن؛ لاحتمال استنادهم إلى ما لم يصل إلينا أو استنادهم إلى فهمهم من شتات المآثير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هذه النصوص عندهم، فكيف لم ينقلوها في كتبهم المعدّة لنقل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الشهرة ليست مستندة إلى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كونها كاشفة عن رواية عندهم ممنوع؛ لما سمعت، فينحصر الأمر بين أمرين، أو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اتكالهم على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اطلاعهم على رأي المعصوم و فتواه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استنباطهم ذلك من الجزئيّات بعد إلغاء الخصوصيّات</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إنَّ قضيَّة القواعد حليَّتها و صحَّتها؛ لأنَّ الكلام في المعاملات الجامعة للشرائط العرفيّة، من شرط الماليّة و غيرها، و درج ما لا منفعة</w:t>
      </w:r>
    </w:p>
    <w:p>
      <w:pPr>
        <w:pStyle w:val="BookText"/>
        <w:rPr/>
      </w:pPr>
      <w:r>
        <w:rPr>
          <w:rFonts w:ascii="Amiri" w:hAnsi="Amiri" w:eastAsia="Amiri" w:cs="Amiri"/>
          <w:color w:val="111111"/>
          <w:sz w:val="28"/>
          <w:sz w:val="28"/>
          <w:szCs w:val="28"/>
          <w:rtl w:val="true"/>
          <w:lang w:bidi="ar-SA"/>
        </w:rPr>
        <w:t xml:space="preserve">التكسُّب بالأعيان النجسة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فيها من الغلط؛ لرجوعه إلى أنّ البطلان ناشئ من فقد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الحرمة لو كانت من جهة التشريع، فهي ليست مستندهم، لأنَّهم حرَّموا المعاملات الدارجة العقلائيّة التي فيها المنافع المحلَّلة المقصودة كما ترى في المتن و اتّفاقهم في الرأي لا يناسب كون مستندهم الفهم من الموارد الأُخر، بعد ما نعلم من أنَّهم ليسوا أهل هذا النحو من الاجتهاد المشابه للقياس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فيتعيَّن اطلاعهم من أساتيذهم على الرأي الحجَّة و قول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يتمّ عموم المدّعى بعد عموم دعواهم، فتدبّر، و ربّما يشكل ذلك؛ لاستنادهم بالنبوي و غيره،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بالأعيان النجسة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خصوصية لهذا العنوان، و لا يوجد في الكتب منه أثر إلّا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فلو كانت التجارة بها محرّمة فهي لكونها من الأعيان المحرّمة، باعتبار الأكل و الشرب و الانتفاع، كما يعرب عنه بعض فقرأت الرواية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يتمّ الاستشهاد بالنبوي</w:t>
      </w:r>
      <w:r>
        <w:rPr>
          <w:rStyle w:val="FootnoteAnchor"/>
          <w:rtl w:val="true"/>
        </w:rPr>
        <w:footnoteReference w:id="851"/>
      </w:r>
      <w:r>
        <w:rPr>
          <w:rFonts w:ascii="Amiri" w:hAnsi="Amiri" w:eastAsia="Amiri" w:cs="Amiri"/>
          <w:color w:val="111111"/>
          <w:sz w:val="28"/>
          <w:sz w:val="28"/>
          <w:szCs w:val="28"/>
          <w:rtl w:val="true"/>
          <w:lang w:bidi="ar-SA"/>
        </w:rPr>
        <w:t>إلّا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بجميع أنواعها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بالبيع و الشراء، و جعلها ثمناً في البيع، و أُجرة في الإجارة، و عوضاً، </w:t>
      </w:r>
      <w:r>
        <w:rPr>
          <w:rStyle w:val="FootnoteAnchor"/>
          <w:rtl w:val="true"/>
        </w:rPr>
        <w:footnoteReference w:id="852"/>
      </w:r>
      <w:r>
        <w:rPr>
          <w:rFonts w:ascii="Amiri" w:hAnsi="Amiri" w:eastAsia="Amiri" w:cs="Amiri"/>
          <w:color w:val="111111"/>
          <w:sz w:val="28"/>
          <w:sz w:val="28"/>
          <w:szCs w:val="28"/>
          <w:rtl w:val="true"/>
          <w:lang w:bidi="ar-SA"/>
        </w:rPr>
        <w:t>مع أنَّ القائل بطهارة الخمر</w:t>
      </w:r>
      <w:r>
        <w:rPr>
          <w:rStyle w:val="FootnoteAnchor"/>
          <w:rtl w:val="true"/>
        </w:rPr>
        <w:footnoteReference w:id="853"/>
      </w:r>
      <w:r>
        <w:rPr>
          <w:rFonts w:ascii="Amiri" w:hAnsi="Amiri" w:eastAsia="Amiri" w:cs="Amiri"/>
          <w:color w:val="111111"/>
          <w:sz w:val="28"/>
          <w:sz w:val="28"/>
          <w:szCs w:val="28"/>
          <w:rtl w:val="true"/>
          <w:lang w:bidi="ar-SA"/>
        </w:rPr>
        <w:t>لا يقول بصحّة بيعه و جوازه، لا للنصوص الخاصّة، بل لتلك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الدم الطاهر، فإنّه لكونه محرَّماً في الكتاب</w:t>
      </w:r>
      <w:r>
        <w:rPr>
          <w:rStyle w:val="FootnoteAnchor"/>
          <w:rtl w:val="true"/>
        </w:rPr>
        <w:footnoteReference w:id="854"/>
      </w:r>
      <w:r>
        <w:rPr>
          <w:rFonts w:ascii="Amiri" w:hAnsi="Amiri" w:eastAsia="Amiri" w:cs="Amiri"/>
          <w:color w:val="111111"/>
          <w:sz w:val="28"/>
          <w:sz w:val="28"/>
          <w:szCs w:val="28"/>
          <w:rtl w:val="true"/>
          <w:lang w:bidi="ar-SA"/>
        </w:rPr>
        <w:t>على الإطلاق يمنع عن جواز بيعه، و صحّته بناء على الأخذ بالنبوي، و هكذا يحرم التكسب بالجلّال المحرّم و الموطوء،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بجميع أنواعها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البول، و الغائط، و المنيّ، و الدم، و الميتة، و الخمر، و الكلب، و المتنجّس الذي لا يقبل التطهير، فإنّه يصير منها أيضاً، و غيرها كالخنزير، و الفقّاع، و الأعراق المذكورة في محلّها، و قد عرفت ما في هذا العموم، كما أشار إليه الأُستاذ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 في التعليقة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طائفة منها وردت روايات خاصّة، لا بأس في نقلها، و بيان حدود دلالتها، و قبل الخوض فيه لا بدّ من الإشارة الإجماليّة إلى جهتين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مقتضى الأصل الأوّلي في المقام حلّيّة المعاوضة</w:t>
      </w:r>
    </w:p>
    <w:p>
      <w:pPr>
        <w:pStyle w:val="BookText"/>
        <w:rPr/>
      </w:pPr>
      <w:r>
        <w:rPr>
          <w:rFonts w:ascii="Amiri" w:hAnsi="Amiri" w:eastAsia="Amiri" w:cs="Amiri"/>
          <w:color w:val="111111"/>
          <w:sz w:val="28"/>
          <w:sz w:val="28"/>
          <w:szCs w:val="28"/>
          <w:rtl w:val="true"/>
          <w:lang w:bidi="ar-SA"/>
        </w:rPr>
        <w:t>عليها، و صحّتها بعد كونها جامعة لشرائطها العرفية، و هكذا الشرعيّة غير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الإشكال في صحّتها، لأجل أنّها ممّا لا ينتفع منها، و ليست لها الفائدة العقلائيّة؛ ناشئ من الغفلة عن الجهة المبحوث عنها في المكاسب المحرّمة بالذات، و هي حرمتها تكليفاً ذاتاً، لا تشريعاً و بالعرض، و هي حرمتها وضعاً؛ لأجل إحداث الشريعة شرطاً شرعيّاً فيها مثل الطهارة، أو مانعاً عنها بناءً على إمكان تصويره كالنجاسة، أو المحلّلية و المحرميّة بشرط أن لا يرجعان إلى اعتبار الماليّة، فلا تغفل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مستند هذا الأصل عمومات الكتاب و السنّة، و اقتضاء بناء العقلاء و الملّة، بل هو مقتضى الأصل العملي إذا وصلت النوبة إليه، فتدبّر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الثانوي الحديث النبوي</w:t>
      </w:r>
      <w:r>
        <w:rPr>
          <w:rStyle w:val="FootnoteAnchor"/>
          <w:rtl w:val="true"/>
        </w:rPr>
        <w:footnoteReference w:id="855"/>
      </w:r>
      <w:r>
        <w:rPr>
          <w:rFonts w:ascii="Amiri" w:hAnsi="Amiri" w:eastAsia="Amiri" w:cs="Amiri"/>
          <w:color w:val="111111"/>
          <w:sz w:val="28"/>
          <w:sz w:val="28"/>
          <w:szCs w:val="28"/>
          <w:rtl w:val="true"/>
          <w:lang w:bidi="ar-SA"/>
        </w:rPr>
        <w:t>المعلّل به في بعض كتب الشيخ</w:t>
      </w:r>
      <w:r>
        <w:rPr>
          <w:rStyle w:val="FootnoteAnchor"/>
          <w:rtl w:val="true"/>
        </w:rPr>
        <w:footnoteReference w:id="856"/>
      </w:r>
      <w:r>
        <w:rPr>
          <w:rFonts w:ascii="Amiri" w:hAnsi="Amiri" w:eastAsia="Amiri" w:cs="Amiri"/>
          <w:color w:val="111111"/>
          <w:sz w:val="28"/>
          <w:sz w:val="28"/>
          <w:szCs w:val="28"/>
          <w:rtl w:val="true"/>
          <w:lang w:bidi="ar-SA"/>
        </w:rPr>
        <w:t>، و المعروف بانجبار السند، و المشهور بين الفريقين، فإنّه يورث حرمتها تكليفاً و وضعاً؛ لأنّ النجاسات و غيرها ممّا ثبتت حرمتها في الشريعة، أمّا حرمة أكثر منافعها كالميتة و الخنزير و الخمر و الكلب، أو معظمها، أو نوع منها كالعذرة و البول و المنيّ و الدم، فإنّه يحرم أكلها</w:t>
      </w:r>
    </w:p>
    <w:p>
      <w:pPr>
        <w:pStyle w:val="BookText"/>
        <w:rPr/>
      </w:pPr>
      <w:r>
        <w:rPr>
          <w:rFonts w:ascii="Amiri" w:hAnsi="Amiri" w:eastAsia="Amiri" w:cs="Amiri"/>
          <w:color w:val="111111"/>
          <w:sz w:val="28"/>
          <w:sz w:val="28"/>
          <w:szCs w:val="28"/>
          <w:rtl w:val="true"/>
          <w:lang w:bidi="ar-SA"/>
        </w:rPr>
        <w:t>فيحرم ثمنها، و هو الملازم عرفاً لفساد المعاملة،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الحرمة المنتسبة إلى ذات الشي‌ء لا تشمل إلّا ما هو المحرّم بجميع منافعه، أو ما يصحّح هذه النسبة</w:t>
      </w:r>
      <w:r>
        <w:rPr>
          <w:rStyle w:val="FootnoteAnchor"/>
          <w:rtl w:val="true"/>
        </w:rPr>
        <w:footnoteReference w:id="857"/>
      </w:r>
      <w:r>
        <w:rPr>
          <w:rFonts w:ascii="Amiri" w:hAnsi="Amiri" w:eastAsia="Amiri" w:cs="Amiri"/>
          <w:color w:val="111111"/>
          <w:sz w:val="28"/>
          <w:sz w:val="28"/>
          <w:szCs w:val="28"/>
          <w:rtl w:val="true"/>
          <w:lang w:bidi="ar-SA"/>
        </w:rPr>
        <w:t>، فلا تشمل مثل الأبوال و العذرات و الأعراق، ممّا لا وجه محرّم لها إلّا الأكل الذي هو متروك طبعاً، و لأجل ذلك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العذرة و البول من المحرّمات، بخلاف الخمر و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تشمل مثل الدم أيضاً و إن ورد في الكتاب حرمته</w:t>
      </w:r>
      <w:r>
        <w:rPr>
          <w:rStyle w:val="FootnoteAnchor"/>
          <w:rtl w:val="true"/>
        </w:rPr>
        <w:footnoteReference w:id="858"/>
      </w:r>
      <w:r>
        <w:rPr>
          <w:rFonts w:ascii="Amiri" w:hAnsi="Amiri" w:eastAsia="Amiri" w:cs="Amiri"/>
          <w:color w:val="111111"/>
          <w:sz w:val="28"/>
          <w:sz w:val="28"/>
          <w:szCs w:val="28"/>
          <w:rtl w:val="true"/>
          <w:lang w:bidi="ar-SA"/>
        </w:rPr>
        <w:t>لأنّه مخصوص بمحرّميّة الأكل، فإثبات الحرمة المطلقة بالنبوي يتوقّف على ثبوت الحرمة للشي‌ء على وجه الإطلاق واقعاً، أو 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منافع العذرة و البول من التسميد و الصبغ محرّمة، فيشملها النبوي؛ لأنّها المنافع المرغوب فيها التي بها تصحّ دعوى حرمتها بذاتها، و عليه لا يثبت عموم المدّعى به على فرض صحّة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إلغاء الخصوصيّة من الثمن، و إسراء الحكم إلى سائر المعاوضات، في غاية الإشكال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القضيّة الشرطيّة قضيّة واحدة، لا بدّ من لحاظ</w:t>
      </w:r>
    </w:p>
    <w:p>
      <w:pPr>
        <w:pStyle w:val="BookText"/>
        <w:rPr/>
      </w:pPr>
      <w:r>
        <w:rPr>
          <w:rFonts w:ascii="Amiri" w:hAnsi="Amiri" w:eastAsia="Amiri" w:cs="Amiri"/>
          <w:color w:val="111111"/>
          <w:sz w:val="28"/>
          <w:sz w:val="28"/>
          <w:szCs w:val="28"/>
          <w:rtl w:val="true"/>
          <w:lang w:bidi="ar-SA"/>
        </w:rPr>
        <w:t xml:space="preserve">خصوصيّات الألفاظ المستعملة فيها، ثمّ الاستظهار منها، و عليه مقتضى نسبة الحرمة إلى الشي‌ء في الصدر، أنّ المقصود هو الذي يمكن أن يكون محرّماً، و هو الفعل دون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إذا حرّم شيئاً أي الأكل و الشرب و الانتفاع حرّم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المحرّم هو الذات؛ لأنّها تقابل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ملاحظة أنّ الثمن لا خصوصيّة له من جهة، و هو كونه الدرهم و الدينار، بلا شبهة، و بعد إفتاء الأصحاب و تمسّكهم به في غير البيع</w:t>
      </w:r>
      <w:r>
        <w:rPr>
          <w:rStyle w:val="FootnoteAnchor"/>
          <w:rtl w:val="true"/>
        </w:rPr>
        <w:footnoteReference w:id="859"/>
      </w:r>
      <w:r>
        <w:rPr>
          <w:rFonts w:ascii="Amiri" w:hAnsi="Amiri" w:eastAsia="Amiri" w:cs="Amiri"/>
          <w:color w:val="111111"/>
          <w:sz w:val="28"/>
          <w:sz w:val="28"/>
          <w:szCs w:val="28"/>
          <w:rtl w:val="true"/>
          <w:lang w:bidi="ar-SA"/>
        </w:rPr>
        <w:t>يقدّم ظاهر الصدر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إذا كان محرّماً أكله، فإن باعه للأكل يحرم ثمنه و إلّا فلا،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ثمن العذرة في صورة، و هكذا حرمة ثمن سائر النجاسات و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المساعد للاعتبار إلّا أنّه لا ينفع في المقام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ما هو المحقّق في محلّه من أنّ الثمن لا يقابل المنافع</w:t>
      </w:r>
      <w:r>
        <w:rPr>
          <w:rStyle w:val="FootnoteAnchor"/>
          <w:rtl w:val="true"/>
        </w:rPr>
        <w:footnoteReference w:id="860"/>
      </w:r>
      <w:r>
        <w:rPr>
          <w:rFonts w:ascii="Amiri" w:hAnsi="Amiri" w:eastAsia="Amiri" w:cs="Amiri"/>
          <w:color w:val="111111"/>
          <w:sz w:val="28"/>
          <w:sz w:val="28"/>
          <w:szCs w:val="28"/>
          <w:rtl w:val="true"/>
          <w:lang w:bidi="ar-SA"/>
        </w:rPr>
        <w:t>، غير مفيد؛ ضرورة أنّ الثمن لبّا يقابل المنفعة و إن كان في</w:t>
      </w:r>
    </w:p>
    <w:p>
      <w:pPr>
        <w:pStyle w:val="BookText"/>
        <w:rPr/>
      </w:pPr>
      <w:r>
        <w:rPr>
          <w:rFonts w:ascii="Amiri" w:hAnsi="Amiri" w:eastAsia="Amiri" w:cs="Amiri"/>
          <w:color w:val="111111"/>
          <w:sz w:val="28"/>
          <w:sz w:val="28"/>
          <w:szCs w:val="28"/>
          <w:rtl w:val="true"/>
          <w:lang w:bidi="ar-SA"/>
        </w:rPr>
        <w:t>الإنشاء خلافه،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 الأعيان ليس إلّا تملّك المنافع على النحو الكلّي من جميع الجهات</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يمكن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الحديث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المحرّم الشرعي كالمحرّم العقلي، فكما أنّ الشي‌ء بلا منفعة لا يبذل بإزائه شي‌ء، كذلك هو، فما كان محرّماً بحيث يعدّ ساقطاً لدى الشرع يحرم ثمنه، إمّا وضعاً فقط، أو هو مع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الحرمة الثانية ما هو المراد من الحرمة الأُولى، فيكون تكليفاً، و لكنّه يلازم عرفاً فساد المعاملة، و إن يمكن دعوى دلالته على الصحّة أخذاً بمفهوم الثمن أوّلًا، و جمعاً بينه و بين ما يدلّ على صحّة المعاملة،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ببيع العذرة</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على ما يأتي،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حول هذه الجملة تفاسير أُخر أوردناها في كتابنا الكبير في مواضع مختلفة منه</w:t>
      </w:r>
      <w:r>
        <w:rPr>
          <w:rStyle w:val="FootnoteAnchor"/>
          <w:rtl w:val="true"/>
        </w:rPr>
        <w:footnoteReference w:id="863"/>
      </w:r>
      <w:r>
        <w:rPr>
          <w:rFonts w:ascii="Amiri" w:hAnsi="Amiri" w:eastAsia="Amiri" w:cs="Amiri"/>
          <w:color w:val="111111"/>
          <w:sz w:val="28"/>
          <w:sz w:val="28"/>
          <w:szCs w:val="28"/>
          <w:rtl w:val="true"/>
          <w:lang w:bidi="ar-SA"/>
        </w:rPr>
        <w:t>، فليراجع</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لعمري إنّ هذا الحديث لا يسمن و لا يغني من جوع، لضعف السند، و قوّة اصطياده من المواقف الأُخر المسانخة معه، و عدم وضوح المقصود؛</w:t>
      </w:r>
    </w:p>
    <w:p>
      <w:pPr>
        <w:pStyle w:val="BookText"/>
        <w:rPr/>
      </w:pPr>
      <w:r>
        <w:rPr>
          <w:rFonts w:ascii="Amiri" w:hAnsi="Amiri" w:eastAsia="Amiri" w:cs="Amiri"/>
          <w:color w:val="111111"/>
          <w:sz w:val="28"/>
          <w:sz w:val="28"/>
          <w:szCs w:val="28"/>
          <w:rtl w:val="true"/>
          <w:lang w:bidi="ar-SA"/>
        </w:rPr>
        <w:t>فعليه لا بدّ من الفحص عن الموارد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فيها روايات، بعضها يدلّ على أنّه لا بأس ببيع العذرة، و بعضها يدلّ على أنّ ثمنها من السحت</w:t>
      </w:r>
      <w:r>
        <w:rPr>
          <w:rStyle w:val="FootnoteAnchor"/>
          <w:rtl w:val="true"/>
        </w:rPr>
        <w:footnoteReference w:id="864"/>
      </w:r>
      <w:r>
        <w:rPr>
          <w:rFonts w:ascii="Amiri" w:hAnsi="Amiri" w:eastAsia="Amiri" w:cs="Amiri"/>
          <w:color w:val="111111"/>
          <w:sz w:val="28"/>
          <w:sz w:val="28"/>
          <w:szCs w:val="28"/>
          <w:rtl w:val="true"/>
          <w:lang w:bidi="ar-SA"/>
        </w:rPr>
        <w:t>، و بعضها مشتمل على الجهتين كمعتبرة سماعة</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التجارة، أبواب ما يكتسب به، الباب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ألح، 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فإنّها مع اشتمالها على أنّ ثمنها محرّم، و هكذا بيعها، مشتملة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ببيع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الأُولى و الثانية غير منقّحتي السند، إلّا أنّ فتوى المشهور على العمل بالثانية</w:t>
      </w:r>
      <w:r>
        <w:rPr>
          <w:rStyle w:val="FootnoteAnchor"/>
          <w:rtl w:val="true"/>
        </w:rPr>
        <w:footnoteReference w:id="866"/>
      </w:r>
      <w:r>
        <w:rPr>
          <w:rFonts w:ascii="Amiri" w:hAnsi="Amiri" w:eastAsia="Amiri" w:cs="Amiri"/>
          <w:color w:val="111111"/>
          <w:sz w:val="28"/>
          <w:sz w:val="28"/>
          <w:szCs w:val="28"/>
          <w:rtl w:val="true"/>
          <w:lang w:bidi="ar-SA"/>
        </w:rPr>
        <w:t>، و لكنّها ليست شهرة عمليّة، و استكشاف الشهرة العمليّة، كما هو دأب جماعة مشكل جدّاً، كما مضى الإيماء إليه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فتواهم في البول و المنيّ</w:t>
      </w:r>
      <w:r>
        <w:rPr>
          <w:rStyle w:val="FootnoteAnchor"/>
          <w:rtl w:val="true"/>
        </w:rPr>
        <w:footnoteReference w:id="867"/>
      </w:r>
      <w:r>
        <w:rPr>
          <w:rFonts w:ascii="Amiri" w:hAnsi="Amiri" w:eastAsia="Amiri" w:cs="Amiri"/>
          <w:color w:val="111111"/>
          <w:sz w:val="28"/>
          <w:sz w:val="28"/>
          <w:szCs w:val="28"/>
          <w:rtl w:val="true"/>
          <w:lang w:bidi="ar-SA"/>
        </w:rPr>
        <w:t>مع عدم ورود النصّ فيهما، فيعلم أنّ المستند أمر آخر، و لا أقلّ من الشكّ و هو كافٍ في المقام؛ فعليه يتعيّن</w:t>
      </w:r>
    </w:p>
    <w:p>
      <w:pPr>
        <w:pStyle w:val="BookText"/>
        <w:rPr/>
      </w:pPr>
      <w:r>
        <w:rPr>
          <w:rFonts w:ascii="Amiri" w:hAnsi="Amiri" w:eastAsia="Amiri" w:cs="Amiri"/>
          <w:color w:val="111111"/>
          <w:sz w:val="28"/>
          <w:sz w:val="28"/>
          <w:szCs w:val="28"/>
          <w:rtl w:val="true"/>
          <w:lang w:bidi="ar-SA"/>
        </w:rPr>
        <w:t>الأخذ بالمجوّزة لموافقتها لعموم الكتاب أوّلًا، و مخالفتها لفتوى العامّة</w:t>
      </w:r>
      <w:r>
        <w:rPr>
          <w:rStyle w:val="FootnoteAnchor"/>
          <w:rtl w:val="true"/>
        </w:rPr>
        <w:footnoteReference w:id="868"/>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ثبتت الشهرة العمليّة يتعيّن الأخذ بالناهية؛ لأنّها المخيّرة بين الحجّة و اللّاحجّة، و على تقدير كونها لا حجّة أيضاً يتعيّن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 الرواية الناهية على ما لا منفعة فيه غير تامّ، كما صنعه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869"/>
      </w:r>
      <w:r>
        <w:rPr>
          <w:rFonts w:ascii="Amiri" w:hAnsi="Amiri" w:eastAsia="Amiri" w:cs="Amiri"/>
          <w:color w:val="111111"/>
          <w:sz w:val="28"/>
          <w:sz w:val="28"/>
          <w:szCs w:val="28"/>
          <w:rtl w:val="true"/>
          <w:lang w:bidi="ar-SA"/>
        </w:rPr>
        <w:t xml:space="preserve">، ضرورة أنّها وردت في موقف الانتفاع منها بالتسميد، فنفس ورودها فيها، دون مثل البول و المنيّ، يشهد على رائجيّة الانتفاع منها، فلا معنى للحمل المذكور، و تأبى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الثالثة تورث في المسألة أمراً آخراً و قد أشرنا إليه،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الممنوع شرعاً هو الثمن، دون عنوان البيع بما هو بيع؛ و ذلك لورود النهي عن الثمن في المواضع الأُخر، و لتصريح الرواية بجواز البيع</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انتساب الحرمة إلى عنوان البيع في رواية سماعة</w:t>
      </w:r>
      <w:r>
        <w:rPr>
          <w:rStyle w:val="FootnoteAnchor"/>
          <w:rtl w:val="true"/>
        </w:rPr>
        <w:footnoteReference w:id="870"/>
      </w:r>
      <w:r>
        <w:rPr>
          <w:rFonts w:ascii="IRNazanin" w:hAnsi="IRNazanin" w:eastAsia="IRNazanin"/>
          <w:color w:val="111111"/>
          <w:sz w:val="28"/>
          <w:sz w:val="28"/>
          <w:szCs w:val="28"/>
          <w:rtl w:val="true"/>
          <w:lang w:bidi="fa-IR"/>
        </w:rPr>
        <w:t>، من باب</w:t>
      </w:r>
    </w:p>
    <w:p>
      <w:pPr>
        <w:pStyle w:val="BookText"/>
        <w:rPr/>
      </w:pPr>
      <w:r>
        <w:rPr>
          <w:rFonts w:ascii="Amiri" w:hAnsi="Amiri" w:eastAsia="Amiri" w:cs="Amiri"/>
          <w:color w:val="111111"/>
          <w:sz w:val="28"/>
          <w:sz w:val="28"/>
          <w:szCs w:val="28"/>
          <w:rtl w:val="true"/>
          <w:lang w:bidi="ar-SA"/>
        </w:rPr>
        <w:t xml:space="preserve">العرض و المجاز،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الرواية على الروايتين مستنداً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سماعة كان يعمل به في مضمراته، لا يفيد حجّة شرعيّة في المسألة، بعد اتّحاد الرواية ظاهراً؛ فإنّه منه خيانة بالأحكام إلّا في بعض المواضع، و ما نحن فيه ليس كذلك،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مشكلة جدّاً؛ ضرورة أنّ تعرّض الأصحاب للمكاسب المحرّمة، و ذكر هذه الأُمور فيها كلّها، شهيد على أنّ للشرع الأقدس أمراً جديداً في هذه المعاملات، و كان لا يرضى بها، لاستلزامها بعض ما لا ينبغي لنفوس المؤمنين، و صرف النظر عنها و الاعتماد على الصناعة مشكل إنصافاً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إثبات الجواز 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مستدرك الوسائل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كتاب الأطعمة و الأشربة، أبواب الأطعمة المحرّمة، الباب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كإثبات المنع 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جواهر الكلام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يرجعان إلى محصّل، فما ذهب إليه جماعة من المتأخّرين، من تجويز بيعها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بعد ما أحطت بما ذكرناه، 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ورد في رواية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 خصال تسعة؛ عن مهر البغي، و عن عسيب الدابّة يعني كسب الفحل و عن خاتم الذهب</w:t>
      </w:r>
      <w:r>
        <w:rPr>
          <w:rFonts w:eastAsia="Amiri" w:cs="Amiri" w:ascii="Amiri" w:hAnsi="Amiri"/>
          <w:color w:val="111111"/>
          <w:sz w:val="28"/>
          <w:szCs w:val="28"/>
          <w:rtl w:val="true"/>
          <w:lang w:bidi="ar-SA"/>
        </w:rPr>
        <w:t>»</w:t>
      </w:r>
      <w:r>
        <w:rPr>
          <w:rStyle w:val="FootnoteAnchor"/>
          <w:rtl w:val="true"/>
        </w:rPr>
        <w:footnoteReference w:id="873"/>
      </w:r>
      <w:r>
        <w:rPr>
          <w:rFonts w:ascii="Amiri" w:hAnsi="Amiri" w:eastAsia="Amiri" w:cs="Amiri"/>
          <w:color w:val="111111"/>
          <w:sz w:val="28"/>
          <w:sz w:val="28"/>
          <w:szCs w:val="28"/>
          <w:rtl w:val="true"/>
          <w:lang w:bidi="ar-SA"/>
        </w:rPr>
        <w:t xml:space="preserve">و الظاهر أنّ التفسير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يشكل استفادة الحكم الإلزامي التكليفي أو الوضعي منها، لعدم الاطلاع بكيفيّة النهي بعد اختلاف الإفادة في اختلاف التعابير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تقدير يعلم مبغوضيّة الكسب لوحدة السياق، و الكسب</w:t>
      </w:r>
    </w:p>
    <w:p>
      <w:pPr>
        <w:pStyle w:val="BookText"/>
        <w:rPr/>
      </w:pPr>
      <w:r>
        <w:rPr>
          <w:rFonts w:ascii="Amiri" w:hAnsi="Amiri" w:eastAsia="Amiri" w:cs="Amiri"/>
          <w:color w:val="111111"/>
          <w:sz w:val="28"/>
          <w:sz w:val="28"/>
          <w:szCs w:val="28"/>
          <w:rtl w:val="true"/>
          <w:lang w:bidi="ar-SA"/>
        </w:rPr>
        <w:t xml:space="preserve">أعمّ من الإجارة و البيع، فلو كان كسب الفحل بيع المنيّ، فهو و إن لم يكن منه، إلّا أنّه متّحد معه في الحكم عرفاً، بل تحريم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لاشتماله على ما هو الساقط و المحرّم مثلًا،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مجرّد التوافق و الشهرة الفتوائيّة كافٍ في انجبار ضعف السند، كان القول بممنوعيّة كسب الفحل متعيّناً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إطلاق الآية الشريفة حرمته</w:t>
      </w:r>
      <w:r>
        <w:rPr>
          <w:rStyle w:val="FootnoteAnchor"/>
          <w:rtl w:val="true"/>
        </w:rPr>
        <w:footnoteReference w:id="874"/>
      </w:r>
      <w:r>
        <w:rPr>
          <w:rFonts w:ascii="Amiri" w:hAnsi="Amiri" w:eastAsia="Amiri" w:cs="Amiri"/>
          <w:color w:val="111111"/>
          <w:sz w:val="28"/>
          <w:sz w:val="28"/>
          <w:szCs w:val="28"/>
          <w:rtl w:val="true"/>
          <w:lang w:bidi="ar-SA"/>
        </w:rPr>
        <w:t>، و ممنوعيّة بيعه و لو كان طاهراً، و هكذا قضيّة مرفوعة الواسطيّ</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كتاب الأطعمة و الأشربة، أبواب الأطعمة المحرّمة، الباب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أن يحملان على الأكل، لاقتضاء السياق فيهما، فيجوز بيعه لغير الأكل و لو كان من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الآية الشريفة</w:t>
      </w:r>
      <w:r>
        <w:rPr>
          <w:rStyle w:val="FootnoteAnchor"/>
          <w:rtl w:val="true"/>
        </w:rPr>
        <w:footnoteReference w:id="876"/>
      </w:r>
      <w:r>
        <w:rPr>
          <w:rFonts w:ascii="Amiri" w:hAnsi="Amiri" w:eastAsia="Amiri" w:cs="Amiri"/>
          <w:color w:val="111111"/>
          <w:sz w:val="28"/>
          <w:sz w:val="28"/>
          <w:szCs w:val="28"/>
          <w:rtl w:val="true"/>
          <w:lang w:bidi="ar-SA"/>
        </w:rPr>
        <w:t xml:space="preserve">المستدلّ بها لحرمة الانتفاع بها مطلقاً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877"/>
      </w:r>
      <w:r>
        <w:rPr>
          <w:rFonts w:ascii="Amiri" w:hAnsi="Amiri" w:eastAsia="Amiri" w:cs="Amiri"/>
          <w:color w:val="111111"/>
          <w:sz w:val="28"/>
          <w:sz w:val="28"/>
          <w:szCs w:val="28"/>
          <w:rtl w:val="true"/>
          <w:lang w:bidi="ar-SA"/>
        </w:rPr>
        <w:t>و غيره</w:t>
      </w:r>
      <w:r>
        <w:rPr>
          <w:rStyle w:val="FootnoteAnchor"/>
          <w:rtl w:val="true"/>
        </w:rPr>
        <w:footnoteReference w:id="878"/>
      </w:r>
      <w:r>
        <w:rPr>
          <w:rFonts w:ascii="Amiri" w:hAnsi="Amiri" w:eastAsia="Amiri" w:cs="Amiri"/>
          <w:color w:val="111111"/>
          <w:sz w:val="28"/>
          <w:sz w:val="28"/>
          <w:szCs w:val="28"/>
          <w:rtl w:val="true"/>
          <w:lang w:bidi="ar-SA"/>
        </w:rPr>
        <w:t>ممنوعيّة بيعها على الإطلاق، و هو المدّعى عليه الإجماعات الكليّة و الجزئيّة</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 يقتضي حرمته التكليفيّة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ثمنها من السحت</w:t>
      </w:r>
      <w:r>
        <w:rPr>
          <w:rFonts w:eastAsia="Amiri" w:cs="Amiri" w:ascii="Amiri" w:hAnsi="Amiri"/>
          <w:color w:val="111111"/>
          <w:sz w:val="28"/>
          <w:szCs w:val="28"/>
          <w:rtl w:val="true"/>
          <w:lang w:bidi="ar-SA"/>
        </w:rPr>
        <w:t>»</w:t>
      </w:r>
      <w:r>
        <w:rPr>
          <w:rStyle w:val="FootnoteAnchor"/>
          <w:rtl w:val="true"/>
        </w:rPr>
        <w:footnoteReference w:id="880"/>
      </w:r>
      <w:r>
        <w:rPr>
          <w:rFonts w:ascii="Amiri" w:hAnsi="Amiri" w:eastAsia="Amiri" w:cs="Amiri"/>
          <w:color w:val="111111"/>
          <w:sz w:val="28"/>
          <w:sz w:val="28"/>
          <w:szCs w:val="28"/>
          <w:rtl w:val="true"/>
          <w:lang w:bidi="ar-SA"/>
        </w:rPr>
        <w:t>، فليزم ممنوعيّته تكليفاً، أو ممنوعيّة عنوان الثمن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يشهد على فساد بيع الميتة على الإطلاق،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تكون له الغنم، يقطع من ألياتها و هي أحياء، أ يصلح له أن ينتفع بما قطع؟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يذيبها</w:t>
      </w:r>
    </w:p>
    <w:p>
      <w:pPr>
        <w:pStyle w:val="BookText"/>
        <w:rPr/>
      </w:pPr>
      <w:r>
        <w:rPr>
          <w:rFonts w:ascii="Amiri" w:hAnsi="Amiri" w:eastAsia="Amiri" w:cs="Amiri"/>
          <w:color w:val="111111"/>
          <w:sz w:val="28"/>
          <w:sz w:val="28"/>
          <w:szCs w:val="28"/>
          <w:rtl w:val="true"/>
          <w:lang w:bidi="ar-SA"/>
        </w:rPr>
        <w:t>و يسرج بها و لا يأكلها و لا يبيعها</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الماشية تكون للرجل، فيموت بعضها، يصلح له أن يبيع جلودها و دباغها و يلبسها؟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إن لبسها فلا يصلّي فيها</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الطوائف بمقتضى مناسبة الحكم و الموضوع و إلغاء الخصوصيّة عرفاً، كلّها ناظرة إلى المنع عن البيع بالنسبة إلى ما هو المحرّم فيها، و هو لحمها دون جلدها و غيره، فلو كانت سائر أجزائها ذات منفعة محلّلة، صحّت المعاوضة عليها</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مسموعة؛ لأنّ الانتفاع بجلدها ممّا لا يبعد جوازه في غير ما يشترط فيه الطهارة، و لكنّ إطلاق المنع عن البيع يشمله؛ لأنّ تعارف التجارة بها كما تشهد به الروايات خصوصاً رواية الصيقل الآتية ينافي الصرف المذكور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ثمن الميتة سحت</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يشمل جميع أجزائها، لأنّها من</w:t>
      </w:r>
    </w:p>
    <w:p>
      <w:pPr>
        <w:pStyle w:val="BookText"/>
        <w:rPr/>
      </w:pPr>
      <w:r>
        <w:rPr>
          <w:rFonts w:ascii="Amiri" w:hAnsi="Amiri" w:eastAsia="Amiri" w:cs="Amiri"/>
          <w:color w:val="111111"/>
          <w:sz w:val="28"/>
          <w:sz w:val="28"/>
          <w:szCs w:val="28"/>
          <w:rtl w:val="true"/>
          <w:lang w:bidi="ar-SA"/>
        </w:rPr>
        <w:t>الميتة حتّى ما لا تحلّه الحياة، و حتّى الميتة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كلّ مسألة مستثنيات لا منع من الالتزام بها، فلا ينبغي الخلط بين الجهات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مذهب العامّة في مسألة بيع الميتة مختلفاً، و منه مذهب أبي حنيفة، و هو الأعرف من غيره، و هو يقول بجواز بيع جلود الميتة بعد الدباغ و قبله</w:t>
      </w:r>
      <w:r>
        <w:rPr>
          <w:rStyle w:val="FootnoteAnchor"/>
          <w:rtl w:val="true"/>
        </w:rPr>
        <w:footnoteReference w:id="885"/>
      </w:r>
      <w:r>
        <w:rPr>
          <w:rFonts w:ascii="Amiri" w:hAnsi="Amiri" w:eastAsia="Amiri" w:cs="Amiri"/>
          <w:color w:val="111111"/>
          <w:sz w:val="28"/>
          <w:sz w:val="28"/>
          <w:szCs w:val="28"/>
          <w:rtl w:val="true"/>
          <w:lang w:bidi="ar-SA"/>
        </w:rPr>
        <w:t>، و كان الشافعي جديداً يقول بجوازه بعد الدباغ</w:t>
      </w:r>
      <w:r>
        <w:rPr>
          <w:rStyle w:val="FootnoteAnchor"/>
          <w:rtl w:val="true"/>
        </w:rPr>
        <w:footnoteReference w:id="886"/>
      </w:r>
      <w:r>
        <w:rPr>
          <w:rFonts w:ascii="Amiri" w:hAnsi="Amiri" w:eastAsia="Amiri" w:cs="Amiri"/>
          <w:color w:val="111111"/>
          <w:sz w:val="28"/>
          <w:sz w:val="28"/>
          <w:szCs w:val="28"/>
          <w:rtl w:val="true"/>
          <w:lang w:bidi="ar-SA"/>
        </w:rPr>
        <w:t xml:space="preserve">، و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مذهب جماعة منهم</w:t>
      </w:r>
      <w:r>
        <w:rPr>
          <w:rStyle w:val="FootnoteAnchor"/>
          <w:rtl w:val="true"/>
        </w:rPr>
        <w:footnoteReference w:id="887"/>
      </w:r>
      <w:r>
        <w:rPr>
          <w:rFonts w:ascii="Amiri" w:hAnsi="Amiri" w:eastAsia="Amiri" w:cs="Amiri"/>
          <w:color w:val="111111"/>
          <w:sz w:val="28"/>
          <w:sz w:val="28"/>
          <w:szCs w:val="28"/>
          <w:rtl w:val="true"/>
          <w:lang w:bidi="ar-SA"/>
        </w:rPr>
        <w:t xml:space="preserve">سكت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احتمال قويّ في صحيحة الصيقل</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1100</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كتاب التجارة، أبواب ما يكتسب به، الباب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بعد كونها مكاتبة، مع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دأبهم ذلك، أي الاختصار في الجواب بعد ما سأل عن مسائل</w:t>
      </w:r>
    </w:p>
    <w:p>
      <w:pPr>
        <w:pStyle w:val="BookText"/>
        <w:rPr/>
      </w:pPr>
      <w:r>
        <w:rPr>
          <w:rFonts w:ascii="Amiri" w:hAnsi="Amiri" w:eastAsia="Amiri" w:cs="Amiri"/>
          <w:color w:val="111111"/>
          <w:sz w:val="28"/>
          <w:sz w:val="28"/>
          <w:szCs w:val="28"/>
          <w:rtl w:val="true"/>
          <w:lang w:bidi="ar-SA"/>
        </w:rPr>
        <w:t>كثيرة؛ فالرواية مع صراحة دلالتها و تماميّة سندها، مخدوشة جهة صدورها، هذا بعد ذهاب الطائفة إلى عدم جواز بيع الجلود إلّا من شذّ منهم</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المحتمل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ناظرة إلى صورة الاضطرار، لما فيه من تصريحه بذلك في الموضعين، فلاحظ و تدبّر جيّداً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الكتاب مثل الميتة، و إطلاقه على ما صرّح به شيخ الطائفة</w:t>
      </w:r>
      <w:r>
        <w:rPr>
          <w:rStyle w:val="FootnoteAnchor"/>
          <w:rtl w:val="true"/>
        </w:rPr>
        <w:footnoteReference w:id="890"/>
      </w:r>
      <w:r>
        <w:rPr>
          <w:rFonts w:ascii="Amiri" w:hAnsi="Amiri" w:eastAsia="Amiri" w:cs="Amiri"/>
          <w:color w:val="111111"/>
          <w:sz w:val="28"/>
          <w:sz w:val="28"/>
          <w:szCs w:val="28"/>
          <w:rtl w:val="true"/>
          <w:lang w:bidi="ar-SA"/>
        </w:rPr>
        <w:t xml:space="preserve">يقتضي ممنوعيّة جميع التقلّبات فيه، و هذا هو قضيّة المآثير الكثيرة المرويّة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89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89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Style w:val="FootnoteAnchor"/>
          <w:rtl w:val="true"/>
        </w:rPr>
        <w:footnoteReference w:id="89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Style w:val="FootnoteAnchor"/>
          <w:rtl w:val="true"/>
        </w:rPr>
        <w:footnoteReference w:id="89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w:t>
      </w:r>
      <w:r>
        <w:rPr>
          <w:rStyle w:val="FootnoteAnchor"/>
          <w:rtl w:val="true"/>
        </w:rPr>
        <w:footnoteReference w:id="89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Style w:val="FootnoteAnchor"/>
          <w:rtl w:val="true"/>
        </w:rPr>
        <w:footnoteReference w:id="89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اللباب</w:t>
      </w:r>
      <w:r>
        <w:rPr>
          <w:rFonts w:eastAsia="Amiri" w:cs="Amiri" w:ascii="Amiri" w:hAnsi="Amiri"/>
          <w:color w:val="111111"/>
          <w:sz w:val="28"/>
          <w:szCs w:val="28"/>
          <w:rtl w:val="true"/>
          <w:lang w:bidi="ar-SA"/>
        </w:rPr>
        <w:t>»</w:t>
      </w:r>
      <w:r>
        <w:rPr>
          <w:rStyle w:val="FootnoteAnchor"/>
          <w:rtl w:val="true"/>
        </w:rPr>
        <w:footnoteReference w:id="898"/>
      </w:r>
      <w:r>
        <w:rPr>
          <w:rFonts w:ascii="Amiri" w:hAnsi="Amiri" w:eastAsia="Amiri" w:cs="Amiri"/>
          <w:color w:val="111111"/>
          <w:sz w:val="28"/>
          <w:sz w:val="28"/>
          <w:szCs w:val="28"/>
          <w:rtl w:val="true"/>
          <w:lang w:bidi="ar-SA"/>
        </w:rPr>
        <w:t xml:space="preserve">للراوندي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 اللآلي</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صرّح الأُستاذ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أسنادها و إن لا تخلو عن خدشة، لكن يمكن دعوى الوثوق و الاطمئنان بالصدور إجمالًا</w:t>
      </w:r>
      <w:r>
        <w:rPr>
          <w:rFonts w:eastAsia="Amiri" w:cs="Amiri" w:ascii="Amiri" w:hAnsi="Amiri"/>
          <w:color w:val="111111"/>
          <w:sz w:val="28"/>
          <w:szCs w:val="28"/>
          <w:rtl w:val="true"/>
          <w:lang w:bidi="ar-SA"/>
        </w:rPr>
        <w:t>»</w:t>
      </w:r>
      <w:r>
        <w:rPr>
          <w:rStyle w:val="FootnoteAnchor"/>
          <w:rtl w:val="true"/>
        </w:rPr>
        <w:footnoteReference w:id="9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كان مستند المجمعين احتمالًا تلك الأخبار، كان للإشكال في حكم المسألة وجه، لعدم تماميّة دلالتها؛ لأنّ أحسن ما يستدلّ له على المدّعى رواية جابر المتضمّنة للعن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بائعها و مشتريها</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كتاب التجارة، أبواب ما يكتسب به، الباب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كفاية اللعن في إثبات الحرمة مشكلة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مع ما فيها من لعنه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غارسها، مع أنّه ممّا لا معنى له إلّا بالتوجيه، فتدبّر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قضيّة إطلاق معاقد الإجماعات</w:t>
      </w:r>
      <w:r>
        <w:rPr>
          <w:rStyle w:val="FootnoteAnchor"/>
          <w:rtl w:val="true"/>
        </w:rPr>
        <w:footnoteReference w:id="902"/>
      </w:r>
      <w:r>
        <w:rPr>
          <w:rFonts w:ascii="Amiri" w:hAnsi="Amiri" w:eastAsia="Amiri" w:cs="Amiri"/>
          <w:color w:val="111111"/>
          <w:sz w:val="28"/>
          <w:sz w:val="28"/>
          <w:szCs w:val="28"/>
          <w:rtl w:val="true"/>
          <w:lang w:bidi="ar-SA"/>
        </w:rPr>
        <w:t>، ممنوعيّة بيع الخمر و لو</w:t>
      </w:r>
    </w:p>
    <w:p>
      <w:pPr>
        <w:pStyle w:val="BookText"/>
        <w:rPr/>
      </w:pPr>
      <w:r>
        <w:rPr>
          <w:rFonts w:ascii="Amiri" w:hAnsi="Amiri" w:eastAsia="Amiri" w:cs="Amiri"/>
          <w:color w:val="111111"/>
          <w:sz w:val="28"/>
          <w:sz w:val="28"/>
          <w:szCs w:val="28"/>
          <w:rtl w:val="true"/>
          <w:lang w:bidi="ar-SA"/>
        </w:rPr>
        <w:t>كان للخلّ، و قد يشكل ذلك للانصراف، كما ادّعاه الشيخ في نظيره</w:t>
      </w:r>
      <w:r>
        <w:rPr>
          <w:rStyle w:val="FootnoteAnchor"/>
          <w:rtl w:val="true"/>
        </w:rPr>
        <w:footnoteReference w:id="903"/>
      </w:r>
      <w:r>
        <w:rPr>
          <w:rFonts w:ascii="Amiri" w:hAnsi="Amiri" w:eastAsia="Amiri" w:cs="Amiri"/>
          <w:color w:val="111111"/>
          <w:sz w:val="28"/>
          <w:sz w:val="28"/>
          <w:szCs w:val="28"/>
          <w:rtl w:val="true"/>
          <w:lang w:bidi="ar-SA"/>
        </w:rPr>
        <w:t>، مع أنّه ورد في الخبر جواز أخذه و جعله خلًّا بالإفساد قبال الدَّيْن</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مقتضى إطلاق ما يدلّ على سحتيّة ثمنه</w:t>
      </w:r>
      <w:r>
        <w:rPr>
          <w:rStyle w:val="FootnoteAnchor"/>
          <w:rtl w:val="true"/>
        </w:rPr>
        <w:footnoteReference w:id="905"/>
      </w:r>
      <w:r>
        <w:rPr>
          <w:rFonts w:ascii="Amiri" w:hAnsi="Amiri" w:eastAsia="Amiri" w:cs="Amiri"/>
          <w:color w:val="111111"/>
          <w:sz w:val="28"/>
          <w:sz w:val="28"/>
          <w:szCs w:val="28"/>
          <w:rtl w:val="true"/>
          <w:lang w:bidi="ar-SA"/>
        </w:rPr>
        <w:t>ذلك أيضاً، ممنوع؛ لاقتضاء المناسبة بين الحكم و الموضوع، مقصوريّة حكم التحريم في صورة بيع المسكر، لا المادّة التي تنقلب خلًّا، سواء كان مسكراً أم لا، و سواء فيه حال المشتري من العلم و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الانصراف بعد النظر في موارد الاستثناءات و التجويزات في الشريعة، قويّ جدّاً، و لا أقلّ من كونه قابلًا للقرينيّة في قبال المطلقات، و إليه ذهب الأُستاذ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الانصراف لو تمّ في سائر الأخبار لا يتمّ في النبوي</w:t>
      </w:r>
      <w:r>
        <w:rPr>
          <w:rStyle w:val="FootnoteAnchor"/>
          <w:rtl w:val="true"/>
        </w:rPr>
        <w:footnoteReference w:id="907"/>
      </w:r>
      <w:r>
        <w:rPr>
          <w:rFonts w:ascii="Amiri" w:hAnsi="Amiri" w:eastAsia="Amiri" w:cs="Amiri"/>
          <w:color w:val="111111"/>
          <w:sz w:val="28"/>
          <w:sz w:val="28"/>
          <w:szCs w:val="28"/>
          <w:rtl w:val="true"/>
          <w:lang w:bidi="ar-SA"/>
        </w:rPr>
        <w:t>، و ما ادّعاه الشيخ الأعظم في بيع الأصنام</w:t>
      </w:r>
      <w:r>
        <w:rPr>
          <w:rStyle w:val="FootnoteAnchor"/>
          <w:rtl w:val="true"/>
        </w:rPr>
        <w:footnoteReference w:id="908"/>
      </w:r>
      <w:r>
        <w:rPr>
          <w:rFonts w:ascii="Amiri" w:hAnsi="Amiri" w:eastAsia="Amiri" w:cs="Amiri"/>
          <w:color w:val="111111"/>
          <w:sz w:val="28"/>
          <w:sz w:val="28"/>
          <w:szCs w:val="28"/>
          <w:rtl w:val="true"/>
          <w:lang w:bidi="ar-SA"/>
        </w:rPr>
        <w:t>لا يلازم صحّة دعواه هنا، لعدم</w:t>
      </w:r>
    </w:p>
    <w:p>
      <w:pPr>
        <w:pStyle w:val="BookText"/>
        <w:rPr/>
      </w:pPr>
      <w:r>
        <w:rPr>
          <w:rFonts w:ascii="Amiri" w:hAnsi="Amiri" w:eastAsia="Amiri" w:cs="Amiri"/>
          <w:color w:val="111111"/>
          <w:sz w:val="28"/>
          <w:sz w:val="28"/>
          <w:szCs w:val="28"/>
          <w:rtl w:val="true"/>
          <w:lang w:bidi="ar-SA"/>
        </w:rPr>
        <w:t xml:space="preserve">شمول النبوي تلك المسألة؛ و ذلك لأنّ موضوعه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فكأنّه يورث حرمة الثمن إذا كانت الذات منتسبة إلى الحرمة بوجه، فهذا الخمر و العصير المغلي ممّا حرّمهما اللَّه تعالى فحرّم ثمنهما، فلاحظ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يظهر حكم كلّ 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الاستدلال بروايات الخمر تامّاً، فالنصوص المتعرّضة لخمريّة الفقّاع</w:t>
      </w:r>
      <w:r>
        <w:rPr>
          <w:rStyle w:val="FootnoteAnchor"/>
          <w:rtl w:val="true"/>
        </w:rPr>
        <w:footnoteReference w:id="909"/>
      </w:r>
      <w:r>
        <w:rPr>
          <w:rFonts w:ascii="Amiri" w:hAnsi="Amiri" w:eastAsia="Amiri" w:cs="Amiri"/>
          <w:color w:val="111111"/>
          <w:sz w:val="28"/>
          <w:sz w:val="28"/>
          <w:szCs w:val="28"/>
          <w:rtl w:val="true"/>
          <w:lang w:bidi="ar-SA"/>
        </w:rPr>
        <w:t>، بل كلّ ما يورث عاقبة الخمر</w:t>
      </w:r>
      <w:r>
        <w:rPr>
          <w:rStyle w:val="FootnoteAnchor"/>
          <w:rtl w:val="true"/>
        </w:rPr>
        <w:footnoteReference w:id="910"/>
      </w:r>
      <w:r>
        <w:rPr>
          <w:rFonts w:ascii="Amiri" w:hAnsi="Amiri" w:eastAsia="Amiri" w:cs="Amiri"/>
          <w:color w:val="111111"/>
          <w:sz w:val="28"/>
          <w:sz w:val="28"/>
          <w:szCs w:val="28"/>
          <w:rtl w:val="true"/>
          <w:lang w:bidi="ar-SA"/>
        </w:rPr>
        <w:t>، تكون حاكمة عليها، أو مبيّنة لما خفي على القوم من مصاديقها، و الأظهر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هذه المسألة من متفرّعات القول بنجاسة المسكر المائع، فاسد جدّاً لما مضى من أنّ عناوين النجس لا خصوصيّة لها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فيه الروايات الكثيرة الناطقة بأنّ ثمنه سحت</w:t>
      </w:r>
      <w:r>
        <w:rPr>
          <w:rStyle w:val="FootnoteAnchor"/>
          <w:rtl w:val="true"/>
        </w:rPr>
        <w:footnoteReference w:id="911"/>
      </w:r>
      <w:r>
        <w:rPr>
          <w:rFonts w:ascii="IRNazanin" w:hAnsi="IRNazanin" w:eastAsia="IRNazanin"/>
          <w:color w:val="111111"/>
          <w:sz w:val="28"/>
          <w:sz w:val="28"/>
          <w:szCs w:val="28"/>
          <w:rtl w:val="true"/>
          <w:lang w:bidi="fa-IR"/>
        </w:rPr>
        <w:t>، أو هو</w:t>
      </w:r>
    </w:p>
    <w:p>
      <w:pPr>
        <w:pStyle w:val="BookText"/>
        <w:rPr/>
      </w:pPr>
      <w:r>
        <w:rPr>
          <w:rFonts w:ascii="Amiri" w:hAnsi="Amiri" w:eastAsia="Amiri" w:cs="Amiri"/>
          <w:color w:val="111111"/>
          <w:sz w:val="28"/>
          <w:sz w:val="28"/>
          <w:szCs w:val="28"/>
          <w:rtl w:val="true"/>
          <w:lang w:bidi="ar-SA"/>
        </w:rPr>
        <w:t>منهيّ</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الإشكال في إطلاقها بما مرّ، لا يرجع إلى محصّل، بعد فهم أصحاب الحديث منها الإطلاق، و هو يشهد على أنّ لها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أورده الأُستاذ الوالد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 هنا، زائداً على ما مرّ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المآثير، المتضمّنة لعدّ أثمان المحرّمات و الأنجاس من السحت، ليس إلّا مثل ما ورد في تعديد الواجبات و المحرّمات، فإنّ المقام مقام الإهمال لا الإطلاق</w:t>
      </w:r>
      <w:r>
        <w:rPr>
          <w:rStyle w:val="FootnoteAnchor"/>
          <w:rtl w:val="true"/>
        </w:rPr>
        <w:footnoteReference w:id="913"/>
      </w:r>
      <w:r>
        <w:rPr>
          <w:rFonts w:ascii="Amiri" w:hAnsi="Amiri" w:eastAsia="Amiri" w:cs="Amiri"/>
          <w:color w:val="111111"/>
          <w:sz w:val="28"/>
          <w:sz w:val="28"/>
          <w:szCs w:val="28"/>
          <w:rtl w:val="true"/>
          <w:lang w:bidi="ar-SA"/>
        </w:rPr>
        <w:t>غير بعيد إنصافاً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الطائفة الأُخرى المتعرّضة لتحريم ثمن الكلب الذي لا يصيد</w:t>
      </w:r>
      <w:r>
        <w:rPr>
          <w:rStyle w:val="FootnoteAnchor"/>
          <w:rtl w:val="true"/>
        </w:rPr>
        <w:footnoteReference w:id="914"/>
      </w:r>
      <w:r>
        <w:rPr>
          <w:rFonts w:ascii="Amiri" w:hAnsi="Amiri" w:eastAsia="Amiri" w:cs="Amiri"/>
          <w:color w:val="111111"/>
          <w:sz w:val="28"/>
          <w:sz w:val="28"/>
          <w:szCs w:val="28"/>
          <w:rtl w:val="true"/>
          <w:lang w:bidi="ar-SA"/>
        </w:rPr>
        <w:t>، ممّا لا يمكن إنكار إطلاقها؛ لأنّ التقييد من أمارات الإطلاق و مؤكّداته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الاستثناء يشهد على أنّ المقصود هو الكلب الذي لا منفعة عقلائيّة فيه، من الحراسة و نحوها، و عليه يجوز بيع الكلب الهراش إذا كان يتّخذه المشتري فيعلّمه، كما هو الآن في بلدتنا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معمول، فإنّه كالعصير المغلي، فكيف لا يجوز هنا و يجوز</w:t>
      </w:r>
    </w:p>
    <w:p>
      <w:pPr>
        <w:pStyle w:val="BookText"/>
        <w:rPr/>
      </w:pP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أفاده الشيخ الأعظم هناك، من انصراف النبوي و غيره</w:t>
      </w:r>
      <w:r>
        <w:rPr>
          <w:rStyle w:val="FootnoteAnchor"/>
          <w:rtl w:val="true"/>
        </w:rPr>
        <w:footnoteReference w:id="915"/>
      </w:r>
      <w:r>
        <w:rPr>
          <w:rFonts w:ascii="Amiri" w:hAnsi="Amiri" w:eastAsia="Amiri" w:cs="Amiri"/>
          <w:color w:val="111111"/>
          <w:sz w:val="28"/>
          <w:sz w:val="28"/>
          <w:szCs w:val="28"/>
          <w:rtl w:val="true"/>
          <w:lang w:bidi="ar-SA"/>
        </w:rPr>
        <w:t>، يأتي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يصحّ الالتزام بأنّ الشرع يقول بتحريم ثمن الكلب في الموضع الذي لا يقدم العاقل على بيعه و شرائه لسفهيّة المعاملة؟</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ممنوعيّة ذلك؛ لأنّ هذه الروايات تمنع عن اشتراء الكلب للتفريح و التفرّج، كما هو المتعارف في يومنا، بل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ناظرة إلى تحريم ثمن الكلاب التي يشتريها الخلفاء و يلعبون بها، مشكلة جدّاً؛ لأنّ إثبات النكتة الأخيرة غير ممكن، و الأصحاب يقولون بصحّة بيع ماله المنفعة العقلائيّة</w:t>
      </w:r>
      <w:r>
        <w:rPr>
          <w:rStyle w:val="FootnoteAnchor"/>
          <w:rtl w:val="true"/>
        </w:rPr>
        <w:footnoteReference w:id="916"/>
      </w:r>
      <w:r>
        <w:rPr>
          <w:rFonts w:ascii="Amiri" w:hAnsi="Amiri" w:eastAsia="Amiri" w:cs="Amiri"/>
          <w:color w:val="111111"/>
          <w:sz w:val="28"/>
          <w:sz w:val="28"/>
          <w:szCs w:val="28"/>
          <w:rtl w:val="true"/>
          <w:lang w:bidi="ar-SA"/>
        </w:rPr>
        <w:t>، و هي الأعمّ من الأغراض العالية و الدانية؛ و لذلك أفتوا بصحّة بيع أواني الذهب و الفضّة، في صورة جواز الاقتناء</w:t>
      </w:r>
      <w:r>
        <w:rPr>
          <w:rStyle w:val="FootnoteAnchor"/>
          <w:rtl w:val="true"/>
        </w:rPr>
        <w:footnoteReference w:id="917"/>
      </w:r>
      <w:r>
        <w:rPr>
          <w:rFonts w:ascii="Amiri" w:hAnsi="Amiri" w:eastAsia="Amiri" w:cs="Amiri"/>
          <w:color w:val="111111"/>
          <w:sz w:val="28"/>
          <w:sz w:val="28"/>
          <w:szCs w:val="28"/>
          <w:rtl w:val="true"/>
          <w:lang w:bidi="ar-SA"/>
        </w:rPr>
        <w:t>، و هكذا المجسّمة</w:t>
      </w:r>
      <w:r>
        <w:rPr>
          <w:rStyle w:val="FootnoteAnchor"/>
          <w:rtl w:val="true"/>
        </w:rPr>
        <w:footnoteReference w:id="918"/>
      </w:r>
      <w:r>
        <w:rPr>
          <w:rFonts w:ascii="IRNazanin" w:hAnsi="IRNazanin" w:eastAsia="IRNazanin"/>
          <w:color w:val="111111"/>
          <w:sz w:val="28"/>
          <w:sz w:val="28"/>
          <w:szCs w:val="28"/>
          <w:rtl w:val="true"/>
          <w:lang w:bidi="fa-IR"/>
        </w:rPr>
        <w:t>، فلاحظ و 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وردت فيه</w:t>
      </w:r>
      <w:r>
        <w:rPr>
          <w:rStyle w:val="FootnoteAnchor"/>
          <w:rtl w:val="true"/>
        </w:rPr>
        <w:footnoteReference w:id="919"/>
      </w:r>
      <w:r>
        <w:rPr>
          <w:rFonts w:ascii="Amiri" w:hAnsi="Amiri" w:eastAsia="Amiri" w:cs="Amiri"/>
          <w:color w:val="111111"/>
          <w:sz w:val="28"/>
          <w:sz w:val="28"/>
          <w:szCs w:val="28"/>
          <w:rtl w:val="true"/>
          <w:lang w:bidi="ar-SA"/>
        </w:rPr>
        <w:t>قاصرة الدلالة على حرمتها تكليفاً، و العجب أنّه لم يرد فيها الكلمة المعروفة في غيرها؛ من عدّ ثمنه سحتاً، و لا ظهور لمعاقد الإجماعات</w:t>
      </w:r>
      <w:r>
        <w:rPr>
          <w:rStyle w:val="FootnoteAnchor"/>
          <w:rtl w:val="true"/>
        </w:rPr>
        <w:footnoteReference w:id="920"/>
      </w:r>
      <w:r>
        <w:rPr>
          <w:rFonts w:ascii="Amiri" w:hAnsi="Amiri" w:eastAsia="Amiri" w:cs="Amiri"/>
          <w:color w:val="111111"/>
          <w:sz w:val="28"/>
          <w:sz w:val="28"/>
          <w:szCs w:val="28"/>
          <w:rtl w:val="true"/>
          <w:lang w:bidi="ar-SA"/>
        </w:rPr>
        <w:t>في تلك المسألة التي هي المقصودة في هذا الكتاب، و قد غفل عنها بعض الأصحاب</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دلالتها على فساد المعاملة، فهي عندهم واضحة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عدَم ورود الرواية فيها في غير محلّه؛ لأنّ الروايات المجوّزة المرتبطة بالذمّي</w:t>
      </w:r>
      <w:r>
        <w:rPr>
          <w:rStyle w:val="FootnoteAnchor"/>
          <w:rtl w:val="true"/>
        </w:rPr>
        <w:footnoteReference w:id="922"/>
      </w:r>
      <w:r>
        <w:rPr>
          <w:rFonts w:ascii="Amiri" w:hAnsi="Amiri" w:eastAsia="Amiri" w:cs="Amiri"/>
          <w:color w:val="111111"/>
          <w:sz w:val="28"/>
          <w:sz w:val="28"/>
          <w:szCs w:val="28"/>
          <w:rtl w:val="true"/>
          <w:lang w:bidi="ar-SA"/>
        </w:rPr>
        <w:t xml:space="preserve">، كاشفة عن ممنوعيّتها من الغير، مع أنّه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أصحابنا،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نصراني أسلم، و عنده خمر و خنازير و عليه دَين، هل، يبيع خمره و خنازيره، فيقضي دَينه؟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مقتضى الإطلاقات بترك الاستفصال، جواز المعاملة عليها، إلّا أنّ الثمن محرّم تكليفاً في جهة دون اخرى، و كأنّه في مقام بيان أنّ الشي‌ء إذا كان محرّماً، فهو إمّا محرّم من جميع الجهات؛ فيحرم ثمنه كذلك، و إذا كان محرّماً من جهة كالأكل مثلًا، فهو محرّم أكله لا صرفه في الدَّين مثلًا، و على مثل هذه قد وردت روايات كثيرة، جمعها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رواية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رجل كان له على رجل دراهم، فباع خمراً و خنازير، و هو ينظر، فقضاه،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أمّا للمقتضي فحلال، و أمّا للبائع فحرام</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زرارة،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الرجل يكون لي عليه الدراهم، فيبيع بها خمراً و خنازير، ثمّ يقضي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خذها</w:t>
      </w:r>
      <w:r>
        <w:rPr>
          <w:rFonts w:eastAsia="Amiri" w:cs="Amiri" w:ascii="Amiri" w:hAnsi="Amiri"/>
          <w:color w:val="111111"/>
          <w:sz w:val="28"/>
          <w:szCs w:val="28"/>
          <w:rtl w:val="true"/>
          <w:lang w:bidi="ar-SA"/>
        </w:rPr>
        <w:t>»</w:t>
      </w:r>
      <w:r>
        <w:rPr>
          <w:rStyle w:val="FootnoteAnchor"/>
          <w:rtl w:val="true"/>
        </w:rPr>
        <w:footnoteReference w:id="925"/>
      </w:r>
      <w:r>
        <w:rPr>
          <w:rFonts w:ascii="Amiri" w:hAnsi="Amiri" w:eastAsia="Amiri" w:cs="Amiri"/>
          <w:color w:val="111111"/>
          <w:sz w:val="28"/>
          <w:sz w:val="28"/>
          <w:szCs w:val="28"/>
          <w:rtl w:val="true"/>
          <w:lang w:bidi="ar-SA"/>
        </w:rPr>
        <w:t>و غير ذلك</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اشتمالها على الخمر يورث حمل المطلقات هناك على فرض صرف الثمن في المأكل و المشرب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مطلق المعاوضة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 لو بجعلها مهراً، أو عوضاً في الخلع و نحو ذلك،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للبائع فحرام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نصّ في أنّ المسألة كما ذكرناها، إلّا أنّ الالتزام به في غاية الإشكال، و التفصيل يطلب من كتابنا الكبير</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إلى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الحرمة التكليفيّة و الوضعيّة في عموم المسألة غير مستندة، و في الكلّ يمكن الخدشة، إلّا أنّ الضرورة قائمة بأنّ الشرع المقدّس في هذه المسائل له أمر جديد، و هو غير إلحاق المحرّمات الشرعيّة بما لا منفعة له 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اشتهار الفتوى في القديم و الجديد، و في الكتب غير المعتمدة، دليل على أنّ الخروج عنها في غاية الإشكال، فالحرمة التكليفيّة في الميتة و الكلب، بل و الخنزير، و العذرة، بل و البول، بل و المنيّ و الخمر؛ قويّ جدّاً فيما إذا كانت المعاملة فاسدة، لأجل حرمته و سقوط منفعته، أو لاشتراط الطهارة،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المعروف بينهم، و لم أجد من صرّح بهذا العموم مدّعياً عليه الإجماع</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العامّة،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الناطقة بأنّ المحرّم جميع التقلّبات، و المصرّح فيها بالهبة و العارية</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w:t>
      </w:r>
      <w:r>
        <w:rPr>
          <w:rStyle w:val="FootnoteAnchor"/>
          <w:rtl w:val="true"/>
        </w:rPr>
        <w:footnoteReference w:id="929"/>
      </w:r>
      <w:r>
        <w:rPr>
          <w:rFonts w:ascii="Amiri" w:hAnsi="Amiri" w:eastAsia="Amiri" w:cs="Amiri"/>
          <w:color w:val="111111"/>
          <w:sz w:val="28"/>
          <w:sz w:val="28"/>
          <w:szCs w:val="28"/>
          <w:rtl w:val="true"/>
          <w:lang w:bidi="ar-SA"/>
        </w:rPr>
        <w:t>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بالبيوع،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الحلال من البيوع كلّ ما هو حلال من المأكول </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 مع أنّه قاصر الدلالة على الحرمة التكليفيّة في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بطلان جميع المعاوضات عليها أيضاً، محلّ المنع؛ لقصور سند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التمسّك بإلغاء الخصوصيّة عن مواقف الأدلّة الخاصّة، في غاية الإشكال؛ لأنّ للبيع أحكاماً خاصّة، و لو صحّ الإلغاء في هذه الموارد كان الحكم بورود الربا في جميع المعاوضات متعيّناً، بل تفصيل الشرع بين المعدود و غيره</w:t>
      </w:r>
      <w:r>
        <w:rPr>
          <w:rStyle w:val="FootnoteAnchor"/>
          <w:rtl w:val="true"/>
        </w:rPr>
        <w:footnoteReference w:id="931"/>
      </w:r>
      <w:r>
        <w:rPr>
          <w:rFonts w:ascii="Amiri" w:hAnsi="Amiri" w:eastAsia="Amiri" w:cs="Amiri"/>
          <w:color w:val="111111"/>
          <w:sz w:val="28"/>
          <w:sz w:val="28"/>
          <w:szCs w:val="28"/>
          <w:rtl w:val="true"/>
          <w:lang w:bidi="ar-SA"/>
        </w:rPr>
        <w:t>يشهد على أنّ هذه الأمور من القياس المنهيّ، و إن نبتلى بها في مختلف من المواضع</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توهّم 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العوض في البيع، من الظهور المستحدث بعد الاصطلاح؛ لما يظهر من بعض كتب اللغة خلافه؛ فاسد جدّاً،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قدّره العاقدان عوضاً للمبيع، و إذا</w:t>
      </w:r>
    </w:p>
    <w:p>
      <w:pPr>
        <w:pStyle w:val="BookText"/>
        <w:rPr/>
      </w:pPr>
      <w:r>
        <w:rPr>
          <w:rFonts w:ascii="Amiri" w:hAnsi="Amiri" w:eastAsia="Amiri" w:cs="Amiri"/>
          <w:color w:val="111111"/>
          <w:sz w:val="28"/>
          <w:sz w:val="28"/>
          <w:szCs w:val="28"/>
          <w:rtl w:val="true"/>
          <w:lang w:bidi="ar-SA"/>
        </w:rPr>
        <w:t>أُطلق الثمن أُريد به الدراهم و الدنانير،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عند العرب ما يكون دَيْنا في الذمّة</w:t>
      </w:r>
      <w:r>
        <w:rPr>
          <w:rFonts w:eastAsia="Amiri" w:cs="Amiri" w:ascii="Amiri" w:hAnsi="Amiri"/>
          <w:color w:val="111111"/>
          <w:sz w:val="28"/>
          <w:szCs w:val="28"/>
          <w:rtl w:val="true"/>
          <w:lang w:bidi="ar-SA"/>
        </w:rPr>
        <w:t>»</w:t>
      </w:r>
      <w:r>
        <w:rPr>
          <w:rStyle w:val="FootnoteAnchor"/>
          <w:rtl w:val="true"/>
        </w:rPr>
        <w:footnoteReference w:id="9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ليس مقصود الفرّاء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البيع، فإنّه ناظر كلامه إلى أنّ مطلق العوض ليس ثمناً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تمّ إلغاء الخصوصيّة فهو هنا غير بعيد إنصافاً، فمطلق العوض في البيع محرّم بالنبويّ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سقوط ماليّته في البيع يستلزم فساد سائر المعاوضات، بل لأجلها اختار الماتن في غيرها أيضاً، غير مسموعة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لزوم اعتبار سقوط ماليته شرعاً، بل الشرع منع عن البيع و سائر المعاوضات مثلًا بإيجاد شرط في المبيع، كما 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اشتراط الطهارة في المعقود عليه، و ادّعى عليه الإجماع</w:t>
      </w:r>
      <w:r>
        <w:rPr>
          <w:rStyle w:val="FootnoteAnchor"/>
          <w:rtl w:val="true"/>
        </w:rPr>
        <w:footnoteReference w:id="933"/>
      </w:r>
      <w:r>
        <w:rPr>
          <w:rFonts w:ascii="Amiri" w:hAnsi="Amiri" w:eastAsia="Amiri" w:cs="Amiri"/>
          <w:color w:val="111111"/>
          <w:sz w:val="28"/>
          <w:sz w:val="28"/>
          <w:szCs w:val="28"/>
          <w:rtl w:val="true"/>
          <w:lang w:bidi="ar-SA"/>
        </w:rPr>
        <w:t>، و لو كان الأمر كما توهّم كان ذلك لغواً بل و تناقضاً، لأنّه اشترط الماليّة، ثمّ اشترط الطهارة، و كونها شرطاً متقوّم باعتبار الماليّة و بقائها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التفكيك في الأُمور الاعتباريّة و الشرعيّة واقع قطعاً، فلا بأس بإسقاط الماليّة لمصالح في البيع دون غيره، فكيف لا و أنت ترى أنّ</w:t>
      </w:r>
    </w:p>
    <w:p>
      <w:pPr>
        <w:pStyle w:val="BookText"/>
        <w:rPr/>
      </w:pPr>
      <w:r>
        <w:rPr>
          <w:rFonts w:ascii="Amiri" w:hAnsi="Amiri" w:eastAsia="Amiri" w:cs="Amiri"/>
          <w:color w:val="111111"/>
          <w:sz w:val="28"/>
          <w:sz w:val="28"/>
          <w:szCs w:val="28"/>
          <w:rtl w:val="true"/>
          <w:lang w:bidi="ar-SA"/>
        </w:rPr>
        <w:t xml:space="preserve">بل يقوى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هبتها و الصلح عنها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يدور حرمة بيعها و التكسّب بها مدار عدم المنفعة، الشرع فصّل، في مسألة تحريم الخمر و الخنزير و أمثالهما بين المستحلّ و غيره فهل يعقل ذلك، إلّا بوجه يورث معقوليّته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تحتاج المسألة إلى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فيه بعض المحشّين و الشرّاح، و الوجه في المسألة، و الوجه في إشكالها،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دخول المعاملات الغير المعاوضيّة في معقد الاتّفاق ممنوع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القواعد فيما تردّد المبيع بين كونه من الأعيان النجسة و الطاهرة، أو كونه من الأعيان المحرّمة و غير المحرّمة، هو الرجوع إلى أصالتي الحلّ و الطهارة لحكومتهما على الإطلاقات المانعة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دعوى التفصيل بين القاعدتين، بأنّ الأعيان النجسة ممنوع المعاملة، لاعتبار الطهارة، و لا دليل على سقوط ماليّتها، بخلاف الأعيان المحرّمة، فإنّها ساقطة ماليّتها، فمثل العذرة ليست من المحرّمات، بخلاف الميتة و الخمر، فعند ذلك يشكل إحراز الماليّة بعموم أصالة الحلّ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الماليّة كما تعتبر من الحلال الواقعي تعتبر من</w:t>
      </w:r>
    </w:p>
    <w:p>
      <w:pPr>
        <w:pStyle w:val="BookText"/>
        <w:rPr/>
      </w:pPr>
      <w:r>
        <w:rPr>
          <w:rFonts w:ascii="Amiri" w:hAnsi="Amiri" w:eastAsia="Amiri" w:cs="Amiri"/>
          <w:color w:val="111111"/>
          <w:sz w:val="28"/>
          <w:sz w:val="28"/>
          <w:szCs w:val="28"/>
          <w:rtl w:val="true"/>
          <w:lang w:bidi="ar-SA"/>
        </w:rPr>
        <w:t xml:space="preserve">بل يحرم ذلك و لو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منفعة محلَّلة مقصودة كالتسميد في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الحلّيّة الظاهريّة بنحو الكشف لا الانتزاع، فلا تخلط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قاعدتي الحلّ و الطهارة تتكفّلان الحلّيتين و الطهارتين الواقعيّة و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يمكن دعوى أنّه على جميع التقادير لا يصحّ التمسّك و لا يفيد؛ لعدم الدليل الشرعي على اعتبار الماليّة في المعاملات حتّى تحصل الحكومة،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تختصّ قاعدة الطهارة بشبهة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إن كان الطهارة فهي تفيد، و لو كانت النجاسة مانعة فإثبات الطهارة لا يفي برفع المانع إلّا بالأصل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يخطر بالبال اشتراك قاعدة الحلّ معها في تلك الشبهة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كانت</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أنّ بناء الكتاب على بيان المكاسب المحرّمة بالذات، لا المحرّمة بالتشريع</w:t>
      </w:r>
      <w:r>
        <w:rPr>
          <w:rStyle w:val="FootnoteAnchor"/>
          <w:rtl w:val="true"/>
        </w:rPr>
        <w:footnoteReference w:id="934"/>
      </w:r>
      <w:r>
        <w:rPr>
          <w:rFonts w:ascii="Amiri" w:hAnsi="Amiri" w:eastAsia="Amiri" w:cs="Amiri"/>
          <w:color w:val="111111"/>
          <w:sz w:val="28"/>
          <w:sz w:val="28"/>
          <w:szCs w:val="28"/>
          <w:rtl w:val="true"/>
          <w:lang w:bidi="ar-SA"/>
        </w:rPr>
        <w:t>، و الفاسدة عرفاً، حتّى يجعل ذلك مورد التصريح على نحو ما في المتن</w:t>
      </w:r>
      <w:r>
        <w:rPr>
          <w:rFonts w:eastAsia="Amiri" w:cs="Amiri" w:ascii="Amiri" w:hAnsi="Amiri"/>
          <w:color w:val="111111"/>
          <w:sz w:val="28"/>
          <w:szCs w:val="28"/>
          <w:rtl w:val="true"/>
          <w:lang w:bidi="ar-SA"/>
        </w:rPr>
        <w:t>.</w:t>
      </w:r>
      <w:bookmarkStart w:id="214" w:name="pg12366_123176"/>
    </w:p>
    <w:p>
      <w:pPr>
        <w:pStyle w:val="Heading5"/>
        <w:numPr>
          <w:ilvl w:val="4"/>
          <w:numId w:val="1"/>
        </w:numPr>
        <w:rPr/>
      </w:pPr>
      <w:bookmarkStart w:id="215" w:name="__RefHeading___Toc8896073_417432637"/>
      <w:bookmarkStart w:id="216" w:name="_Toc80"/>
      <w:bookmarkEnd w:id="214"/>
      <w:bookmarkEnd w:id="215"/>
      <w:r>
        <w:rPr>
          <w:rtl w:val="true"/>
        </w:rPr>
        <w:t>[</w:t>
      </w:r>
      <w:r>
        <w:rPr>
          <w:rtl w:val="true"/>
        </w:rPr>
        <w:t>و يستثنى من ذلك العصير المغلي قبل ذهاب ثلثيه</w:t>
      </w:r>
      <w:r>
        <w:rPr>
          <w:rtl w:val="true"/>
        </w:rPr>
        <w:t>]</w:t>
      </w:r>
      <w:bookmarkEnd w:id="216"/>
    </w:p>
    <w:p>
      <w:pPr>
        <w:pStyle w:val="BookText"/>
        <w:rPr/>
      </w:pPr>
      <w:r>
        <w:rPr>
          <w:rFonts w:ascii="Amiri" w:hAnsi="Amiri" w:eastAsia="Amiri" w:cs="Amiri"/>
          <w:color w:val="111111"/>
          <w:sz w:val="28"/>
          <w:sz w:val="28"/>
          <w:szCs w:val="28"/>
          <w:rtl w:val="true"/>
          <w:lang w:bidi="ar-SA"/>
        </w:rPr>
        <w:t xml:space="preserve">و يستثنى من ذلك العصير المغلي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ذهاب ثلثيه بناءً على نجاسته، حكم التكسّب بالعصير العنبي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العصير المغلي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كونه استثناء إشكال؛ لعدم الدليل على صحّة بيع العصير المغلي قبل ذهاب ثلثيه 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يشكل شمول العمومات لمثله؛ لأنّ النجس القابل للطهارة خارج عنها، و إلّا جميع المتنجّسات مشمول قوله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النجس</w:t>
      </w:r>
      <w:r>
        <w:rPr>
          <w:rFonts w:eastAsia="Amiri" w:cs="Amiri" w:ascii="Amiri" w:hAnsi="Amiri"/>
          <w:color w:val="111111"/>
          <w:sz w:val="28"/>
          <w:szCs w:val="28"/>
          <w:rtl w:val="true"/>
          <w:lang w:bidi="ar-SA"/>
        </w:rPr>
        <w:t>»</w:t>
      </w:r>
      <w:r>
        <w:rPr>
          <w:rStyle w:val="FootnoteAnchor"/>
          <w:rtl w:val="true"/>
        </w:rPr>
        <w:footnoteReference w:id="935"/>
      </w:r>
      <w:r>
        <w:rPr>
          <w:rFonts w:ascii="Amiri" w:hAnsi="Amiri" w:eastAsia="Amiri" w:cs="Amiri"/>
          <w:color w:val="111111"/>
          <w:sz w:val="28"/>
          <w:sz w:val="28"/>
          <w:szCs w:val="28"/>
          <w:rtl w:val="true"/>
          <w:lang w:bidi="ar-SA"/>
        </w:rPr>
        <w:t>كما عرفت، و هكذا النبوي</w:t>
      </w:r>
      <w:r>
        <w:rPr>
          <w:rStyle w:val="FootnoteAnchor"/>
          <w:rtl w:val="true"/>
        </w:rPr>
        <w:footnoteReference w:id="936"/>
      </w:r>
      <w:r>
        <w:rPr>
          <w:rFonts w:ascii="Amiri" w:hAnsi="Amiri" w:eastAsia="Amiri" w:cs="Amiri"/>
          <w:color w:val="111111"/>
          <w:sz w:val="28"/>
          <w:sz w:val="28"/>
          <w:szCs w:val="28"/>
          <w:rtl w:val="true"/>
          <w:lang w:bidi="ar-SA"/>
        </w:rPr>
        <w:t>لأنّ المحرّم فيه هو الذي حرّم، و لا يحلّ إلّا بانقلاب الموضوع، و لذلك العصير المغلي بنفسه لا يكون مستثنًى؛ لأنّه يعدّ خمراً في الروايات</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نصّ عليه الأكثر من المتقدّمين</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لعمري إنّ النصوص في هذه المسألة ناظرة إلى تجويز العصير</w:t>
      </w:r>
    </w:p>
    <w:p>
      <w:pPr>
        <w:pStyle w:val="BookText"/>
        <w:rPr/>
      </w:pPr>
      <w:r>
        <w:rPr>
          <w:rFonts w:ascii="Amiri" w:hAnsi="Amiri" w:eastAsia="Amiri" w:cs="Amiri"/>
          <w:color w:val="111111"/>
          <w:sz w:val="28"/>
          <w:sz w:val="28"/>
          <w:szCs w:val="28"/>
          <w:rtl w:val="true"/>
          <w:lang w:bidi="ar-SA"/>
        </w:rPr>
        <w:t>المغلي، قبل أن ينقلب خمراً</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من صغريات المستثنى منه إذا غلى العصير بنفسه، و إذا غلى بالنار، فتلك الأدلّة قاصرة عن شمولها، و عمومات المسألة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وجوه النجس؛ لأنّ العين النجس ليست ما لا تقبل الطهارة، بل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نجاسته من قبل نفسه، مقابل المتنجّس، و أنّه حين غليانه محرّم؛ فيشمله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الأستاذ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 جواز المعاوضة عليه مطلقاً، حتّى حال خمريّته</w:t>
      </w:r>
      <w:r>
        <w:rPr>
          <w:rStyle w:val="FootnoteAnchor"/>
          <w:rtl w:val="true"/>
        </w:rPr>
        <w:footnoteReference w:id="940"/>
      </w:r>
      <w:r>
        <w:rPr>
          <w:rFonts w:ascii="Amiri" w:hAnsi="Amiri" w:eastAsia="Amiri" w:cs="Amiri"/>
          <w:color w:val="111111"/>
          <w:sz w:val="28"/>
          <w:sz w:val="28"/>
          <w:szCs w:val="28"/>
          <w:rtl w:val="true"/>
          <w:lang w:bidi="ar-SA"/>
        </w:rPr>
        <w:t>، و لم يظهر لي وجه لمرامه، بعد كونه خمراً و تشمله تلك الروايات الواردة في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يصير خمراً حتّى لو غلى بنفسه، فهو بحث تامّ صغروي فلا تخلط</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المسألة من حيث صغراها تحتاج إلى التأمّل في مباحث النجاسات، و حيث أنّ أخبار المسألة كلّها ضعاف غير معتبرة، فلا خير في</w:t>
      </w:r>
      <w:bookmarkStart w:id="217" w:name="pg12366_123178"/>
    </w:p>
    <w:p>
      <w:pPr>
        <w:pStyle w:val="Heading5"/>
        <w:numPr>
          <w:ilvl w:val="4"/>
          <w:numId w:val="1"/>
        </w:numPr>
        <w:rPr/>
      </w:pPr>
      <w:bookmarkStart w:id="218" w:name="__RefHeading___Toc8896075_417432637"/>
      <w:bookmarkStart w:id="219" w:name="_Toc81"/>
      <w:bookmarkEnd w:id="217"/>
      <w:bookmarkEnd w:id="218"/>
      <w:r>
        <w:rPr>
          <w:rtl w:val="true"/>
        </w:rPr>
        <w:t>[</w:t>
      </w:r>
      <w:r>
        <w:rPr>
          <w:rtl w:val="true"/>
        </w:rPr>
        <w:t>حكم التكسّب بالكافر</w:t>
      </w:r>
      <w:r>
        <w:rPr>
          <w:rtl w:val="true"/>
        </w:rPr>
        <w:t>]</w:t>
      </w:r>
      <w:bookmarkEnd w:id="219"/>
    </w:p>
    <w:p>
      <w:pPr>
        <w:pStyle w:val="BookText"/>
        <w:rPr/>
      </w:pPr>
      <w:r>
        <w:rPr>
          <w:rFonts w:ascii="Amiri" w:hAnsi="Amiri" w:eastAsia="Amiri" w:cs="Amiri"/>
          <w:color w:val="111111"/>
          <w:sz w:val="28"/>
          <w:sz w:val="28"/>
          <w:szCs w:val="28"/>
          <w:rtl w:val="true"/>
          <w:lang w:bidi="ar-SA"/>
        </w:rPr>
        <w:t xml:space="preserve">و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أقسامه حتَّى المرتدّ عن فطرة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نقلها، و قد أقصينا البحث حولها في كتابنا الكبير</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التكسّب بالكافر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إجماعاً،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ديدن المسلمين في صدر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يستشمّ الحكم من بعض الروايات في المسألة</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شرائط الصحّة، من الماليّة و غيرها، موجودة، و لا دليل على المنع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وجوب القتل منافياً لنفوذ البيع، لما كانت تصحّ إجارة من يجب قتله قصاصاً، و غيره من الأسباب الأُخر المقتضية له، مع أنّ الأمر هناك بديهيّ، فنفس الوجوب يجامع صحّة المعاملة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تصدّي الوالي لقتله فهو يوجب سفهيّة إقدام المعامل عليه إلّا لغرض العتق، و هذا لا ينحصر بصورة، بل لو تصدّى الظالم ذلك قهراً عليه،</w:t>
      </w:r>
    </w:p>
    <w:p>
      <w:pPr>
        <w:pStyle w:val="BookText"/>
        <w:rPr/>
      </w:pPr>
      <w:r>
        <w:rPr>
          <w:rFonts w:ascii="Amiri" w:hAnsi="Amiri" w:eastAsia="Amiri" w:cs="Amiri"/>
          <w:color w:val="111111"/>
          <w:sz w:val="28"/>
          <w:sz w:val="28"/>
          <w:szCs w:val="28"/>
          <w:rtl w:val="true"/>
          <w:lang w:bidi="ar-SA"/>
        </w:rPr>
        <w:t xml:space="preserve">و كلب الصيد،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يلحق به كلب الماشية و الزرع و البستان و الدور أيضاً </w:t>
      </w:r>
      <w:r>
        <w:rPr>
          <w:rStyle w:val="FootnoteAnchor"/>
          <w:rtl w:val="true"/>
        </w:rPr>
        <w:footnoteReference w:id="943"/>
      </w:r>
      <w:r>
        <w:rPr>
          <w:rFonts w:ascii="Amiri" w:hAnsi="Amiri" w:eastAsia="Amiri" w:cs="Amiri"/>
          <w:color w:val="111111"/>
          <w:sz w:val="28"/>
          <w:sz w:val="28"/>
          <w:szCs w:val="28"/>
          <w:rtl w:val="true"/>
          <w:lang w:bidi="ar-SA"/>
        </w:rPr>
        <w:t>، و فيه تأمُّل و إشكال، فإنّه يوجب فساد المعاوضة لجهة أُخرى،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إيجاب القتل لا يجامع الإرادة الجديّة بوجوب الوفاء بالعقد، المستلزمة لحفظه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الحكم مشروطاً، و لم يكن شرطه موجوداً، فهو ممّا لا بأس به، و لكنّه خلاف الفرض، و مثله ما لو كان معلّقاً، بل الحكم كذلك عرفاً، فلو سلّمنا إمكان الجمع ترتّباً، فالعقلاء لا يساعدون على صحّة هذه المعاملة، و على أنّ الشرع جمع بين إيجاب القتل و تصحيح البيع، فالحكمان التكليفيان غير قابلين للجمع، و الحكم التكليفي و الوضعي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 قلتات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هذه الشبهة، فالأحوط ترك مثل هذا النقل و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بيع كلب الصيد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كلب الصيد</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بالإجماع، و الشهرة القطعيّة</w:t>
      </w:r>
      <w:r>
        <w:rPr>
          <w:rStyle w:val="FootnoteAnchor"/>
          <w:rtl w:val="true"/>
        </w:rPr>
        <w:footnoteReference w:id="944"/>
      </w:r>
      <w:r>
        <w:rPr>
          <w:rFonts w:ascii="Amiri" w:hAnsi="Amiri" w:eastAsia="Amiri" w:cs="Amiri"/>
          <w:color w:val="111111"/>
          <w:sz w:val="28"/>
          <w:sz w:val="28"/>
          <w:szCs w:val="28"/>
          <w:rtl w:val="true"/>
          <w:lang w:bidi="ar-SA"/>
        </w:rPr>
        <w:t>، و النصوص الكثيرة</w:t>
      </w:r>
      <w:r>
        <w:rPr>
          <w:rStyle w:val="FootnoteAnchor"/>
          <w:rtl w:val="true"/>
        </w:rPr>
        <w:footnoteReference w:id="945"/>
      </w:r>
      <w:r>
        <w:rPr>
          <w:rFonts w:ascii="IRNazanin" w:hAnsi="IRNazanin" w:eastAsia="IRNazanin"/>
          <w:color w:val="111111"/>
          <w:sz w:val="28"/>
          <w:sz w:val="28"/>
          <w:szCs w:val="28"/>
          <w:rtl w:val="true"/>
          <w:lang w:bidi="fa-IR"/>
        </w:rPr>
        <w:t>، و لا خلاف</w:t>
      </w:r>
    </w:p>
    <w:p>
      <w:pPr>
        <w:pStyle w:val="BookText"/>
        <w:rPr/>
      </w:pPr>
      <w:r>
        <w:rPr>
          <w:rFonts w:ascii="Amiri" w:hAnsi="Amiri" w:eastAsia="Amiri" w:cs="Amiri"/>
          <w:color w:val="111111"/>
          <w:sz w:val="28"/>
          <w:sz w:val="28"/>
          <w:szCs w:val="28"/>
          <w:rtl w:val="true"/>
          <w:lang w:bidi="ar-SA"/>
        </w:rPr>
        <w:t>في المسألة من حيث الاستثناء في الجملة، و من أنّه الكلب الصيود، إنّما الكلام في سائر الأصناف الأُخر، و منها الكلاب المستخدمة في البيوت، و التي هي الملاعب بها في القصور، و قد مرّ بعض الكلام حول المستثنى منه، و أُشير هناك إلى حقّ القول في المسألة</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طريق الإشكال في المسألة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قصور المطلقات عن شمول هذه الأصناف؛ لأنّها بالاستثناء تكون ظاهرة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المنع لفقد الجهة العقلائيّة في 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بما فيه؛ فإنّ هذه الروايات ناظرة إلى تحريم ما هو الراسخ عند العقلاء، لا الذي لا يرتكبه العرف بطبعه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إلغاء الخصوصيّة من المستثنى أو ادّعاء أنّ المراد من الصيد ليس ما هو المصطلح عليه، بل هو الكلب الذي يصطاد، و هي الكلاب التي فيها صفة اللهث، و هي الأعمّ من الصفة التي يأخذ بها الغزال أو السارق أو الذئب، فكلّها ممّا يصطاد، و يختلف صيدها حسب تربيتهم، أو حسب اقتضاءٍ في طباعهم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 هذه الطريقة 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القاضية بجواز بيع كلب</w:t>
      </w:r>
    </w:p>
    <w:p>
      <w:pPr>
        <w:pStyle w:val="BookText"/>
        <w:rPr/>
      </w:pPr>
      <w:r>
        <w:rPr>
          <w:rFonts w:ascii="Amiri" w:hAnsi="Amiri" w:eastAsia="Amiri" w:cs="Amiri"/>
          <w:color w:val="111111"/>
          <w:sz w:val="28"/>
          <w:sz w:val="28"/>
          <w:szCs w:val="28"/>
          <w:rtl w:val="true"/>
          <w:lang w:bidi="ar-SA"/>
        </w:rPr>
        <w:t xml:space="preserve">نعم 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إجارتها و إعارتها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الماشية و الحائط</w:t>
      </w:r>
      <w:r>
        <w:rPr>
          <w:rStyle w:val="FootnoteAnchor"/>
          <w:rtl w:val="true"/>
        </w:rPr>
        <w:footnoteReference w:id="947"/>
      </w:r>
      <w:r>
        <w:rPr>
          <w:rFonts w:ascii="Amiri" w:hAnsi="Amiri" w:eastAsia="Amiri" w:cs="Amiri"/>
          <w:color w:val="111111"/>
          <w:sz w:val="28"/>
          <w:sz w:val="28"/>
          <w:szCs w:val="28"/>
          <w:rtl w:val="true"/>
          <w:lang w:bidi="ar-SA"/>
        </w:rPr>
        <w:t>، فما أفاده الماتن من التردّد و الإشكال في الإلحاق، في نهاية المتانة و القوّة، خلافاً لما ذهب إليه الوالد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كيف يمكن الالتزام بجواز بيع كلب الصيد الذي يستعمله أبناء الملوك في السفر المحرّم و اللهو، و بحرمة الكلب الحارس للماشية و البيوت الذي يحتاج إليه الناس في معاشهم؟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تكون هذه الروايات ناظرة إلى طائفة خاصّة من الكلاب، و هي المستعملة في لعب السلاطين و أتباعهم الرائجة في ذلك اليوم بينهم كثيراً، فلاحظ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للإجماع، و إلّا فقضية القواعد سريان الإشكال من البيع إلى غيره أيضاً، مثل الصلح و نحوه لما سرى منه إلى سائر التقلّبات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عندي في تماميّة هذا الإجماع المنقول، بل و المحصّل منه شبهة؛ ضرورة أنّ المسألة ذات رواية و ذات وجوه اعتباريّة، و لعلّهم إليها استندوا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فالتفصيل بين البيع و غيره هنا، أي في المستثنى دون المستثنى منه خصوصاً في الكلب، في غاية الإشكال، بل و المنع، فتدبّر</w:t>
      </w:r>
      <w:r>
        <w:rPr>
          <w:rFonts w:eastAsia="Amiri" w:cs="Amiri" w:ascii="Amiri" w:hAnsi="Amiri"/>
          <w:color w:val="111111"/>
          <w:sz w:val="28"/>
          <w:szCs w:val="28"/>
          <w:rtl w:val="true"/>
          <w:lang w:bidi="ar-SA"/>
        </w:rPr>
        <w:t>.</w:t>
      </w:r>
      <w:bookmarkStart w:id="220" w:name="pg12366_123182"/>
    </w:p>
    <w:p>
      <w:pPr>
        <w:pStyle w:val="Heading4"/>
        <w:numPr>
          <w:ilvl w:val="3"/>
          <w:numId w:val="1"/>
        </w:numPr>
        <w:rPr/>
      </w:pPr>
      <w:bookmarkStart w:id="221" w:name="__RefHeading___Toc8896077_417432637"/>
      <w:bookmarkStart w:id="222" w:name="_Toc82"/>
      <w:bookmarkEnd w:id="220"/>
      <w:bookmarkEnd w:id="221"/>
      <w:r>
        <w:rPr>
          <w:rtl w:val="true"/>
        </w:rPr>
        <w:t>[</w:t>
      </w:r>
      <w:r>
        <w:rPr>
          <w:rtl w:val="true"/>
        </w:rPr>
        <w:t xml:space="preserve">مسألة </w:t>
      </w:r>
      <w:r>
        <w:rPr/>
        <w:t>2</w:t>
      </w:r>
      <w:r>
        <w:rPr>
          <w:rtl w:val="true"/>
        </w:rPr>
        <w:t xml:space="preserve">: </w:t>
      </w:r>
      <w:r>
        <w:rPr>
          <w:rtl w:val="true"/>
        </w:rPr>
        <w:t>الأعيان النجسة لا يجوز الاكتساب بها</w:t>
      </w:r>
      <w:r>
        <w:rPr>
          <w:rtl w:val="true"/>
        </w:rPr>
        <w:t>]</w:t>
      </w:r>
      <w:bookmarkEnd w:id="22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الأعيان النجسة عدا ما استثني و إن لم يعامل معها شرعا معاملة الأموال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يجوز الاكتساب بها، و لا يصحّ جعلها عوضاً أو معوّضاً في المعاوضات، بل وهبتها و الصلح عنها كما عرفت؛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معاملة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المعاوضات إجمالًا على ما عرفت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أتلفها فإن قلنا بأنّها غير جائز اقتناؤها، فيعلم سقوطها في الشريعة من جميع الجهات، فلا يكون المتلف ضامناً، و إلّا فهو ضامن؛ لعدم خروجها عن الملكيّة و إن سقطت ماليّتها في الجملة؛ لأنّ الملكيّة من الاعتبارات المتقوّمة بأثرٍ ما، على ما تحرّر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مقتضى ما سمعت منّا أنّ الماليّة تقبل التفكيك</w:t>
      </w:r>
      <w:r>
        <w:rPr>
          <w:rStyle w:val="FootnoteAnchor"/>
          <w:rtl w:val="true"/>
        </w:rPr>
        <w:footnoteReference w:id="948"/>
      </w:r>
      <w:r>
        <w:rPr>
          <w:rFonts w:ascii="Amiri" w:hAnsi="Amiri" w:eastAsia="Amiri" w:cs="Amiri"/>
          <w:color w:val="111111"/>
          <w:sz w:val="28"/>
          <w:sz w:val="28"/>
          <w:szCs w:val="28"/>
          <w:rtl w:val="true"/>
          <w:lang w:bidi="ar-SA"/>
        </w:rPr>
        <w:t>، و لذلك يصحّ بيع شي‌ء للمستحلّ و لا يصحّ لغيره، و قد علمت أنّ مسألة سقوط الماليّة ممّا لا أساس لها رأساً إلّا مع تصريح الشرع به، أو خلعه جميع آثارها، نعم الأثر النادر في حال لا يورث عدّ شي‌ء مالًا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الضمانات قاصرة عن شمول هذه الموارد، و إلّا يلزم ضمان تلف الخمر، و قد ورد في النصوص الأمر بإهراقه</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لِمَن كانت هي في يده و تحت استيلائه حقّ اختصاص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بها، ناشئ إمّا من حيازتها، أو من كون أصلها مالًا له، كما إذا مات حيوان له فصار ميتة، أو صار عنبه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شي‌ء إذا كان ذا منفعة محلّلة مقصودة عند العقلاء، يعدّ مالًا و إن حرّم المبادلة عليه بأنواعها، و الأمر بالإهراق لا ينافي ذلك، بعد قوّة احتمال أنّ صاحبها يشربها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اختصاص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قضية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ليس من الملك الضعيف، و لا من مراتب السلطنة، و عليه فنفس الاستيلاء يورث الحقّ المذكور، و لا دخالة لملك العين في ذلك؛ فإنّه إذا خرج عن ملكه لا يخرج عن تحت يده، فيعتبر عندئذٍ حقّ الاختصاص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فالعذرة التي تحتاز، و التي هي في يده إذا كانت قابلة للانتفاع بها شرعاً و عرفاً، لا يجوز التصرّف فيها بدون إذن صاحب الحقّ</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ورد في الحديث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 إلى ما لا يسبق إليه مسلم فهو أحقّ به</w:t>
      </w:r>
      <w:r>
        <w:rPr>
          <w:rFonts w:eastAsia="Amiri" w:cs="Amiri" w:ascii="Amiri" w:hAnsi="Amiri"/>
          <w:color w:val="111111"/>
          <w:sz w:val="28"/>
          <w:szCs w:val="28"/>
          <w:rtl w:val="true"/>
          <w:lang w:bidi="ar-SA"/>
        </w:rPr>
        <w:t>»</w:t>
      </w:r>
      <w:r>
        <w:rPr>
          <w:rStyle w:val="FootnoteAnchor"/>
          <w:rtl w:val="true"/>
        </w:rPr>
        <w:footnoteReference w:id="950"/>
      </w:r>
      <w:r>
        <w:rPr>
          <w:rFonts w:ascii="Amiri" w:hAnsi="Amiri" w:eastAsia="Amiri" w:cs="Amiri"/>
          <w:color w:val="111111"/>
          <w:sz w:val="28"/>
          <w:sz w:val="28"/>
          <w:szCs w:val="28"/>
          <w:rtl w:val="true"/>
          <w:lang w:bidi="ar-SA"/>
        </w:rPr>
        <w:t>و إن لا يشمل الفرض الثاني، و لكنّه حكم قطعي لا يحتاج إلى شمول دليل، مع أنّ قضية الاستصحاب في بعض فروض المسألة، ممنوعيّة</w:t>
      </w:r>
    </w:p>
    <w:p>
      <w:pPr>
        <w:pStyle w:val="BookText"/>
        <w:rPr/>
      </w:pPr>
      <w:r>
        <w:rPr>
          <w:rFonts w:ascii="Amiri" w:hAnsi="Amiri" w:eastAsia="Amiri" w:cs="Amiri"/>
          <w:color w:val="111111"/>
          <w:sz w:val="28"/>
          <w:sz w:val="28"/>
          <w:szCs w:val="28"/>
          <w:rtl w:val="true"/>
          <w:lang w:bidi="ar-SA"/>
        </w:rPr>
        <w:t xml:space="preserve">و هذا الحقّ قابل للانتقال إلى الغير بالإرث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أن يصالح عنه بلا عوض، بل بالعوض أيضاً لو جعل مقابلًا لذلك الحقّ، لا عوضاً لنفس العين، لكنّه لا يخلو من إشكال، بل لا يبعد دخوله في الاكتساب المحظور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الغير عن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الذي يظهر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كبرى المسألة، و هي ثبوت الحقّ في الجملة، ممّا لا شبهة فيها، و لكنّها في هذه الأُمور ممنوعة؛ ضرورة أنّ هذه الأعيان لها المنافع المحلّلة و إن لم تكن غالبة، و لا كثيرة إلّا أنّها ليست قليلة، خصوصاً في بعض منها، و تلك الأُمور علل اعتبار الملك هنا، و لا دليل على سقوط الملكيّة و لو فرضنا سقوط الماليّة، مع ما عرفت فيه أيضاً،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فقياس الأماكن المشتركة بهذه المسألة مع الفارق جدّاً، مع قصور دليله عن شمول تمام المدّعى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بالإرث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إطلاق العبارة يقضي بجوازه بيعاً أيضاً، بل يصحّ جعل متعلّقه مورد الإجارة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يدّعى اعتبار كون المبيع عيناً، و كون الإجارة ناقلة للمنفعة، و هما هنا منتفيان، و لكنّها ضعيفة على ما حرّرناه في محلّه</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العجب إنّه قد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تضييع الحقّ لا يوجب الضمان؛ لأنّه ليس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 أوضح من أن 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المنع عن عموم التقلّبات يشمله؛ لأنّه و إن لم يكن من التقلّب في المحظور و المحرّم إلّا أنّه يستلزمه، و لا فرق طبق إطلاقها بين التقلّبات الواردة عليها بالذات و الواردة عليها بالعرض؛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ممّا مضى توهّم أنّ المعاملات الأُخر الواردة على الأعيان، لا تورث إلّا التقلّب في الملكيّة المتعلّقة بالأعيان، فلا فرق بين الحقّ المتعلّق بالعين و الملكيّة، فالحكم في الفرضين متّحد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فيه واضح، بداهة أنّ العرف يكذّبه، و أنّ الملكيّة ليست معتبرة في التبادلات، كما في تبديل أحد الحاكمين الخمس بالزكاة في مورد، و كون الحقّ متقوّماً في الماليّة بالعين الخارجي لا يورث كونه مثل الملكيّة في الاعتبار، بل لا يعقل التبديل في الملكيّة على أن تكون الإضافة بالذات مورد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التبديل بين العينين في الملكيّة يستلزم الملكيّة المستأنفة بالتبع فلا تغفل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في المسألة إشكال مبنوي مضى سبيله، و على فرض صحّة المبنى صحّة الدعوى السابقة مشكلة، فالمرجع هو الأصل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بذل له مالًا ليرفع يده و يعرض عنها فيحوزها الباذل، سلم من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بذل المال لمن سبق إلى مكان من الأمكنة المشتركة كالمسجد و المدرسة، ليرفع يده عنه و يسكنه الباذل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لا يعدّ من الأكل بالباطل، كما لو كان بناء الحائز في المسجد عليه، فيكون ذلك متجره، و يشكل مطلقاً؛ لأنّه يعدّ من المعاوضة عرفاً، و ليس منه العين و الأثر في الأنحاء المعروفة منها، و هو يندفع بالإطلاقات في محلّها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يشكل جواز حيازتها؛ لأنّها من الأسباب المملّكة، فيندرج في العموم المنفي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bookmarkStart w:id="223" w:name="pg12366_123187"/>
    </w:p>
    <w:p>
      <w:pPr>
        <w:pStyle w:val="Heading4"/>
        <w:numPr>
          <w:ilvl w:val="3"/>
          <w:numId w:val="1"/>
        </w:numPr>
        <w:rPr/>
      </w:pPr>
      <w:bookmarkStart w:id="224" w:name="__RefHeading___Toc8896079_417432637"/>
      <w:bookmarkStart w:id="225" w:name="_Toc83"/>
      <w:bookmarkEnd w:id="223"/>
      <w:bookmarkEnd w:id="224"/>
      <w:r>
        <w:rPr>
          <w:rtl w:val="true"/>
        </w:rPr>
        <w:t>[</w:t>
      </w:r>
      <w:r>
        <w:rPr>
          <w:rtl w:val="true"/>
        </w:rPr>
        <w:t xml:space="preserve">مسألة </w:t>
      </w:r>
      <w:r>
        <w:rPr/>
        <w:t>3</w:t>
      </w:r>
      <w:r>
        <w:rPr>
          <w:rtl w:val="true"/>
        </w:rPr>
        <w:t xml:space="preserve">: </w:t>
      </w:r>
      <w:r>
        <w:rPr>
          <w:rtl w:val="true"/>
        </w:rPr>
        <w:t>لا إشكال في جواز بيع ما لا تحلّه الحياة من أجزاء الميتة، ممّا كانت له منفعة محلّلة مقصودة</w:t>
      </w:r>
      <w:r>
        <w:rPr>
          <w:rtl w:val="true"/>
        </w:rPr>
        <w:t>]</w:t>
      </w:r>
      <w:bookmarkEnd w:id="22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جواز بيع ما لا تحلّه الحياة من أجزاء الميتة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كانت له منفعة محلّلة مقصودة كشعرها و صوفها، بل و لبنها أيضاً إذا قلنا بطهارته، كما مرّ في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أجزاء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الدليل، و توهّم صدق الميتة عليها غير تامّ، لأنّها من صفات ذوات الأرواح، و إطلاقها على النباتات، باعتبار الروح النباتي، من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بالتبعية في الحكم؛ لفناء الجزء في حكم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ورد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الكلب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يعلم منه نجاسة جميع أجزائه، كذلك لو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بيع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يلاحظ صدق الميتة بالنسبة إلى جميع الأجزاء</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الميتة من صفات الحيوان كالذكاة، و ليست الأجزاء حتّى ما تحلّه الحياة ميتة إلّا تسامحاً، فعدّ الأليات المقطوعة ميتة لا يورث صحّة الإطلاق على نعت الحقيقة، فعليه لا بدّ من الاحتياط إلّا في مثل لبنها؛ فإنّه لا يعدّ من أجزائها، بل هو كحجر المثانة، و لذلك ليس فيه الروح النباتي، فضلًا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جواز بيع الميتة الطاهرة كالسمك الطافي إذا كانت له منفعة و لو من دهنه، إشكال، لا يبعد الجواز، بل لا يخلو من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استشكل الوالد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 في القوّة و منعها، فاحتاط في المسألة و قال في المكاسب المحرّمة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الميتة من غير ذي النفس السائلة تجوز المعاوضة عليها و على أجزائها؛ لقصور الأدلّة</w:t>
      </w:r>
      <w:r>
        <w:rPr>
          <w:rFonts w:eastAsia="Amiri" w:cs="Amiri" w:ascii="Amiri" w:hAnsi="Amiri"/>
          <w:color w:val="111111"/>
          <w:sz w:val="28"/>
          <w:szCs w:val="28"/>
          <w:rtl w:val="true"/>
          <w:lang w:bidi="ar-SA"/>
        </w:rPr>
        <w:t>»</w:t>
      </w:r>
      <w:r>
        <w:rPr>
          <w:rStyle w:val="FootnoteAnchor"/>
          <w:rtl w:val="true"/>
        </w:rPr>
        <w:footnoteReference w:id="9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ما أردنا نقله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المسألة ليست من المسائل الإجماعيّة؛ لعدم معروفيّتها بين القدماء، فدعوى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نفي الخلاف</w:t>
      </w:r>
      <w:r>
        <w:rPr>
          <w:rFonts w:eastAsia="Amiri" w:cs="Amiri" w:ascii="Amiri" w:hAnsi="Amiri"/>
          <w:color w:val="111111"/>
          <w:sz w:val="28"/>
          <w:szCs w:val="28"/>
          <w:rtl w:val="true"/>
          <w:lang w:bidi="ar-SA"/>
        </w:rPr>
        <w:t>»</w:t>
      </w:r>
      <w:r>
        <w:rPr>
          <w:rStyle w:val="FootnoteAnchor"/>
          <w:rtl w:val="true"/>
        </w:rPr>
        <w:footnoteReference w:id="953"/>
      </w:r>
      <w:r>
        <w:rPr>
          <w:rFonts w:ascii="Amiri" w:hAnsi="Amiri" w:eastAsia="Amiri" w:cs="Amiri"/>
          <w:color w:val="111111"/>
          <w:sz w:val="28"/>
          <w:sz w:val="28"/>
          <w:szCs w:val="28"/>
          <w:rtl w:val="true"/>
          <w:lang w:bidi="ar-SA"/>
        </w:rPr>
        <w:t>لا تورث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تقييد مورد الإجماع بذي النفس السائلة، معناه اتفاقهم على جواز البيع في غيرها، فاسد؛ ضرورة أنّه لأجل درجها في النجاسات فلا شهرة على جواز بيعها، فالمتّبع إطلاقات الأدلّة، و الانصراف غير معلوم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اقتضاء المناسبة بين الحكم و الموضوع ليست تامّة، بل في رواية البزنطيّ</w:t>
      </w:r>
      <w:r>
        <w:rPr>
          <w:rStyle w:val="FootnoteAnchor"/>
          <w:rtl w:val="true"/>
        </w:rPr>
        <w:footnoteReference w:id="954"/>
      </w:r>
      <w:r>
        <w:rPr>
          <w:rFonts w:ascii="Amiri" w:hAnsi="Amiri" w:eastAsia="Amiri" w:cs="Amiri"/>
          <w:color w:val="111111"/>
          <w:sz w:val="28"/>
          <w:sz w:val="28"/>
          <w:szCs w:val="28"/>
          <w:rtl w:val="true"/>
          <w:lang w:bidi="ar-SA"/>
        </w:rPr>
        <w:t>، تجويز الانتفاع و النهي عن بيعها، فيعلم نفي الملازمة بمثلها</w:t>
      </w:r>
    </w:p>
    <w:p>
      <w:pPr>
        <w:pStyle w:val="BookText"/>
        <w:rPr/>
      </w:pPr>
      <w:r>
        <w:rPr>
          <w:rFonts w:ascii="Amiri" w:hAnsi="Amiri" w:eastAsia="Amiri" w:cs="Amiri"/>
          <w:color w:val="111111"/>
          <w:sz w:val="28"/>
          <w:sz w:val="28"/>
          <w:szCs w:val="28"/>
          <w:rtl w:val="true"/>
          <w:lang w:bidi="ar-SA"/>
        </w:rPr>
        <w:t>المؤيّد بتلك الإطلاقات، و لا ينافيها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الطهور ماؤه، و الحلّ ميتته</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لعمري إنّ هذه الإطلاقات ليست في حدّ الإطلاقات الكلّيّة القانونيّة، بل هي ناظرة إلى ما تعارف في عصر الصدور من أكل الميتة، و منها ما لا يراعى فيه الشرائط الشرعيّة في تذكيته،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السمك الطافي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يموت و يعلو الماء، سواء كان من المحلّل أو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 بقبول سائر الحيوانات البحريّة التذكية، فبيعها يجوز؛ لأنّها ليست ميتة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الأصحاب في تلك المسألة نفي ذلك؛ لعدم الأثر عليها، و هو ممنوع كما عرفت</w:t>
      </w:r>
      <w:r>
        <w:rPr>
          <w:rFonts w:eastAsia="Amiri" w:cs="Amiri" w:ascii="Amiri" w:hAnsi="Amiri"/>
          <w:color w:val="111111"/>
          <w:sz w:val="28"/>
          <w:szCs w:val="28"/>
          <w:rtl w:val="true"/>
          <w:lang w:bidi="ar-SA"/>
        </w:rPr>
        <w:t>.</w:t>
      </w:r>
      <w:bookmarkStart w:id="226" w:name="pg12366_123190"/>
    </w:p>
    <w:p>
      <w:pPr>
        <w:pStyle w:val="Heading4"/>
        <w:numPr>
          <w:ilvl w:val="3"/>
          <w:numId w:val="1"/>
        </w:numPr>
        <w:rPr/>
      </w:pPr>
      <w:bookmarkStart w:id="227" w:name="__RefHeading___Toc8896081_417432637"/>
      <w:bookmarkStart w:id="228" w:name="_Toc84"/>
      <w:bookmarkEnd w:id="226"/>
      <w:bookmarkEnd w:id="227"/>
      <w:r>
        <w:rPr>
          <w:rtl w:val="true"/>
        </w:rPr>
        <w:t>[</w:t>
      </w:r>
      <w:r>
        <w:rPr>
          <w:rtl w:val="true"/>
        </w:rPr>
        <w:t xml:space="preserve">مسألة </w:t>
      </w:r>
      <w:r>
        <w:rPr/>
        <w:t>4</w:t>
      </w:r>
      <w:r>
        <w:rPr>
          <w:rtl w:val="true"/>
        </w:rPr>
        <w:t xml:space="preserve">: </w:t>
      </w:r>
      <w:r>
        <w:rPr>
          <w:rtl w:val="true"/>
        </w:rPr>
        <w:t>لا إشكال في جواز بيع الأرواث الطاهرة إذا كانت لها منفعة</w:t>
      </w:r>
      <w:r>
        <w:rPr>
          <w:rtl w:val="true"/>
        </w:rPr>
        <w:t>]</w:t>
      </w:r>
      <w:bookmarkEnd w:id="22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بيع الأرواث الطاهرة إذا كانت لها منفعة، و أمّا الطاهر من الأبوال،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المعروف بين المتعرّضين</w:t>
      </w:r>
      <w:r>
        <w:rPr>
          <w:rStyle w:val="FootnoteAnchor"/>
          <w:rtl w:val="true"/>
        </w:rPr>
        <w:footnoteReference w:id="956"/>
      </w:r>
      <w:r>
        <w:rPr>
          <w:rFonts w:ascii="Amiri" w:hAnsi="Amiri" w:eastAsia="Amiri" w:cs="Amiri"/>
          <w:color w:val="111111"/>
          <w:sz w:val="28"/>
          <w:sz w:val="28"/>
          <w:szCs w:val="28"/>
          <w:rtl w:val="true"/>
          <w:lang w:bidi="ar-SA"/>
        </w:rPr>
        <w:t xml:space="preserve">، و ذلك لتماميّة المقتضي و عدم المانع، إلّا توهّم شمول أدلّة المنع عن بيع العذرة؛ لأنّها منها لغة، كما يعرب عنه جمع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أخبار تلك المسألة، بحمل ما يدلّ على البأس بعذرة الإنسان، و ما يدلّ على عدم البأس بعذرة غير الإنسان</w:t>
      </w:r>
      <w:r>
        <w:rPr>
          <w:rStyle w:val="FootnoteAnchor"/>
          <w:rtl w:val="true"/>
        </w:rPr>
        <w:footnoteReference w:id="957"/>
      </w:r>
      <w:r>
        <w:rPr>
          <w:rFonts w:ascii="Amiri" w:hAnsi="Amiri" w:eastAsia="Amiri" w:cs="Amiri"/>
          <w:color w:val="111111"/>
          <w:sz w:val="28"/>
          <w:sz w:val="28"/>
          <w:szCs w:val="28"/>
          <w:rtl w:val="true"/>
          <w:lang w:bidi="ar-SA"/>
        </w:rPr>
        <w:t xml:space="preserve">، و يؤيّد عموم اللغة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القواعد تعيّن العموم بما يدلّ على أنّ بيع العذرة سحت و لا تهافت بين تلك الروايات</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لك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السيرة خصوصاً في البلاد العربيّة و لا سيّما في الأعصار السابقة على خلاف هذا الإطلاق، و لا يمكن ردعها بمثله، فيعلم أنّ الحكم هو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بول الإبل فيجوز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و أمّا غيره ففيه إشكال، لا يبعد الجواز، فيما كان له منفعة محلّلة مقصودة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فيجوز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إجماعاً محكيّاً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960"/>
      </w:r>
      <w:r>
        <w:rPr>
          <w:rFonts w:ascii="Amiri" w:hAnsi="Amiri" w:eastAsia="Amiri" w:cs="Amiri"/>
          <w:color w:val="111111"/>
          <w:sz w:val="28"/>
          <w:sz w:val="28"/>
          <w:szCs w:val="28"/>
          <w:rtl w:val="true"/>
          <w:lang w:bidi="ar-SA"/>
        </w:rPr>
        <w:t>و هو لا يفيد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أبوالها خير من ألبانها</w:t>
      </w:r>
      <w:r>
        <w:rPr>
          <w:rFonts w:eastAsia="Amiri" w:cs="Amiri" w:ascii="Amiri" w:hAnsi="Amiri"/>
          <w:color w:val="111111"/>
          <w:sz w:val="28"/>
          <w:szCs w:val="28"/>
          <w:rtl w:val="true"/>
          <w:lang w:bidi="ar-SA"/>
        </w:rPr>
        <w:t>»</w:t>
      </w:r>
      <w:r>
        <w:rPr>
          <w:rStyle w:val="FootnoteAnchor"/>
          <w:rtl w:val="true"/>
        </w:rPr>
        <w:footnoteReference w:id="961"/>
      </w:r>
      <w:r>
        <w:rPr>
          <w:rFonts w:ascii="Amiri" w:hAnsi="Amiri" w:eastAsia="Amiri" w:cs="Amiri"/>
          <w:color w:val="111111"/>
          <w:sz w:val="28"/>
          <w:sz w:val="28"/>
          <w:szCs w:val="28"/>
          <w:rtl w:val="true"/>
          <w:lang w:bidi="ar-SA"/>
        </w:rPr>
        <w:t>، فيحتمل أن يكون في مقام ذمّ الألبان، لا مدح الأبوال، و لا دلالة لمثله على جواز البيع،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محلّلًا شربه كما يكون محلّلًا كثير من الأشياء إذا لم يورث الضرر، فهو لا يوجب صحّة المعاملة، لاشتراط المنفعة النوعيّة في صحّتها؛ بحيث يعدّ عند العرف من الأموال حال الاختيار، كما هو مختار الأصحاب 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كانت لها المنفعة الغالبة، فهي و غيرها في هذا الحكم متّحدان؛ لتماميّة المقتضي و قصور أدلّة المنع</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حلّل شيئاً حلّل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شمول النبوي</w:t>
      </w:r>
      <w:r>
        <w:rPr>
          <w:rStyle w:val="FootnoteAnchor"/>
          <w:rtl w:val="true"/>
        </w:rPr>
        <w:footnoteReference w:id="962"/>
      </w:r>
      <w:r>
        <w:rPr>
          <w:rFonts w:ascii="Amiri" w:hAnsi="Amiri" w:eastAsia="Amiri" w:cs="Amiri"/>
          <w:color w:val="111111"/>
          <w:sz w:val="28"/>
          <w:sz w:val="28"/>
          <w:szCs w:val="28"/>
          <w:rtl w:val="true"/>
          <w:lang w:bidi="ar-SA"/>
        </w:rPr>
        <w:t>، الأبوال المحرّم شربها يشكل ثمنها، و لكن حرمتها بعنوانها الذاتي غير تامّة، و بعنوانها العرضي و إن كانت مورد الفتوى إلّا أنّ المعاوضة</w:t>
      </w:r>
    </w:p>
    <w:p>
      <w:pPr>
        <w:pStyle w:val="BookText"/>
        <w:rPr/>
      </w:pPr>
      <w:r>
        <w:rPr>
          <w:rFonts w:ascii="Amiri" w:hAnsi="Amiri" w:eastAsia="Amiri" w:cs="Amiri"/>
          <w:color w:val="111111"/>
          <w:sz w:val="28"/>
          <w:sz w:val="28"/>
          <w:szCs w:val="28"/>
          <w:rtl w:val="true"/>
          <w:lang w:bidi="ar-SA"/>
        </w:rPr>
        <w:t>ليست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يبيع الخبث، و أُخرى يبيع البول، فإن باع الخبث فالثمن محرّم، و إلّا فلا، فليتأمّل جيّداً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يرد على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منع المعاوضة في الأعيان النجسة و لو كانت ذوات منافع محلّلة مقصودة و عدم المنع هنا، بلا وجه؛ لإطلاق الدليلين و كون أحدهما متعرّضاً لعنوانها الذاتي، و الآخر للعنوان العرضي، لا يوجب الفرق المزبور</w:t>
      </w:r>
      <w:r>
        <w:rPr>
          <w:rFonts w:eastAsia="Amiri" w:cs="Amiri" w:ascii="Amiri" w:hAnsi="Amiri"/>
          <w:color w:val="111111"/>
          <w:sz w:val="28"/>
          <w:szCs w:val="28"/>
          <w:rtl w:val="true"/>
          <w:lang w:bidi="ar-SA"/>
        </w:rPr>
        <w:t>.</w:t>
      </w:r>
      <w:bookmarkStart w:id="229" w:name="pg12366_123193"/>
    </w:p>
    <w:p>
      <w:pPr>
        <w:pStyle w:val="Heading4"/>
        <w:numPr>
          <w:ilvl w:val="3"/>
          <w:numId w:val="1"/>
        </w:numPr>
        <w:rPr/>
      </w:pPr>
      <w:bookmarkStart w:id="230" w:name="__RefHeading___Toc8896083_417432637"/>
      <w:bookmarkStart w:id="231" w:name="_Toc85"/>
      <w:bookmarkEnd w:id="229"/>
      <w:bookmarkEnd w:id="230"/>
      <w:r>
        <w:rPr>
          <w:rtl w:val="true"/>
        </w:rPr>
        <w:t>[</w:t>
      </w:r>
      <w:r>
        <w:rPr>
          <w:rtl w:val="true"/>
        </w:rPr>
        <w:t xml:space="preserve">مسألة </w:t>
      </w:r>
      <w:r>
        <w:rPr/>
        <w:t>5</w:t>
      </w:r>
      <w:r>
        <w:rPr>
          <w:rtl w:val="true"/>
        </w:rPr>
        <w:t xml:space="preserve">: </w:t>
      </w:r>
      <w:r>
        <w:rPr>
          <w:rtl w:val="true"/>
        </w:rPr>
        <w:t>لا إشكال في جواز بيع المتنجّس الذي يقبل التطهير</w:t>
      </w:r>
      <w:r>
        <w:rPr>
          <w:rtl w:val="true"/>
        </w:rPr>
        <w:t>]</w:t>
      </w:r>
      <w:bookmarkEnd w:id="23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بيع المتنجّس الذي يقبل التطهير، و كذا ما لا يقبله، و لكن يمكن الانتفاع به مع وصف نجاسته في حال الاختيار؛ بأن لا تكون منفعته المحلّلة المقصودة في حال الضرورة متوقّفة على طهارته، كالدهن المتنجّس الذي يمكن الانتفاع به بالإسراج و طلي السفن، و الصبغ و الطين المتنجّسين، و الصابون الذي لا يمكن تطهيره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لا يقبل التطهير و كان الانتفاع به متوقّفاً على طهارته، كالسكنجبين النجس و نحوه، فلا يجوز بيعه و المعاوضة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اتفاقاً و هذا هو مقتضى الأصل المتقدّم</w:t>
      </w:r>
      <w:r>
        <w:rPr>
          <w:rStyle w:val="FootnoteAnchor"/>
          <w:rtl w:val="true"/>
        </w:rPr>
        <w:footnoteReference w:id="963"/>
      </w:r>
      <w:r>
        <w:rPr>
          <w:rFonts w:ascii="Amiri" w:hAnsi="Amiri" w:eastAsia="Amiri" w:cs="Amiri"/>
          <w:color w:val="111111"/>
          <w:sz w:val="28"/>
          <w:sz w:val="28"/>
          <w:szCs w:val="28"/>
          <w:rtl w:val="true"/>
          <w:lang w:bidi="ar-SA"/>
        </w:rPr>
        <w:t>بعد قصور الأدلّة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المتنجّس من وجوه النجس الواردة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بمعزل عن التحقيق، بل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المتنجّس ليس إلّا نجساً لا يشمله الحديث، مع ما عرفت في أصل الحكم في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وجه المسائل المشار إليها في المتن معلوم، ممّا سبق</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بناء على اعتبار المنفعة النوعيّة في صحّة البيع مثلًا، يشكل بيع الأدهان النجسة في المصارف النازلة، و لو تمّ الحكم فيها، فلا بأس ببيع السكنجبين لبعض المصارف اللازمة أحياناً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يدلّ على صحّة بيع الدهن للاستصباح</w:t>
      </w:r>
      <w:r>
        <w:rPr>
          <w:rStyle w:val="FootnoteAnchor"/>
          <w:rtl w:val="true"/>
        </w:rPr>
        <w:footnoteReference w:id="964"/>
      </w:r>
      <w:r>
        <w:rPr>
          <w:rFonts w:ascii="Amiri" w:hAnsi="Amiri" w:eastAsia="Amiri" w:cs="Amiri"/>
          <w:color w:val="111111"/>
          <w:sz w:val="28"/>
          <w:sz w:val="28"/>
          <w:szCs w:val="28"/>
          <w:rtl w:val="true"/>
          <w:lang w:bidi="ar-SA"/>
        </w:rPr>
        <w:t>إمّا يدلّ على جواز جميع هذه البيوع، أو يدلّ على ممنوعيّة بيع الدهن للاستصباح في عصرنا؛ لأنّه من المنافع النادرة، و منها طلي السفن بدهن الشاة النجس، فما ذكره صدراً و ذيلًا غير راجع إلى محصّل</w:t>
      </w:r>
      <w:r>
        <w:rPr>
          <w:rFonts w:eastAsia="Amiri" w:cs="Amiri" w:ascii="Amiri" w:hAnsi="Amiri"/>
          <w:color w:val="111111"/>
          <w:sz w:val="28"/>
          <w:szCs w:val="28"/>
          <w:rtl w:val="true"/>
          <w:lang w:bidi="ar-SA"/>
        </w:rPr>
        <w:t>.</w:t>
      </w:r>
      <w:bookmarkStart w:id="232" w:name="pg12366_123195"/>
    </w:p>
    <w:p>
      <w:pPr>
        <w:pStyle w:val="Heading4"/>
        <w:numPr>
          <w:ilvl w:val="3"/>
          <w:numId w:val="1"/>
        </w:numPr>
        <w:rPr/>
      </w:pPr>
      <w:bookmarkStart w:id="233" w:name="__RefHeading___Toc8896085_417432637"/>
      <w:bookmarkStart w:id="234" w:name="_Toc86"/>
      <w:bookmarkEnd w:id="232"/>
      <w:bookmarkEnd w:id="233"/>
      <w:r>
        <w:rPr>
          <w:rtl w:val="true"/>
        </w:rPr>
        <w:t>[</w:t>
      </w:r>
      <w:r>
        <w:rPr>
          <w:rtl w:val="true"/>
        </w:rPr>
        <w:t xml:space="preserve">مسألة </w:t>
      </w:r>
      <w:r>
        <w:rPr/>
        <w:t>6</w:t>
      </w:r>
      <w:r>
        <w:rPr>
          <w:rtl w:val="true"/>
        </w:rPr>
        <w:t xml:space="preserve">: </w:t>
      </w:r>
      <w:r>
        <w:rPr>
          <w:rtl w:val="true"/>
        </w:rPr>
        <w:t>لا بأس ببيع الترياق المشتمل على لحوم الأفاعي</w:t>
      </w:r>
      <w:r>
        <w:rPr>
          <w:rtl w:val="true"/>
        </w:rPr>
        <w:t>]</w:t>
      </w:r>
      <w:bookmarkEnd w:id="23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ببيع الترياق المشتمل على لحوم الأفاعي </w:t>
      </w:r>
      <w:r>
        <w:rPr>
          <w:rStyle w:val="FootnoteAnchor"/>
          <w:rtl w:val="true"/>
        </w:rPr>
        <w:footnoteReference w:id="965"/>
      </w:r>
      <w:r>
        <w:rPr>
          <w:rFonts w:ascii="Amiri" w:hAnsi="Amiri" w:eastAsia="Amiri" w:cs="Amiri"/>
          <w:color w:val="111111"/>
          <w:sz w:val="28"/>
          <w:sz w:val="28"/>
          <w:szCs w:val="28"/>
          <w:rtl w:val="true"/>
          <w:lang w:bidi="ar-SA"/>
        </w:rPr>
        <w:t>، مع استهلاكها فيه، كما هو الغالب، بل المتعارف، فجاز استعماله و ينتفع به منفعة محلّلة معتدّاً بها، و أمّا المشتمل على الخمر فلا يجوز بيعه؛ لعدم قابليّته للتطهير، مع عدم حلّيّة الانتفاع به مع وصف نجاسته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الحكم واضح إذا لم تكن الأفاعي من ذوات الأنفس السائلة أو شكّ فيه، و المراد من الاستهلاك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يعدّ في نظر العرف المركّب المعجون ذا أجزاء معلومة، بل كان عنواناً آخر بسيطاً أو مركّباً، فالمسألة نظير البيضة الموجود فيها الدم، فإنّه على القول بنجاسته فلا يجوز أكلها و إن استهلك؛ لتنجّسها به قبل ذلك، و على القول بطهارته يجوز أكلها بعد الاستهلاك، و في مثل الترياق الذي ليس من العناوين الذاتيّة المعلومة عند العرف يشكل الحكم؛ لأنّه يُسأل عنه و لا يجاب إلّا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المعجون المشتمل على كذا و كذا، بخلاف البيضة، كما لا يخفى</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فكبرى المسألة واضحة، بخلاف صغراها و قد مضى حكم صحّة البيع و عدمها في المسألة السابقة، فلا وجه لإعادته و تكراره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جواز التداوي به عند الاضطرار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المدار، بل المدار على حلّيّة الانتفاع بالشي‌ء في حال الاختيار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الاضطرار</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المقصود منه ليس حال المرض، و إلّا يلزم سقوط صحّة بيع الأدوية طرّاً، بل المقصود حال انحصار التداوي به، و يشهد 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توهّمه بعض الشرّاح ناشئ من قلّة الباع</w:t>
      </w:r>
      <w:r>
        <w:rPr>
          <w:rFonts w:eastAsia="Amiri" w:cs="Amiri" w:ascii="Amiri" w:hAnsi="Amiri"/>
          <w:color w:val="111111"/>
          <w:sz w:val="28"/>
          <w:szCs w:val="28"/>
          <w:rtl w:val="true"/>
          <w:lang w:bidi="ar-SA"/>
        </w:rPr>
        <w:t>.</w:t>
      </w:r>
      <w:bookmarkStart w:id="235" w:name="pg12366_123197"/>
    </w:p>
    <w:p>
      <w:pPr>
        <w:pStyle w:val="Heading4"/>
        <w:numPr>
          <w:ilvl w:val="3"/>
          <w:numId w:val="1"/>
        </w:numPr>
        <w:rPr/>
      </w:pPr>
      <w:bookmarkStart w:id="236" w:name="__RefHeading___Toc8896087_417432637"/>
      <w:bookmarkStart w:id="237" w:name="_Toc87"/>
      <w:bookmarkEnd w:id="235"/>
      <w:bookmarkEnd w:id="236"/>
      <w:r>
        <w:rPr>
          <w:rtl w:val="true"/>
        </w:rPr>
        <w:t>[</w:t>
      </w:r>
      <w:r>
        <w:rPr>
          <w:rtl w:val="true"/>
        </w:rPr>
        <w:t xml:space="preserve">مسألة </w:t>
      </w:r>
      <w:r>
        <w:rPr/>
        <w:t>7</w:t>
      </w:r>
      <w:r>
        <w:rPr>
          <w:rtl w:val="true"/>
        </w:rPr>
        <w:t xml:space="preserve">: </w:t>
      </w:r>
      <w:r>
        <w:rPr>
          <w:rtl w:val="true"/>
        </w:rPr>
        <w:t>يجوز بيع الهرّة و يحلّ ثمنها</w:t>
      </w:r>
      <w:r>
        <w:rPr>
          <w:rtl w:val="true"/>
        </w:rPr>
        <w:t>]</w:t>
      </w:r>
      <w:bookmarkEnd w:id="23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الهرّة و يحلّ ثمنها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غيرها من أنواع السباع فالظاهر جواز بيع ما كان منها ذا منفعة محلّلة مقصودة عند العقلاء، و كذا الحشرات، بل المسوخ أيضاً إذا كانت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المدار في جميع الأنواع؛ فلا إشكال في بيع العلق الذي يمصّ الدم الفاسد، و دود القزّ، و نحل العسل و إن كانت من الحشرات، و كذا الفيل الذي ينتفع بظهره و عظمه و إن كان من المسوخ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إطلاقه إشكال؛ فإنّ المدار على ما أفاده في ذيل المسألة، و قد مرّ ما يتعلّق بهذه الكبرى</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توهّم إطلاق صحيحة محمّد بن مسلم</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1017</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كتاب التجارة، أبواب ما يكتسب به، الباب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حتّى يجوز بيعه و إن كان فاقداً للشرائط العرفيّة، لا يخلو من تعسّف، و لقد عرفت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الروايات، سواء كانت مشتملة على صحّة البيع، أو على فساده، ناظرة إلى الشرائط الشرعية، سواء رجعت إلى إلغاء الشرط العرفي تعبّداً</w:t>
      </w:r>
    </w:p>
    <w:p>
      <w:pPr>
        <w:pStyle w:val="BookText"/>
        <w:rPr/>
      </w:pPr>
      <w:r>
        <w:rPr>
          <w:rFonts w:ascii="Amiri" w:hAnsi="Amiri" w:eastAsia="Amiri" w:cs="Amiri"/>
          <w:color w:val="111111"/>
          <w:sz w:val="28"/>
          <w:sz w:val="28"/>
          <w:szCs w:val="28"/>
          <w:rtl w:val="true"/>
          <w:lang w:bidi="ar-SA"/>
        </w:rPr>
        <w:t>كالماليّة، أو إلى إيجاب الشرط الشرعي كالطهارة مثلًا، ففي مثل مسألتنا هذه تكون الرواية ناظرة إلى أنّ الهرّة جامعة للشرط الذي هو مفقود في غيرها كالكلب و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غير خفيّ أنّ التعرّض لهذه المسائل في هذا الكتاب خروج عن وضعه؛ ضرورة أنّ الجهة المبحوث عنها هنا هي المكاسب المحرّمة تكليفاً، لا المحرّمة وضعاً، و لا المحلّلة، فلا ينبغي الخلط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دلالة رواية سهل بن زياد</w:t>
      </w:r>
      <w:r>
        <w:rPr>
          <w:rStyle w:val="FootnoteAnchor"/>
          <w:rtl w:val="true"/>
        </w:rPr>
        <w:footnoteReference w:id="968"/>
      </w:r>
      <w:r>
        <w:rPr>
          <w:rFonts w:ascii="Amiri" w:hAnsi="Amiri" w:eastAsia="Amiri" w:cs="Amiri"/>
          <w:color w:val="111111"/>
          <w:sz w:val="28"/>
          <w:sz w:val="28"/>
          <w:szCs w:val="28"/>
          <w:rtl w:val="true"/>
          <w:lang w:bidi="ar-SA"/>
        </w:rPr>
        <w:t>على المنع من بعض المسوخ، غير مسموعة، مع ضعف سندها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في الضعف رواية صفوان، عن عبد الحميد بن سعيد المشتملة على نفي البأس عن بيع عظام الفيل و شرائها</w:t>
      </w:r>
      <w:r>
        <w:rPr>
          <w:rStyle w:val="FootnoteAnchor"/>
          <w:rtl w:val="true"/>
        </w:rPr>
        <w:footnoteReference w:id="969"/>
      </w:r>
      <w:r>
        <w:rPr>
          <w:rFonts w:ascii="Amiri" w:hAnsi="Amiri" w:eastAsia="Amiri" w:cs="Amiri"/>
          <w:color w:val="111111"/>
          <w:sz w:val="28"/>
          <w:sz w:val="28"/>
          <w:szCs w:val="28"/>
          <w:rtl w:val="true"/>
          <w:lang w:bidi="ar-SA"/>
        </w:rPr>
        <w:t>، فإنّها لا تدلّ على الإشكال في نفسه؛ لعدم الانتفاع من غير عظمه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رواية عليّ بن جعفر عن أخيه المشتملة على نفي البأس</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بيع جلود السباع و ركوبها إذا لم يسجد عليها</w:t>
      </w:r>
      <w:r>
        <w:rPr>
          <w:rStyle w:val="FootnoteAnchor"/>
          <w:rtl w:val="true"/>
        </w:rPr>
        <w:footnoteReference w:id="970"/>
      </w:r>
      <w:r>
        <w:rPr>
          <w:rFonts w:ascii="Amiri" w:hAnsi="Amiri" w:eastAsia="Amiri" w:cs="Amiri"/>
          <w:color w:val="111111"/>
          <w:sz w:val="28"/>
          <w:sz w:val="28"/>
          <w:szCs w:val="28"/>
          <w:rtl w:val="true"/>
          <w:lang w:bidi="ar-SA"/>
        </w:rPr>
        <w:t>، و التقييد محمول على صورة عدم التذكية، بناء على قبولها إيّاها، كما هو المعروف</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bookmarkStart w:id="238" w:name="pg12366_123200"/>
    </w:p>
    <w:p>
      <w:pPr>
        <w:pStyle w:val="Heading4"/>
        <w:numPr>
          <w:ilvl w:val="3"/>
          <w:numId w:val="1"/>
        </w:numPr>
        <w:rPr/>
      </w:pPr>
      <w:bookmarkStart w:id="239" w:name="__RefHeading___Toc8896089_417432637"/>
      <w:bookmarkStart w:id="240" w:name="_Toc88"/>
      <w:bookmarkEnd w:id="238"/>
      <w:bookmarkEnd w:id="239"/>
      <w:r>
        <w:rPr>
          <w:rtl w:val="true"/>
        </w:rPr>
        <w:t>[</w:t>
      </w:r>
      <w:r>
        <w:rPr>
          <w:rtl w:val="true"/>
        </w:rPr>
        <w:t xml:space="preserve">مسألة </w:t>
      </w:r>
      <w:r>
        <w:rPr/>
        <w:t>8</w:t>
      </w:r>
      <w:r>
        <w:rPr>
          <w:rtl w:val="true"/>
        </w:rPr>
        <w:t xml:space="preserve">: </w:t>
      </w:r>
      <w:r>
        <w:rPr>
          <w:rtl w:val="true"/>
        </w:rPr>
        <w:t>يحرم بيع كلّ ما كان آلة للحرام</w:t>
      </w:r>
      <w:r>
        <w:rPr>
          <w:rtl w:val="true"/>
        </w:rPr>
        <w:t>]</w:t>
      </w:r>
      <w:bookmarkEnd w:id="24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آلة للحرام، بحيث كانت منفعته المقصودة منحصرة فيه، مثل آلات اللهو كالعيدان، و المزامير، و البرابط و نحوها، و آلات القمار كالنرد، و الشطرنج و نحوهما،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حرمتها الوضعيّة فبدعوى سقوط الماليّة عرفاً، بعد تحريم المنافع الرائجة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حرمتها التكليفيّة فللإجماعات المنقولة</w:t>
      </w:r>
      <w:r>
        <w:rPr>
          <w:rStyle w:val="FootnoteAnchor"/>
          <w:rtl w:val="true"/>
        </w:rPr>
        <w:footnoteReference w:id="972"/>
      </w:r>
      <w:r>
        <w:rPr>
          <w:rFonts w:ascii="Amiri" w:hAnsi="Amiri" w:eastAsia="Amiri" w:cs="Amiri"/>
          <w:color w:val="111111"/>
          <w:sz w:val="28"/>
          <w:sz w:val="28"/>
          <w:szCs w:val="28"/>
          <w:rtl w:val="true"/>
          <w:lang w:bidi="ar-SA"/>
        </w:rPr>
        <w:t xml:space="preserve">، و الشهرات المحقّقة، بل ادعى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المستفيض عليه</w:t>
      </w:r>
      <w:r>
        <w:rPr>
          <w:rStyle w:val="FootnoteAnchor"/>
          <w:rtl w:val="true"/>
        </w:rPr>
        <w:footnoteReference w:id="973"/>
      </w:r>
      <w:r>
        <w:rPr>
          <w:rFonts w:ascii="Amiri" w:hAnsi="Amiri" w:eastAsia="Amiri" w:cs="Amiri"/>
          <w:color w:val="111111"/>
          <w:sz w:val="28"/>
          <w:sz w:val="28"/>
          <w:szCs w:val="28"/>
          <w:rtl w:val="true"/>
          <w:lang w:bidi="ar-SA"/>
        </w:rPr>
        <w:t>، و للروايات الخاصّة في خصوص الهياكل المبتدعة</w:t>
      </w:r>
      <w:r>
        <w:rPr>
          <w:rStyle w:val="FootnoteAnchor"/>
          <w:rtl w:val="true"/>
        </w:rPr>
        <w:footnoteReference w:id="974"/>
      </w:r>
      <w:r>
        <w:rPr>
          <w:rFonts w:ascii="Amiri" w:hAnsi="Amiri" w:eastAsia="Amiri" w:cs="Amiri"/>
          <w:color w:val="111111"/>
          <w:sz w:val="28"/>
          <w:sz w:val="28"/>
          <w:szCs w:val="28"/>
          <w:rtl w:val="true"/>
          <w:lang w:bidi="ar-SA"/>
        </w:rPr>
        <w:t>، و إن لم يمثّل بها الماتن، و في خصوص النرد، و الشطرنج، و الأربعة عشر، و آلات المزامير، و أُمور الجاهلية</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ضعف سندها منجبر بعمل الأصحاب، و فتواهم، و لو كان مستندهم غير هذه الأخبار لوصل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يحرم بيعها و شرائها يحرم صنعتها،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 بتلقّيهم المسألة من مشايخهم من غير احتياجها إلى الرواية، فالأمر دائر بين كون المستند تلك المآثير الدالّة على المقصود، و بين كون المسألة من المتلقّيات عن الأئمّة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تعالى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وجوب الكسر يشهد على بطلان المعاملة أيضاً، لحرمة الاقتناء، و سقوط الشرط العرفي، و لزوم التضادّ بين إيجاب الكسر و إيجاب الوفاء، بل و تنفيذ المعاوضة و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القطع برضا الشرع المقدّس بهذا الحكم و عمومه، غير بعيدة انصافاً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خصوص هياكل الأصنام يشكل الأمر في مثل هذه الأعصار؛ و لذلك قوّينا جواز التجارة بها إلّا للعبادة، و تفصيل المسألة يطلب من كتابنا الكبير</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صنعتها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المعروف بينهم، و لا خلاف بين المتعرّضين لها و إن لا دليل عليها</w:t>
      </w:r>
    </w:p>
    <w:p>
      <w:pPr>
        <w:pStyle w:val="BookText"/>
        <w:rPr/>
      </w:pPr>
      <w:r>
        <w:rPr>
          <w:rFonts w:ascii="Amiri" w:hAnsi="Amiri" w:eastAsia="Amiri" w:cs="Amiri"/>
          <w:color w:val="111111"/>
          <w:sz w:val="28"/>
          <w:sz w:val="28"/>
          <w:szCs w:val="28"/>
          <w:rtl w:val="true"/>
          <w:lang w:bidi="ar-SA"/>
        </w:rPr>
        <w:t xml:space="preserve">إلّا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ما يتعلّق بها</w:t>
      </w:r>
      <w:r>
        <w:rPr>
          <w:rStyle w:val="FootnoteAnchor"/>
          <w:rtl w:val="true"/>
        </w:rPr>
        <w:footnoteReference w:id="977"/>
      </w:r>
      <w:r>
        <w:rPr>
          <w:rFonts w:ascii="Amiri" w:hAnsi="Amiri" w:eastAsia="Amiri" w:cs="Amiri"/>
          <w:color w:val="111111"/>
          <w:sz w:val="28"/>
          <w:sz w:val="28"/>
          <w:szCs w:val="28"/>
          <w:rtl w:val="true"/>
          <w:lang w:bidi="ar-SA"/>
        </w:rPr>
        <w:t>، و لكنّ المسألة قطعيّة؛ لأنّ مذاق الشرع معلوم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جواز صنعتها إذا كانت للاقتناء و التزيين، كما في الأواني</w:t>
      </w:r>
      <w:r>
        <w:rPr>
          <w:rStyle w:val="FootnoteAnchor"/>
          <w:rtl w:val="true"/>
        </w:rPr>
        <w:footnoteReference w:id="978"/>
      </w:r>
      <w:r>
        <w:rPr>
          <w:rFonts w:ascii="Amiri" w:hAnsi="Amiri" w:eastAsia="Amiri" w:cs="Amiri"/>
          <w:color w:val="111111"/>
          <w:sz w:val="28"/>
          <w:sz w:val="28"/>
          <w:szCs w:val="28"/>
          <w:rtl w:val="true"/>
          <w:lang w:bidi="ar-SA"/>
        </w:rPr>
        <w:t>، غير مسموعة؛ لأنّ ذلك فيها يوجب انحفاظ ماليّتها بخلافه في تلك الآلات،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خصوص الشطرنج رواية عن أبي بصير تدلّ على مبغوضيّته بجميع مراتب وجوده</w:t>
      </w:r>
      <w:r>
        <w:rPr>
          <w:rStyle w:val="FootnoteAnchor"/>
          <w:rtl w:val="true"/>
        </w:rPr>
        <w:footnoteReference w:id="979"/>
      </w:r>
      <w:r>
        <w:rPr>
          <w:rFonts w:ascii="Amiri" w:hAnsi="Amiri" w:eastAsia="Amiri" w:cs="Amiri"/>
          <w:color w:val="111111"/>
          <w:sz w:val="28"/>
          <w:sz w:val="28"/>
          <w:szCs w:val="28"/>
          <w:rtl w:val="true"/>
          <w:lang w:bidi="ar-SA"/>
        </w:rPr>
        <w:t>، فيحكم في الباقي بمثله؛ لعدم القول بالتفصيل، فتأمّل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قضيّة رواية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الانتفاع بشي‌ء من هذا حرام من اللَّه محرّم</w:t>
      </w:r>
      <w:r>
        <w:rPr>
          <w:rFonts w:eastAsia="Amiri" w:cs="Amiri" w:ascii="Amiri" w:hAnsi="Amiri"/>
          <w:color w:val="111111"/>
          <w:sz w:val="28"/>
          <w:szCs w:val="28"/>
          <w:rtl w:val="true"/>
          <w:lang w:bidi="ar-SA"/>
        </w:rPr>
        <w:t>»</w:t>
      </w:r>
      <w:r>
        <w:rPr>
          <w:rStyle w:val="FootnoteAnchor"/>
          <w:rtl w:val="true"/>
        </w:rPr>
        <w:footnoteReference w:id="980"/>
      </w:r>
      <w:r>
        <w:rPr>
          <w:rFonts w:ascii="Amiri" w:hAnsi="Amiri" w:eastAsia="Amiri" w:cs="Amiri"/>
          <w:color w:val="111111"/>
          <w:sz w:val="28"/>
          <w:sz w:val="28"/>
          <w:szCs w:val="28"/>
          <w:rtl w:val="true"/>
          <w:lang w:bidi="ar-SA"/>
        </w:rPr>
        <w:t>ممنوعيّة الاقتناء، و لعلّ إطلاق الأمر بالاجتناب في الكتاب</w:t>
      </w:r>
      <w:r>
        <w:rPr>
          <w:rStyle w:val="FootnoteAnchor"/>
          <w:rtl w:val="true"/>
        </w:rPr>
        <w:footnoteReference w:id="981"/>
      </w:r>
      <w:r>
        <w:rPr>
          <w:rFonts w:ascii="Amiri" w:hAnsi="Amiri" w:eastAsia="Amiri" w:cs="Amiri"/>
          <w:color w:val="111111"/>
          <w:sz w:val="28"/>
          <w:sz w:val="28"/>
          <w:szCs w:val="28"/>
          <w:rtl w:val="true"/>
          <w:lang w:bidi="ar-SA"/>
        </w:rPr>
        <w:t>يورث ممنوعيّة الصنعة، و أخذ الأُجرة عليها، و غيرهما مما ينافي الاجتناب،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الأُجرة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الأُجرة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على صنعة هذه الأُمور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كونها محرّمة وضعاً فلبطلان الإجارة؛ لاشتراط كون موردها محلّلًا، و قد استوفينا البحث عنه في كتاب الإجارة</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العجب إنّ الأصحاب تمسّكوا بالنبوي</w:t>
      </w:r>
      <w:r>
        <w:rPr>
          <w:rStyle w:val="FootnoteAnchor"/>
          <w:rtl w:val="true"/>
        </w:rPr>
        <w:footnoteReference w:id="983"/>
      </w:r>
      <w:r>
        <w:rPr>
          <w:rFonts w:ascii="Amiri" w:hAnsi="Amiri" w:eastAsia="Amiri" w:cs="Amiri"/>
          <w:color w:val="111111"/>
          <w:sz w:val="28"/>
          <w:sz w:val="28"/>
          <w:szCs w:val="28"/>
          <w:rtl w:val="true"/>
          <w:lang w:bidi="ar-SA"/>
        </w:rPr>
        <w:t>في هذه المواقف</w:t>
      </w:r>
      <w:r>
        <w:rPr>
          <w:rStyle w:val="FootnoteAnchor"/>
          <w:rtl w:val="true"/>
        </w:rPr>
        <w:footnoteReference w:id="984"/>
      </w:r>
      <w:r>
        <w:rPr>
          <w:rFonts w:ascii="Amiri" w:hAnsi="Amiri" w:eastAsia="Amiri" w:cs="Amiri"/>
          <w:color w:val="111111"/>
          <w:sz w:val="28"/>
          <w:sz w:val="28"/>
          <w:szCs w:val="28"/>
          <w:rtl w:val="true"/>
          <w:lang w:bidi="ar-SA"/>
        </w:rPr>
        <w:t>، مع بنائهم في المسائل السالفة على أنّه يدلّ على أنّ ما حرّم من الأعيان حرّم ثمنه، و لا معنى لحملة على ما حرّم أكله و نظائره؛ للزوم كون الثمن حذاء العين، و هي في الفرض ليست محرّمة، مع أنّ ظاهره أنّ ثمن المثمن المحرّم،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حرمة الإعانة بالإثم توجب حرمة الإجارة، و الأُجرة، و الصنعة و غيرها، فاسد جدّاً؛ لعدم صدق الإعانة في هذه المواضع، مع أنّه لا يورث فساد المعاملة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مثل صنعة الأُمور المؤدّية إلى المحرّم إعانة عليها، لكان</w:t>
      </w:r>
    </w:p>
    <w:p>
      <w:pPr>
        <w:pStyle w:val="BookText"/>
        <w:rPr/>
      </w:pPr>
      <w:r>
        <w:rPr>
          <w:rFonts w:ascii="Amiri" w:hAnsi="Amiri" w:eastAsia="Amiri" w:cs="Amiri"/>
          <w:color w:val="111111"/>
          <w:sz w:val="28"/>
          <w:sz w:val="28"/>
          <w:szCs w:val="28"/>
          <w:rtl w:val="true"/>
          <w:lang w:bidi="ar-SA"/>
        </w:rPr>
        <w:t xml:space="preserve">بل يجب كسرها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تغيير هيئتها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الحركات، من جميع الناس إلّا ما شذّ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يجب كسرها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تحت استيلائه؛ 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يعلم من الكتاب، و السنّة مبغوضة جدّاً، و إذا لم تكن كذلك ففي وجوب استراقها و لو سرقة ما يخلّ باللعب بها و وجوب كسرها و إن اطّلع عليها، و يؤدّي إلى الضرر و الحرج في أدنى مراتبهما المتعارف تحمّلهما في نوع الأُمور، و عدمه، وجهان، و الأقوى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من الكسر إفناؤها و لو بإلقائها في البحر، و البر، بعد الأمن من الانتفاع بشي‌ء منها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إبقاؤها في الصندوق، مع القطع بعدم الانتفاع بها مطلقاً، ما دامت موجودة غير جائز؛ لأنّ قطعه لا يفيد شيئاً بعد إمكان التخلّف، فحسماً لمادّة الفساد لا بدّ من كسرها أو تغييرها؛ بحيث لا يمكن الاستفادة منها، و مع كونهما غير ممكنين، يتعيّن الممكن من المراتب النازلة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يجوز بيع مادّتها من الخشب، و الصفر مثلًا بعد الكسر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قبله أيضاً إذا اشترط على المشتري كسرها و أمّا مع عدم الاشتراط ففيه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الكسر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بالاتفاق</w:t>
      </w:r>
      <w:r>
        <w:rPr>
          <w:rStyle w:val="FootnoteAnchor"/>
          <w:rtl w:val="true"/>
        </w:rPr>
        <w:footnoteReference w:id="985"/>
      </w:r>
      <w:r>
        <w:rPr>
          <w:rFonts w:ascii="Amiri" w:hAnsi="Amiri" w:eastAsia="Amiri" w:cs="Amiri"/>
          <w:color w:val="111111"/>
          <w:sz w:val="28"/>
          <w:sz w:val="28"/>
          <w:szCs w:val="28"/>
          <w:rtl w:val="true"/>
          <w:lang w:bidi="ar-SA"/>
        </w:rPr>
        <w:t>لتماميّة الشرائط المعتبرة في صحّته، و لا دليل على ممنوعيّته تكليفاً، و هكذا قبل الكسر، مع اشتراط الكسر، خصوصاً إذا كان المشتري موثوقاً به، و أنّه وفى به و كسره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يشكل صحّة المعاملة مطلقاً و لو مع الشرط و الوثاقة؛ لأنّ المبيع عرفاً ليس إلّا ما هو المنهي، و لا يكون التفكيك بين المادّة و الصورة عرفيّاً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كانت الهيئة فانية في الأنظار؛ بحيث لا يعدّ المبيع إلّا في جملة الأحطاب، بقرينة اشترائه بقيمتها، يجوز البيع من غير لزوم الشرط، فالشرط لا يفيد صحّة المعاملة، و تركه لا يورث فسادها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 بعدم الدليل على ممنوعيّة بيع تلك الآلات، على نحو الإطلاق، فإذا باعها ممّن يستعملها في المحرّم، فهو ممنوع؛ لحرمة الإعانة على الإثم، و إذا شرط على المشتري الكسر، أو كان موثوقاً به في كسرها، فهو لا يعدّ من الإعانة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البيع و الشراء ليس من الإعانة على الإثم، مع أنّها لا توجب فساد المعاملة؛ لانطباقها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بيعها من غير كسرها، توجب صحّة بيع الخمر، إذا كان مقصود المتبايعين المعاملة على المائع، و صحّة بيع اللباس الحرير، إذا كان المقصود اشتراء الإبريسم، غير نافعة؛ لأنّ من الممكن مساعدة العرف، في بعض الفروض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إيجاب البيع و الوفاء به يضادّ إيجاب الكسر</w:t>
      </w:r>
      <w:r>
        <w:rPr>
          <w:rStyle w:val="FootnoteAnchor"/>
          <w:rtl w:val="true"/>
        </w:rPr>
        <w:footnoteReference w:id="986"/>
      </w:r>
      <w:r>
        <w:rPr>
          <w:rFonts w:ascii="Amiri" w:hAnsi="Amiri" w:eastAsia="Amiri" w:cs="Amiri"/>
          <w:color w:val="111111"/>
          <w:sz w:val="28"/>
          <w:sz w:val="28"/>
          <w:szCs w:val="28"/>
          <w:rtl w:val="true"/>
          <w:lang w:bidi="ar-SA"/>
        </w:rPr>
        <w:t>، في محلّه إذا كان ما يجب كسره و إعدامه داخلًا في البيع بالمعنى الاسمي الدخيل في القيمة و إلّا فلا، و ما فرضناه من الصورة الثانية،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يمكن دعوى صحّة بيع تلك الآلات، بالنسبة إلى مادّتها المملوكة، لا هيئتها، فيكون من بيع ما يملك و ما لا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أتلفها متلف فهل يضمن بالنسبة إلى المادّة أو لا أو يفصّل فإن كسرها فأتلفها بإحراقها فهو ضامن، و إن أحرقها حال تصوّر المادّة بالصورة فلا يحرق إلّا ما هو المبغوض؛ لأنّ المادّة غير ملحوظة، وجوه فتأمّل جيّداً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ذكرناه يظهر وجه الإشكال الذي أشار إليه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أواني الذهب و الفضة، فحرمة بيعها و عدمها مبنيّان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حرمة اقتنائها، و التزيّن بها باقية على صورتها و هيئتها، و عدمها، فعلى الأوّل يحرم بيعها و شرائها، بل و صياغتها، و أخذ الأُجرة عليها، بخلافه على الثاني، و قد مرّ في أحكام الأواني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أحوطهما الأوّل، و أظهرهما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الأمر كما ذكر، فإنّه يجوز بيعها إذا كانت مادّتها مورد المعاملة، كما عرفت، فلو كان اقتناؤها محرّماً يصحّ بيعها قبل كسرها، و لا يجوز بيعها إذا كان الاقتناء و التزيّن من المنافع النادرة، أو المتروكة، أو غير المتعارفة، و هذا على مبناه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الحكم في سائر أحكامها يظهر ممّا مرّ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الممنوع هي الهيئة مع المادّة الكذائيّة، لا الهيئة وحدها، و لا المادّة وحدها؛ ضرورة أنّ الذهب جائز بيعه و هكذا الآنية، و ما هو المحرّم آنية الذهب و الفضّة، فلو باع الأواني بنعت الكلّي، ثمّ سلّم الأواني من الذهب و الفضّة، من غير كون المادّة قيداً في مورد المعاملة، يجوز البيع، و يصحّ الوفاء على إشكال، فتأمّل</w:t>
      </w:r>
      <w:r>
        <w:rPr>
          <w:rFonts w:eastAsia="Amiri" w:cs="Amiri" w:ascii="Amiri" w:hAnsi="Amiri"/>
          <w:color w:val="111111"/>
          <w:sz w:val="28"/>
          <w:szCs w:val="28"/>
          <w:rtl w:val="true"/>
          <w:lang w:bidi="ar-SA"/>
        </w:rPr>
        <w:t>.</w:t>
      </w:r>
      <w:bookmarkStart w:id="241" w:name="pg12366_123208"/>
    </w:p>
    <w:p>
      <w:pPr>
        <w:pStyle w:val="Heading4"/>
        <w:numPr>
          <w:ilvl w:val="3"/>
          <w:numId w:val="1"/>
        </w:numPr>
        <w:rPr/>
      </w:pPr>
      <w:bookmarkStart w:id="242" w:name="__RefHeading___Toc8896091_417432637"/>
      <w:bookmarkStart w:id="243" w:name="_Toc89"/>
      <w:bookmarkEnd w:id="241"/>
      <w:bookmarkEnd w:id="242"/>
      <w:r>
        <w:rPr>
          <w:rtl w:val="true"/>
        </w:rPr>
        <w:t>[</w:t>
      </w:r>
      <w:r>
        <w:rPr>
          <w:rtl w:val="true"/>
        </w:rPr>
        <w:t xml:space="preserve">مسألة </w:t>
      </w:r>
      <w:r>
        <w:rPr/>
        <w:t>9</w:t>
      </w:r>
      <w:r>
        <w:rPr>
          <w:rtl w:val="true"/>
        </w:rPr>
        <w:t xml:space="preserve">: </w:t>
      </w:r>
      <w:r>
        <w:rPr>
          <w:rtl w:val="true"/>
        </w:rPr>
        <w:t>الدراهم الخارجة أو المغشوشة، المعمولة لأجل غشّ الناس، تحرم المعاملة بها</w:t>
      </w:r>
      <w:r>
        <w:rPr>
          <w:rtl w:val="true"/>
        </w:rPr>
        <w:t>]</w:t>
      </w:r>
      <w:bookmarkEnd w:id="24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الدراهم الخارجة أو المغشوشة، المعمولة لأجل غشّ الناس، تحرم المعاملة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جعلها عوضاً أو معوّضاً في المعاملات، مع جهل من تدفع إليه، بل مع علمه و اطّلاعه أيضاً، على الأحوط لو لم يكن أقوى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تحرم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الدولة الحقّة فالحكم قطعيّ؛ للدخول في سلطان الحقّ، و أمّا في الدولة الباطلة، فما كان منها مغشوشاً بالمقدار المتعارف المقدّر بالثلث في بعض الروايات</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كتاب الزكاة، أبواب زكاة الذهب و الفضّة، 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إنفاق الدراهم المحمول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جازت الفضّة المثلين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الإستبصار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التجارة، أبواب الصرف، الباب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فهو ممّا لا بأس به قطعاً؛ لأنّه ليس</w:t>
      </w:r>
    </w:p>
    <w:p>
      <w:pPr>
        <w:pStyle w:val="BookText"/>
        <w:rPr/>
      </w:pPr>
      <w:r>
        <w:rPr>
          <w:rFonts w:ascii="IRNazanin" w:hAnsi="IRNazanin" w:eastAsia="IRNazanin"/>
          <w:color w:val="111111"/>
          <w:sz w:val="28"/>
          <w:sz w:val="28"/>
          <w:szCs w:val="28"/>
          <w:rtl w:val="true"/>
          <w:lang w:bidi="fa-IR"/>
        </w:rPr>
        <w:t>لأجل غشّ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هو المحمول عليه بالمقدار الزائد على الثلث، فإن جعله ثمناً في بلاد الكفّار، مع الأمن من وصوله إلى سوق المسلمين، فمع اطّلاع البائع لا بأس به، و مع عدم اطّلاعه لا تجوز المعاملة، إذا كان من قصده الإعطاء به، و تجوز فيما كان الثمن كلّياً، فأعطى المغشوش، فإنّه حينئذٍ يكون للبائع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بلاد الإسلام، فمع العلم أيضاً مشكل؛ للزوم المفاسد الكثيرة، فضلًا عن الجهل، فإنّه في هذه الصورة و إن لا يلزم الغرور، و لكنّه في معرض التبادلات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بأنّ نوع المعاملات في الأثمان كليّة، فلا يلزم الفساد، فيجوز حتّى مع الجهل، فتأمّل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الأخبار، جواز الإنفاق و الصرف في القسم الأوّل، و عدم جوازه، و وجوب كسره في القسم الثاني، لاستلزام وقوع الناس في أيدي السلطان الجائر إذا اطّلع عليه، و لذلك أُمروا 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يلزم إيقاعها في البالوعة؛ لأنّ الأمر به</w:t>
      </w:r>
      <w:r>
        <w:rPr>
          <w:rStyle w:val="FootnoteAnchor"/>
          <w:rtl w:val="true"/>
        </w:rPr>
        <w:footnoteReference w:id="988"/>
      </w:r>
      <w:r>
        <w:rPr>
          <w:rFonts w:ascii="Amiri" w:hAnsi="Amiri" w:eastAsia="Amiri" w:cs="Amiri"/>
          <w:color w:val="111111"/>
          <w:sz w:val="28"/>
          <w:sz w:val="28"/>
          <w:szCs w:val="28"/>
          <w:rtl w:val="true"/>
          <w:lang w:bidi="ar-SA"/>
        </w:rPr>
        <w:t>كناية عن شدّة الحكم في الكسر، فلا تغفل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بعض المآثير في بيع الصرف، مثل رواية عليّ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إلّا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يعمل الدراهم، يحمل عليها النحاس أو غيره، ثمّ يبيعها،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بيّن ذلك فلا بأس</w:t>
      </w:r>
      <w:r>
        <w:rPr>
          <w:rFonts w:eastAsia="Amiri" w:cs="Amiri" w:ascii="Amiri" w:hAnsi="Amiri"/>
          <w:color w:val="111111"/>
          <w:sz w:val="28"/>
          <w:szCs w:val="28"/>
          <w:rtl w:val="true"/>
          <w:lang w:bidi="ar-SA"/>
        </w:rPr>
        <w:t>»</w:t>
      </w:r>
      <w:r>
        <w:rPr>
          <w:rStyle w:val="FootnoteAnchor"/>
          <w:rtl w:val="true"/>
        </w:rPr>
        <w:footnoteReference w:id="989"/>
      </w:r>
      <w:r>
        <w:rPr>
          <w:rFonts w:ascii="Amiri" w:hAnsi="Amiri" w:eastAsia="Amiri" w:cs="Amiri"/>
          <w:color w:val="111111"/>
          <w:sz w:val="28"/>
          <w:sz w:val="28"/>
          <w:szCs w:val="28"/>
          <w:rtl w:val="true"/>
          <w:lang w:bidi="ar-SA"/>
        </w:rPr>
        <w:t>هو التفصيل بين صورتي العلم و الجهل، و قضيّة المفهوم فساد المعاملة مع الحرمة التكليفيّة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بيّن الناس ذلك</w:t>
      </w:r>
      <w:r>
        <w:rPr>
          <w:rFonts w:eastAsia="Amiri" w:cs="Amiri" w:ascii="Amiri" w:hAnsi="Amiri"/>
          <w:color w:val="111111"/>
          <w:sz w:val="28"/>
          <w:szCs w:val="28"/>
          <w:rtl w:val="true"/>
          <w:lang w:bidi="ar-SA"/>
        </w:rPr>
        <w:t>»</w:t>
      </w:r>
      <w:r>
        <w:rPr>
          <w:rStyle w:val="FootnoteAnchor"/>
          <w:rtl w:val="true"/>
        </w:rPr>
        <w:footnoteReference w:id="990"/>
      </w:r>
      <w:r>
        <w:rPr>
          <w:rFonts w:ascii="Amiri" w:hAnsi="Amiri" w:eastAsia="Amiri" w:cs="Amiri"/>
          <w:color w:val="111111"/>
          <w:sz w:val="28"/>
          <w:sz w:val="28"/>
          <w:szCs w:val="28"/>
          <w:rtl w:val="true"/>
          <w:lang w:bidi="ar-SA"/>
        </w:rPr>
        <w:t>و هذا هو الإرشاد إلى ما ذكرناه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عند الناس معلوماً حتّى لا يقعوا في الفساد، فهو ممّا لا بأس به، لا المشتري وحده فعليه قضيّة الجمع بين روايات المسألة ما سمعت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إذا وقعت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المعاملة على مادّتها، و يشترط على المتعامل كسرها، أو يكون موثوقاً به في الكسر، إذ لا يبعد وجوب إتلافها و لو بكسرها، دفعاً لمادّة 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إذا وقعت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هنا يكون المتن من تحرير الوسيلة للسيّد الأُستاذ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ألّفه في بورسا و الوجه ما عرفت، و قد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جواز بيعها و إن كانت باقية على هيئتها؛ لعدم لحاظ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فيه ما ذكرناه في خصوص الدراهم من لزوم الكسر و لو كان البيع للتزيين؛ لإطلاق الدليل، و مساعدة الحكم العقلي و الموضوع عرفاً، ففي الآلات السابقة كان يجوز البيع، من غير الحاجة إلى اشتراط الكسر، و لا كون المشتري موثوقاً به، و هنا يجب الكسر، و لا ينفع الشرط؛ لأنّه به لا يحصل الأمن من الفساد العظيم الجائي، على احتمال قويّ من قبله؛ لأنّ الاشتراط لا يورث الفرار منه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بأس بالبيع إذا كان المتعامل موثوقاً به في الكسر، و قد كسره بعده، و إلّا تبطل المعاملة حسب ما يستفاد من المآثير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المغشوش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ما هو فيه الغشّ، حسب المادّة إذا غشّت الشركة المجازة،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الهيئة و السكّة الباطلة، و هو الفرض الأوّل في المتن،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معاً</w:t>
      </w:r>
      <w:r>
        <w:rPr>
          <w:rFonts w:eastAsia="Amiri" w:cs="Amiri" w:ascii="Amiri" w:hAnsi="Amiri"/>
          <w:color w:val="111111"/>
          <w:sz w:val="28"/>
          <w:szCs w:val="28"/>
          <w:rtl w:val="true"/>
          <w:lang w:bidi="ar-SA"/>
        </w:rPr>
        <w:t>.</w:t>
      </w:r>
      <w:bookmarkStart w:id="244" w:name="pg12366_123213"/>
    </w:p>
    <w:p>
      <w:pPr>
        <w:pStyle w:val="Heading4"/>
        <w:numPr>
          <w:ilvl w:val="3"/>
          <w:numId w:val="1"/>
        </w:numPr>
        <w:rPr/>
      </w:pPr>
      <w:bookmarkStart w:id="245" w:name="__RefHeading___Toc8896093_417432637"/>
      <w:bookmarkStart w:id="246" w:name="_Toc90"/>
      <w:bookmarkEnd w:id="244"/>
      <w:bookmarkEnd w:id="245"/>
      <w:r>
        <w:rPr>
          <w:rtl w:val="true"/>
        </w:rPr>
        <w:t>[</w:t>
      </w:r>
      <w:r>
        <w:rPr>
          <w:rtl w:val="true"/>
        </w:rPr>
        <w:t xml:space="preserve">مسألة </w:t>
      </w:r>
      <w:r>
        <w:rPr/>
        <w:t>10</w:t>
      </w:r>
      <w:r>
        <w:rPr>
          <w:rtl w:val="true"/>
        </w:rPr>
        <w:t xml:space="preserve">: </w:t>
      </w:r>
      <w:r>
        <w:rPr>
          <w:rtl w:val="true"/>
        </w:rPr>
        <w:t>يحرم بيع العنب أو التمر ليعمل خمراً، و الخشب مثلًا ليعمل صنماً</w:t>
      </w:r>
      <w:r>
        <w:rPr>
          <w:rtl w:val="true"/>
        </w:rPr>
        <w:t>]</w:t>
      </w:r>
      <w:bookmarkEnd w:id="24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العنب أو التمر ليعمل خمراً، و الخشب مثلًا ليعمل صنماً، أو آلة للهو، أو القمار و نحو ذلك، إمّا بذكر صرفه في المحرّم و الالتزام به في العقد، أو تواطئهما على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المعروف بينهم، من زمن المحقّق</w:t>
      </w:r>
      <w:r>
        <w:rPr>
          <w:rStyle w:val="FootnoteAnchor"/>
          <w:rtl w:val="true"/>
        </w:rPr>
        <w:footnoteReference w:id="991"/>
      </w:r>
      <w:r>
        <w:rPr>
          <w:rFonts w:ascii="Amiri" w:hAnsi="Amiri" w:eastAsia="Amiri" w:cs="Amiri"/>
          <w:color w:val="111111"/>
          <w:sz w:val="28"/>
          <w:sz w:val="28"/>
          <w:szCs w:val="28"/>
          <w:rtl w:val="true"/>
          <w:lang w:bidi="ar-SA"/>
        </w:rPr>
        <w:t>، و لا أظنّ عنوان المسألة في الأقدم عليهم، فلا شهرة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قضيّة الصناعة جواز البيع، و صحّته، و فساد الشرط، لما تحرّر من أنّه لا يسري إلى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أنّه إعانة على الإثم</w:t>
      </w:r>
      <w:r>
        <w:rPr>
          <w:rStyle w:val="FootnoteAnchor"/>
          <w:rtl w:val="true"/>
        </w:rPr>
        <w:footnoteReference w:id="992"/>
      </w:r>
      <w:r>
        <w:rPr>
          <w:rFonts w:ascii="Amiri" w:hAnsi="Amiri" w:eastAsia="Amiri" w:cs="Amiri"/>
          <w:color w:val="111111"/>
          <w:sz w:val="28"/>
          <w:sz w:val="28"/>
          <w:szCs w:val="28"/>
          <w:rtl w:val="true"/>
          <w:lang w:bidi="ar-SA"/>
        </w:rPr>
        <w:t>فاسد جدّاً، لما تقرّر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 الخمر ليس محرّماً أوّلًا، فيمكن حينئذٍ الالتزام بصحّة الشرط أيضاً، في خصوص الخمر، لا في مثل آلات القمار</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أسوأ حالًا من الإعانة، و ليس منها عنواناً؛ لأنّ المعين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يدخل في إثم المعان، بأن يكون بانياً على الحرام، فأعانه، و أمّا إعطاء شي‌ء به، مشروطاً صرفه في المحرّم ليس من الإعانة و إن كان أسوأ منه عقلًا، فلا وجه لحرمته التكليفيّة و لو كانت الغاية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دعوى استفادة العرف من حرمة الإعانة على الإثم، حرمة هذه الأُمور</w:t>
      </w:r>
      <w:r>
        <w:rPr>
          <w:rStyle w:val="FootnoteAnchor"/>
          <w:rtl w:val="true"/>
        </w:rPr>
        <w:footnoteReference w:id="993"/>
      </w:r>
      <w:r>
        <w:rPr>
          <w:rFonts w:ascii="Amiri" w:hAnsi="Amiri" w:eastAsia="Amiri" w:cs="Amiri"/>
          <w:color w:val="111111"/>
          <w:sz w:val="28"/>
          <w:sz w:val="28"/>
          <w:szCs w:val="28"/>
          <w:rtl w:val="true"/>
          <w:lang w:bidi="ar-SA"/>
        </w:rPr>
        <w:t>، بمكان من الإمكان، فتأمّل، و لكنّه لا يورث فساد التجارة إلّا على بعض المباني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حرمته الوضعيّة فهي في ما نحن فيه، و هو بيع العنب بشرط الصرف في المحرّم، ممنوعة إلّا على القول بالسراية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خصوص الصليب، و الصنم يحرم ذلك للنصّ، و هو موثّق عمرو بن حريث</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1084</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كتاب التجارة، أبواب ما يكتسب به، الباب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صحيح ابن أُذينة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كتاب التجارة، أبواب ما يكتسب به، الباب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إرجاع الشرط إلى القيد الداخل في مورد الإنشاء، فيكون المملوك ما لا يعدّ ملكاً للبائع عرفاً؛ لأنّ ملكيّة الأعيان ليست ذات حيثيّات و حصص حتّى يكون الخمر في الدار ملكاً غير ماليّة الخمر في البيت،</w:t>
      </w:r>
    </w:p>
    <w:p>
      <w:pPr>
        <w:pStyle w:val="BookText"/>
        <w:rPr/>
      </w:pPr>
      <w:r>
        <w:rPr>
          <w:rFonts w:ascii="Amiri" w:hAnsi="Amiri" w:eastAsia="Amiri" w:cs="Amiri"/>
          <w:color w:val="111111"/>
          <w:sz w:val="28"/>
          <w:sz w:val="28"/>
          <w:szCs w:val="28"/>
          <w:rtl w:val="true"/>
          <w:lang w:bidi="ar-SA"/>
        </w:rPr>
        <w:t>و لو بأن يقول المشتري لصاحب العنب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منّاً من العنب لأعمله خمراً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تحرم إجارة المساكن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ليباع و يحرز فيها الخمر، أو ليعمل فيها بعض المحرّمات، و إجارة السفن، أو الحمولة لحمل الخمر و شبهها بأحد الوجهين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خارج عن هذه المسألة المفروض فيها الالتزام بالمحرّم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المسألة بعد تحتاج إلى التدبّر و التأمّل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لأعمله خمراً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يخفى إنّ هذه العبارة تورث اندراج المسألة في المبحث الآتي، و هو بيع العنب ممّن يعلم أنّه يعمله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تحرم إجارة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الحرمة التكليفيّة حرمة الإعانة على الإثم، و وجه الفساد ما مرّ في أصل المسألة،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معتبرة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يؤاجر بيته، فيباع فيه الخمر،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 أجره</w:t>
      </w:r>
      <w:r>
        <w:rPr>
          <w:rFonts w:eastAsia="Amiri" w:cs="Amiri" w:ascii="Amiri" w:hAnsi="Amiri"/>
          <w:color w:val="111111"/>
          <w:sz w:val="28"/>
          <w:szCs w:val="28"/>
          <w:rtl w:val="true"/>
          <w:lang w:bidi="ar-SA"/>
        </w:rPr>
        <w:t>»</w:t>
      </w:r>
      <w:r>
        <w:rPr>
          <w:rStyle w:val="FootnoteAnchor"/>
          <w:rtl w:val="true"/>
        </w:rPr>
        <w:footnoteReference w:id="995"/>
      </w:r>
      <w:r>
        <w:rPr>
          <w:rFonts w:ascii="Amiri" w:hAnsi="Amiri" w:eastAsia="Amiri" w:cs="Amiri"/>
          <w:color w:val="111111"/>
          <w:sz w:val="28"/>
          <w:sz w:val="28"/>
          <w:szCs w:val="28"/>
          <w:rtl w:val="true"/>
          <w:lang w:bidi="ar-SA"/>
        </w:rPr>
        <w:t>و لعلّه يفيد الحرمة التكليفيّة المستلزمة عرفاً للفساد أيضاً، فلو أشكل إثبات الحكم التكليفي من تلك الجهة لا يشكل هنا،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معناه حتّى يباع أو معناه التفريع، و بيان الصدفة من دون تعلّق الغرض به، فإن كان الأوّل فيحرم الأجر و تحرم الإجارة، و إن كان الثاني فالفرض الأوّل لازمه بالأولويّة العرفيّة، فيثبت الحكم قطعاً، فكونها مجملة في الاستعمال لا يورث سقوط الكشف القطعي الحاصل من التقديرين،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الثاني، و تكون الرواية معارضة بصحيح ابن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الرجل، يؤاجر سفينته و دابّته لمن يحمل فيها أو عليها الخمر و الخنازير،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قضيّة الجمع الالتزام بالكراهة الشديدة، أو معاملة التعارض، لإباء كلمة التحريم من الحمل على الكراهة، بعد إلغاء الخصوصيّة؛ و النتيجة هي الأخذ برواية ابن أُذينة، لتوافقها مع الكتاب، بعد سقوط الشهرة بين المتأخّرين عن المرجّحيّة و المميّزيّة،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يحرم البيع و الإجارة فيما ذكر يفسدان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فلا يحلّ له الثمن و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يفسدان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عرفت، و لأنّ الشرط المذكور يرجع إلى خلاف مقتضى ذات العقد؛ لأنّه في حكم حصر انتفاع المشتري من الوجه المحرّم، فكأنّه باعه بشرط عدم تملّكه؛ لأنّه بالنسبة إلى المنافع المحلّلة محروم حسب الشرط، و بالنسبة إلى المنفعة المحرّمة محروم حسب الشرع، و هذا يرجع إلى عدم اعتبار الملكيّة للمشتري لتقوّمها به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المذكور لا يورث تقييد المبيع بالحصّة، و إلّا يلزم بطلان البيع؛ لأجل عدم اعتبار الملكيّة المتحصّصة بين المالك و العين، كما أُشير إليه، و فصّلناه في كتاب الإجارة</w:t>
      </w:r>
      <w:r>
        <w:rPr>
          <w:rStyle w:val="FootnoteAnchor"/>
          <w:rtl w:val="true"/>
        </w:rPr>
        <w:footnoteReference w:id="997"/>
      </w:r>
      <w:r>
        <w:rPr>
          <w:rFonts w:ascii="Amiri" w:hAnsi="Amiri" w:eastAsia="Amiri" w:cs="Amiri"/>
          <w:color w:val="111111"/>
          <w:sz w:val="28"/>
          <w:sz w:val="28"/>
          <w:szCs w:val="28"/>
          <w:rtl w:val="true"/>
          <w:lang w:bidi="ar-SA"/>
        </w:rPr>
        <w:t>،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المنافع تحصّص بالأزمنة، بخلاف الأعيان، فإنّها لا تحصّص بها، و لا بتلك القيود، فعليه هذا في حكم الالتزام في الالتزام المورث للخيار عند التخلّف، و حيث هو فاسد و لا يسري فساده إلى المشروط، يصحّ البيع و غيره من سائر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الحكم كذلك في هذه الفروض، فصحّة المعاوضات في الفروض الآتية بطريق أولى</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التمسّك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ذهول، بعد ما عرفت ما فيه من</w:t>
      </w:r>
    </w:p>
    <w:p>
      <w:pPr>
        <w:pStyle w:val="BookText"/>
        <w:rPr/>
      </w:pPr>
      <w:r>
        <w:rPr>
          <w:rFonts w:ascii="Amiri" w:hAnsi="Amiri" w:eastAsia="Amiri" w:cs="Amiri"/>
          <w:color w:val="111111"/>
          <w:sz w:val="28"/>
          <w:sz w:val="28"/>
          <w:szCs w:val="28"/>
          <w:rtl w:val="true"/>
          <w:lang w:bidi="ar-SA"/>
        </w:rPr>
        <w:t xml:space="preserve">و كذا بيع الخشب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يعلم أنّه يجعله صليباً أو صنماً، بل و كذا بيع العنب، و التمر، و الخشب ممّن يعلم أنّه يجعلها خمراً، و آلة للقمار و للبرابط، و إجارة المساكن لمن يعلم أنّه يعمل فيها ما ذكر، أو يبيعها و أمثال ذلك، في وجه قويّ، و المسألة من جهة النصوص مشكلة جدّاً، و الظاهر أنّها معلّلة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الشبهات، و اضطراب المتن و الفقرات</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بيع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مختاره، و لا موافق له في المسألة ظاهراً إلّا السيّد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المراجعة إلى الرواية الناهية عن بيع الخشب لمن يعلم أنّه يجعله صلباناً</w:t>
      </w:r>
      <w:r>
        <w:rPr>
          <w:rStyle w:val="FootnoteAnchor"/>
          <w:rtl w:val="true"/>
        </w:rPr>
        <w:footnoteReference w:id="1000"/>
      </w:r>
      <w:r>
        <w:rPr>
          <w:rFonts w:ascii="Amiri" w:hAnsi="Amiri" w:eastAsia="Amiri" w:cs="Amiri"/>
          <w:color w:val="111111"/>
          <w:sz w:val="28"/>
          <w:sz w:val="28"/>
          <w:szCs w:val="28"/>
          <w:rtl w:val="true"/>
          <w:lang w:bidi="ar-SA"/>
        </w:rPr>
        <w:t>، و بعد المراجعة إلى الأخبار الواردة في أنّ الشرع الأنور يضادّ الخمر في جميع حلقات وجوده، حتّى نهى عن غرسها، و لعن رسول اللَّه كذا و كذا</w:t>
      </w:r>
      <w:r>
        <w:rPr>
          <w:rStyle w:val="FootnoteAnchor"/>
          <w:rtl w:val="true"/>
        </w:rPr>
        <w:footnoteReference w:id="1001"/>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الخمر مبغوض الوجود، و الإيجاد، و منهيّ كلّ ما يوصل إلى عمله، و محرّم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وردت روايات ظاهرة في الترخيص</w:t>
      </w:r>
      <w:r>
        <w:rPr>
          <w:rStyle w:val="FootnoteAnchor"/>
          <w:rtl w:val="true"/>
        </w:rPr>
        <w:footnoteReference w:id="1002"/>
      </w:r>
      <w:r>
        <w:rPr>
          <w:rFonts w:ascii="Amiri" w:hAnsi="Amiri" w:eastAsia="Amiri" w:cs="Amiri"/>
          <w:color w:val="111111"/>
          <w:sz w:val="28"/>
          <w:sz w:val="28"/>
          <w:szCs w:val="28"/>
          <w:rtl w:val="true"/>
          <w:lang w:bidi="ar-SA"/>
        </w:rPr>
        <w:t xml:space="preserve">، فهي غير قابلة للتصديق، خصوصاً بعد لزوم تخصيص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المعاونة</w:t>
      </w:r>
      <w:r>
        <w:rPr>
          <w:rFonts w:eastAsia="Amiri" w:cs="Amiri" w:ascii="Amiri" w:hAnsi="Amiri"/>
          <w:color w:val="111111"/>
          <w:sz w:val="28"/>
          <w:szCs w:val="28"/>
          <w:rtl w:val="true"/>
          <w:lang w:bidi="ar-SA"/>
        </w:rPr>
        <w:t>»</w:t>
      </w:r>
      <w:r>
        <w:rPr>
          <w:rStyle w:val="FootnoteAnchor"/>
          <w:rtl w:val="true"/>
        </w:rPr>
        <w:footnoteReference w:id="1003"/>
      </w:r>
      <w:r>
        <w:rPr>
          <w:rFonts w:ascii="Amiri" w:hAnsi="Amiri" w:eastAsia="Amiri" w:cs="Amiri"/>
          <w:color w:val="111111"/>
          <w:sz w:val="28"/>
          <w:sz w:val="28"/>
          <w:szCs w:val="28"/>
          <w:rtl w:val="true"/>
          <w:lang w:bidi="ar-SA"/>
        </w:rPr>
        <w:t xml:space="preserve">، و الالتزام بما لا يليق بشأن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بيع عنبهم لمن يعمل خمراً، مع استنكار أواسط الناس عن ذلك، و تقبيح العقل مثله الآبي عن التقييد قطعاً، فما أفاده الأردبيلي</w:t>
      </w:r>
      <w:r>
        <w:rPr>
          <w:rStyle w:val="FootnoteAnchor"/>
          <w:rtl w:val="true"/>
        </w:rPr>
        <w:footnoteReference w:id="1004"/>
      </w:r>
      <w:r>
        <w:rPr>
          <w:rFonts w:ascii="Amiri" w:hAnsi="Amiri" w:eastAsia="Amiri" w:cs="Amiri"/>
          <w:color w:val="111111"/>
          <w:sz w:val="28"/>
          <w:sz w:val="28"/>
          <w:szCs w:val="28"/>
          <w:rtl w:val="true"/>
          <w:lang w:bidi="ar-SA"/>
        </w:rPr>
        <w:t xml:space="preserve">، و تبعه السيّد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005"/>
      </w:r>
      <w:r>
        <w:rPr>
          <w:rFonts w:ascii="Amiri" w:hAnsi="Amiri" w:eastAsia="Amiri" w:cs="Amiri"/>
          <w:color w:val="111111"/>
          <w:sz w:val="28"/>
          <w:sz w:val="28"/>
          <w:szCs w:val="28"/>
          <w:rtl w:val="true"/>
          <w:lang w:bidi="ar-SA"/>
        </w:rPr>
        <w:t>في غاية المتانة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في جميع الصور يشكل الحكم، و يقرب القول بفساد المعاملات، و يحرم تكليفاً لحرمة الإعانة على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المستفيضة المتضمّنة لنهي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لعنه الخمر، و غارسها إلى عشرة طوائف</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كتاب التجارة، أبواب ما يكتسب به، الباب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غير داخلة في الأدلّة الناهضة على تحريم الشي‌ء؛ لأنّ لعنه لا يدلّ على أزيد من الكراهة الشديدة، مع</w:t>
      </w:r>
    </w:p>
    <w:p>
      <w:pPr>
        <w:pStyle w:val="BookText"/>
        <w:rPr/>
      </w:pPr>
      <w:r>
        <w:rPr>
          <w:rFonts w:ascii="Amiri" w:hAnsi="Amiri" w:eastAsia="Amiri" w:cs="Amiri"/>
          <w:color w:val="111111"/>
          <w:sz w:val="28"/>
          <w:sz w:val="28"/>
          <w:szCs w:val="28"/>
          <w:rtl w:val="true"/>
          <w:lang w:bidi="ar-SA"/>
        </w:rPr>
        <w:t>عدم إمكان الالتزام بجميع المدلول، و خصوصاً بعد معارضته بما يدلّ على جواز ذلك، كما عرفت في صحيحة ابن أُذينة</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حديث حرمة المعاونة على الإثم لا يشمل جميع المعدّات المطلقة، و الأسباب الناقصة الدخيلة، بل هي تختصّ بطائفة خاصّة و هي التي وقع في تتميم الإثم الذي أراد الآثم إتيانه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إعطاء الشراب مع اشتراط الشرب ليس عرفاً من المعاونة، و مجرّد كونها أسوأ حالًا لا يكفي؛ لأنّه ممّا لا يفتى به، كما في مثل ظهور الرجال عراة عند النساء،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لا وجه لصرف النظر عن النصوص الصحيحة الصريحة، في جواز بيع العنب لمن يعلم أنّه يصنعها خمراً</w:t>
      </w:r>
      <w:r>
        <w:rPr>
          <w:rStyle w:val="FootnoteAnchor"/>
          <w:rtl w:val="true"/>
        </w:rPr>
        <w:footnoteReference w:id="1008"/>
      </w:r>
      <w:r>
        <w:rPr>
          <w:rFonts w:ascii="Amiri" w:hAnsi="Amiri" w:eastAsia="Amiri" w:cs="Amiri"/>
          <w:color w:val="111111"/>
          <w:sz w:val="28"/>
          <w:sz w:val="28"/>
          <w:szCs w:val="28"/>
          <w:rtl w:val="true"/>
          <w:lang w:bidi="ar-SA"/>
        </w:rPr>
        <w:t>، و جواز بيع الخشب لمن يصنعه برابط</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لنا قلب الدليل، و جعل هذه الروايات قرينة قطعيّة على أنّ المسألة ليست على ما يظهر من تلك المآثير، فلا تغفل و لا تخلط</w:t>
      </w:r>
      <w:r>
        <w:rPr>
          <w:rFonts w:eastAsia="Amiri" w:cs="Amiri" w:ascii="Amiri" w:hAnsi="Amiri"/>
          <w:color w:val="111111"/>
          <w:sz w:val="28"/>
          <w:szCs w:val="28"/>
          <w:rtl w:val="true"/>
          <w:lang w:bidi="ar-SA"/>
        </w:rPr>
        <w:t>.</w:t>
      </w:r>
      <w:bookmarkStart w:id="247" w:name="pg12366_123221"/>
    </w:p>
    <w:p>
      <w:pPr>
        <w:pStyle w:val="Heading4"/>
        <w:numPr>
          <w:ilvl w:val="3"/>
          <w:numId w:val="1"/>
        </w:numPr>
        <w:rPr/>
      </w:pPr>
      <w:bookmarkStart w:id="248" w:name="__RefHeading___Toc8896095_417432637"/>
      <w:bookmarkStart w:id="249" w:name="_Toc91"/>
      <w:bookmarkEnd w:id="247"/>
      <w:bookmarkEnd w:id="248"/>
      <w:r>
        <w:rPr>
          <w:rtl w:val="true"/>
        </w:rPr>
        <w:t>[</w:t>
      </w:r>
      <w:r>
        <w:rPr>
          <w:rtl w:val="true"/>
        </w:rPr>
        <w:t xml:space="preserve">مسألة </w:t>
      </w:r>
      <w:r>
        <w:rPr/>
        <w:t>11</w:t>
      </w:r>
      <w:r>
        <w:rPr>
          <w:rtl w:val="true"/>
        </w:rPr>
        <w:t xml:space="preserve">: </w:t>
      </w:r>
      <w:r>
        <w:rPr>
          <w:rtl w:val="true"/>
        </w:rPr>
        <w:t>يحرم بيع السلاح من أعداء الدين</w:t>
      </w:r>
      <w:r>
        <w:rPr>
          <w:rtl w:val="true"/>
        </w:rPr>
        <w:t>]</w:t>
      </w:r>
      <w:bookmarkEnd w:id="24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السلاح من أعداء الدين حال مقاتلتهم مع المسلمين، بل حال مباينتهم معهم؛ بحيث يخاف منهم عليهم، و أمّا في حال الهدنة معهم، أو زمان وقوع الحرب بين أنفسهم، و مقاتلة بعضهم مع بعض، فلا بدّ في بيعه من مراعاة مصالح الإسلام و المسلمين، و مقتضيات اليوم،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بالضرورة، و الحكم في بعض الفروض قطعي، و لا يحتاج إلى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هو المقصود في هذه المسألة، دعوى فساد هذه المعاملة، و حرمتها التكليفيّة و إن لا ينطبق عليها العناوين و القواعد الكلّيّة، بداهة أنّ نظر العقل في هذه المسألة معلوم، بخلافه في سائر المواضيع، فله تجويز بيع العنب ليعمل خمراً، دون تجويز بيع السلاح حال الهدنة، مع احتمال استعمالها في الحرب علينا؛ لاختلاف الموضوعات بعد التأمّل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ورد من المطلقات الناهية عن بيع السلاح</w:t>
      </w:r>
      <w:r>
        <w:rPr>
          <w:rStyle w:val="FootnoteAnchor"/>
          <w:rtl w:val="true"/>
        </w:rPr>
        <w:footnoteReference w:id="1010"/>
      </w:r>
      <w:r>
        <w:rPr>
          <w:rFonts w:ascii="Amiri" w:hAnsi="Amiri" w:eastAsia="Amiri" w:cs="Amiri"/>
          <w:color w:val="111111"/>
          <w:sz w:val="28"/>
          <w:sz w:val="28"/>
          <w:szCs w:val="28"/>
          <w:rtl w:val="true"/>
          <w:lang w:bidi="ar-SA"/>
        </w:rPr>
        <w:t>، ربّما يكون ناظراً إلى دفع مادّة الفساد</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مجرّد القطع بعدم ترتّب الحرب عليها لا يورث جوازه؛ لعدم الملازمة بين القطع و الواقع، فإنّه كثيراً ما يتخلّف عن الواقع، فما أشار</w:t>
      </w:r>
    </w:p>
    <w:p>
      <w:pPr>
        <w:pStyle w:val="BookText"/>
        <w:rPr/>
      </w:pPr>
      <w:r>
        <w:rPr>
          <w:rFonts w:ascii="Amiri" w:hAnsi="Amiri" w:eastAsia="Amiri" w:cs="Amiri"/>
          <w:color w:val="111111"/>
          <w:sz w:val="28"/>
          <w:sz w:val="28"/>
          <w:szCs w:val="28"/>
          <w:rtl w:val="true"/>
          <w:lang w:bidi="ar-SA"/>
        </w:rPr>
        <w:t xml:space="preserve">و الأمر فيه موكول إلى نظر والي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لغيره الاستبداد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 الشهيد، بل أفتى به من ممنوعيّة بيع السلاح منهم</w:t>
      </w:r>
      <w:r>
        <w:rPr>
          <w:rStyle w:val="FootnoteAnchor"/>
          <w:rtl w:val="true"/>
        </w:rPr>
        <w:footnoteReference w:id="1011"/>
      </w:r>
      <w:r>
        <w:rPr>
          <w:rFonts w:ascii="Amiri" w:hAnsi="Amiri" w:eastAsia="Amiri" w:cs="Amiri"/>
          <w:color w:val="111111"/>
          <w:sz w:val="28"/>
          <w:sz w:val="28"/>
          <w:szCs w:val="28"/>
          <w:rtl w:val="true"/>
          <w:lang w:bidi="ar-SA"/>
        </w:rPr>
        <w:t>، غير بعيد، خصوصاً بعد ما أفاد من ترتّب التقوية قهراً عليه؛ ضرورة أنّ المسلمين إذا وقفوا على أهمّية مواقفهم الحربيّة، يخافون منهم، و ذلك يؤدّي إلى وقوع الفساد في حومتهم، و إلى مفاسد أُخر و التي لا بدّ من مراعاتها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من تجويز ذلك حال الهدنة</w:t>
      </w:r>
      <w:r>
        <w:rPr>
          <w:rStyle w:val="FootnoteAnchor"/>
          <w:rtl w:val="true"/>
        </w:rPr>
        <w:footnoteReference w:id="1012"/>
      </w:r>
      <w:r>
        <w:rPr>
          <w:rFonts w:ascii="Amiri" w:hAnsi="Amiri" w:eastAsia="Amiri" w:cs="Amiri"/>
          <w:color w:val="111111"/>
          <w:sz w:val="28"/>
          <w:sz w:val="28"/>
          <w:szCs w:val="28"/>
          <w:rtl w:val="true"/>
          <w:lang w:bidi="ar-SA"/>
        </w:rPr>
        <w:t>أو مطلقاً</w:t>
      </w:r>
      <w:r>
        <w:rPr>
          <w:rStyle w:val="FootnoteAnchor"/>
          <w:rtl w:val="true"/>
        </w:rPr>
        <w:footnoteReference w:id="1013"/>
      </w:r>
      <w:r>
        <w:rPr>
          <w:rFonts w:ascii="Amiri" w:hAnsi="Amiri" w:eastAsia="Amiri" w:cs="Amiri"/>
          <w:color w:val="111111"/>
          <w:sz w:val="28"/>
          <w:sz w:val="28"/>
          <w:szCs w:val="28"/>
          <w:rtl w:val="true"/>
          <w:lang w:bidi="ar-SA"/>
        </w:rPr>
        <w:t>، محمول بالضرورة على صور مخصوصة، مع مراعاة الجهات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السلاح هو سلاح كلّ عصر، و المقصود من أعداء الدين أعمّ من الهاجمين على المملكة الإسلامية و إن لم يكونوا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المتصدّي لحفظ مصالحهم و لو كان من الجائرين، إذا كان التصدّي بإذن المجتهد العادل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المصالح قد تؤدّي إلى تجويز حمل السلاح إلى بلاد الكفر، لعدم ترتّب الفساد عليه، و مقتضى العمومات حليّته</w:t>
      </w:r>
    </w:p>
    <w:p>
      <w:pPr>
        <w:pStyle w:val="BookText"/>
        <w:rPr/>
      </w:pPr>
      <w:r>
        <w:rPr>
          <w:rFonts w:ascii="Amiri" w:hAnsi="Amiri" w:eastAsia="Amiri" w:cs="Amiri"/>
          <w:color w:val="111111"/>
          <w:sz w:val="28"/>
          <w:sz w:val="28"/>
          <w:szCs w:val="28"/>
          <w:rtl w:val="true"/>
          <w:lang w:bidi="ar-SA"/>
        </w:rPr>
        <w:t>و صحّته، و قد تؤدّي إلى المنع عنه، و مفاد المآثير يدور حول ذلك</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العجب من الشيخ الأعظم حيث قال بعدم دلالة النواهي في هذه المسألة على الفساد</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أنت خبير بأنّ الحمل المنهيّ عنه في المآثير، و إن كان أعمّ من البيع، و لكنّه يورث فساد جميع أنحاء الحمل المعاوضي، لمعلوميّته من تلك المآثير، بل في رواية السرّاد،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رجل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أبيع السلاح،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تبعه في فتنة</w:t>
      </w:r>
      <w:r>
        <w:rPr>
          <w:rFonts w:eastAsia="Amiri" w:cs="Amiri" w:ascii="Amiri" w:hAnsi="Amiri"/>
          <w:color w:val="111111"/>
          <w:sz w:val="28"/>
          <w:szCs w:val="28"/>
          <w:rtl w:val="true"/>
          <w:lang w:bidi="ar-SA"/>
        </w:rPr>
        <w:t>»</w:t>
      </w:r>
      <w:r>
        <w:rPr>
          <w:rStyle w:val="FootnoteAnchor"/>
          <w:rtl w:val="true"/>
        </w:rPr>
        <w:footnoteReference w:id="1016"/>
      </w:r>
      <w:r>
        <w:rPr>
          <w:rFonts w:ascii="Amiri" w:hAnsi="Amiri" w:eastAsia="Amiri" w:cs="Amiri"/>
          <w:color w:val="111111"/>
          <w:sz w:val="28"/>
          <w:sz w:val="28"/>
          <w:szCs w:val="28"/>
          <w:rtl w:val="true"/>
          <w:lang w:bidi="ar-SA"/>
        </w:rPr>
        <w:t>ما يورث الفساد على القاعدة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رواية الصدوق، 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ذكرنا يظهر الوجه في سائر الفروع المذكورة في المسألة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عن مقتضى الأخبار، بحكم العقل غير جائز؛ لأنّ هذه</w:t>
      </w:r>
    </w:p>
    <w:p>
      <w:pPr>
        <w:pStyle w:val="BookText"/>
        <w:rPr/>
      </w:pPr>
      <w:r>
        <w:rPr>
          <w:rFonts w:ascii="Amiri" w:hAnsi="Amiri" w:eastAsia="Amiri" w:cs="Amiri"/>
          <w:color w:val="111111"/>
          <w:sz w:val="28"/>
          <w:sz w:val="28"/>
          <w:szCs w:val="28"/>
          <w:rtl w:val="true"/>
          <w:lang w:bidi="ar-SA"/>
        </w:rPr>
        <w:t>الأُمور ممّا لا يدرك جميع المصالح الممكنة في أطرافها، فلا بدّ من المراجعة إلى المطلقات، و هي جواز بيع السلاح من المشركين، و الكفّار، و أهل الحرب، و أعداء الدين إلّا في صورة واحدة، و هي حال قيام الفتنة و الحرب؛ للنصّ كصحيحة الحضرميّ</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كتاب التجارة، أبواب ما يكتسب به،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أو صورة أُخرى، و هي حال الهدنة مع العلم بقيام الحرب بها؛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الصحيحة المشار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حمل إلى عدوّنا سلاحاً يستعينون به علينا، فهو مشرك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الأحكام من الضروريّات الأوّليّة، و لا يعقل التجاوز عنها بإطلاق رواية و لو كانت صحيحة، و تحتاج المسألة إلى غور آخر حولها، و لقد تعرّضنا لحدودها في كتابنا الكبير</w:t>
      </w:r>
      <w:r>
        <w:rPr>
          <w:rStyle w:val="FootnoteAnchor"/>
          <w:rtl w:val="true"/>
        </w:rPr>
        <w:footnoteReference w:id="1019"/>
      </w:r>
      <w:r>
        <w:rPr>
          <w:rFonts w:ascii="Amiri" w:hAnsi="Amiri" w:eastAsia="Amiri" w:cs="Amiri"/>
          <w:color w:val="111111"/>
          <w:sz w:val="28"/>
          <w:sz w:val="28"/>
          <w:szCs w:val="28"/>
          <w:rtl w:val="true"/>
          <w:lang w:bidi="ar-SA"/>
        </w:rPr>
        <w:t>، و لا يخفى أنّ عناوين المشركين، و أهل الحرب، و أعداء الدين مختلفة الصدق، و لكنّ المقصود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يلحق بالكفّار من يعادي الفرقة الحقّة، من سائر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المسلمة، و لا يبعد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 إلى قطّاع الطريق و أشباههم،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المعروف بينهم، و هو قضيّة معتبرة الحضرميّ صريحاً، و رواية السرّاج، و إطلاق الفتنة، بل القدر المتيقّن منه ذلك كما قيل</w:t>
      </w:r>
      <w:r>
        <w:rPr>
          <w:rStyle w:val="FootnoteAnchor"/>
          <w:rtl w:val="true"/>
        </w:rPr>
        <w:footnoteReference w:id="1020"/>
      </w:r>
      <w:r>
        <w:rPr>
          <w:rFonts w:ascii="Amiri" w:hAnsi="Amiri" w:eastAsia="Amiri" w:cs="Amiri"/>
          <w:color w:val="111111"/>
          <w:sz w:val="28"/>
          <w:sz w:val="28"/>
          <w:szCs w:val="28"/>
          <w:rtl w:val="true"/>
          <w:lang w:bidi="ar-SA"/>
        </w:rPr>
        <w:t>، و هذا مع قطع النظر عن المصالح المعلومة أحياناً، فإنّه عند ذلك لا بدّ من متابعتها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بمقتضى إطلاق بعض الأخبار المشار إليها، و قد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إطلاقها غير ثابت، و مقتضى القواعد صحّته إلّا إذا كان من قصده ذلك، فيندرج في المسائل السابقة، و حيث أنّ سند رواية السرّاد أو السرّاج غير منقّح، لا يتمّ الاستدلال بها في خصوص مسألتنا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ممنوعيّة ذلك لأدائه إلى قتل المؤمن، ناشئ من الجهل بالمسألة، كما لا يخفى</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خارجة عن كبرى كلّيّة منقّحة، في المكاسب المحرّمة،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ممنوعيّة بيع السلاح لأعداء الدين، بل في نفسي أنّ هذه الكبرى تندرج حسب الأخبار في مسألة بيع العنب لمن يصنعه خمراً و يشربه، و تكون من جهة الحرمة مثل بيع الخشب لمن</w:t>
      </w:r>
    </w:p>
    <w:p>
      <w:pPr>
        <w:pStyle w:val="BookText"/>
        <w:rPr/>
      </w:pPr>
      <w:r>
        <w:rPr>
          <w:rFonts w:ascii="Amiri" w:hAnsi="Amiri" w:eastAsia="Amiri" w:cs="Amiri"/>
          <w:color w:val="111111"/>
          <w:sz w:val="28"/>
          <w:sz w:val="28"/>
          <w:szCs w:val="28"/>
          <w:rtl w:val="true"/>
          <w:lang w:bidi="ar-SA"/>
        </w:rPr>
        <w:t xml:space="preserve">بل لا يبعد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 من بيع السلاح إلى بيع غيره ممّا يكون سبباً لتقويتهم على أهل الحقّ، كالزاد، و الراحلة، و الحمولة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يجعله صنماً و صلباناً، نعم، حسب القواعد العقليّة عرفت تفصيلها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يبعد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لحكم العقل، و من المحتمل جوازها لإطلاق معتبرة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حمل المسلمين إلى المشركين التجارة،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يحملوا سلاحاً فلا بأس</w:t>
      </w:r>
      <w:r>
        <w:rPr>
          <w:rFonts w:eastAsia="Amiri" w:cs="Amiri" w:ascii="Amiri" w:hAnsi="Amiri"/>
          <w:color w:val="111111"/>
          <w:sz w:val="28"/>
          <w:szCs w:val="28"/>
          <w:rtl w:val="true"/>
          <w:lang w:bidi="ar-SA"/>
        </w:rPr>
        <w:t>»</w:t>
      </w:r>
      <w:r>
        <w:rPr>
          <w:rStyle w:val="FootnoteAnchor"/>
          <w:rtl w:val="true"/>
        </w:rPr>
        <w:footnoteReference w:id="1021"/>
      </w:r>
      <w:r>
        <w:rPr>
          <w:rFonts w:ascii="Amiri" w:hAnsi="Amiri" w:eastAsia="Amiri" w:cs="Amiri"/>
          <w:color w:val="111111"/>
          <w:sz w:val="28"/>
          <w:sz w:val="28"/>
          <w:szCs w:val="28"/>
          <w:rtl w:val="true"/>
          <w:lang w:bidi="ar-SA"/>
        </w:rPr>
        <w:t>فإنّ مقتضى الإطلاقين، منطوقاً و مفهوماً، ممنوعيّة حمل السلاح لأنّه لا يستفاد منه إلّا في الحرب الباطل، و جواز غيره لأنّه لا ينتفع به على المسلمين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تقوية المحارب لو كانت ممنوعة، لما كان وجه لما حكي من صنع بعض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عدم منع الماء على الأعداء</w:t>
      </w:r>
      <w:r>
        <w:rPr>
          <w:rStyle w:val="FootnoteAnchor"/>
          <w:rtl w:val="true"/>
        </w:rPr>
        <w:footnoteReference w:id="1022"/>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يتوهّم اختصاص المنع المطلق بالمشركين، لأنّ دليل التقييد موضوعه المسلمين و أهل الشام، و لا يخفى وهنه و فساده، كما أشرنا إليه آنفاً</w:t>
      </w:r>
      <w:r>
        <w:rPr>
          <w:rFonts w:eastAsia="Amiri" w:cs="Amiri" w:ascii="Amiri" w:hAnsi="Amiri"/>
          <w:color w:val="111111"/>
          <w:sz w:val="28"/>
          <w:szCs w:val="28"/>
          <w:rtl w:val="true"/>
          <w:lang w:bidi="ar-SA"/>
        </w:rPr>
        <w:t>.</w:t>
      </w:r>
      <w:bookmarkStart w:id="250" w:name="pg12366_123227"/>
    </w:p>
    <w:p>
      <w:pPr>
        <w:pStyle w:val="Heading4"/>
        <w:numPr>
          <w:ilvl w:val="3"/>
          <w:numId w:val="1"/>
        </w:numPr>
        <w:rPr/>
      </w:pPr>
      <w:bookmarkStart w:id="251" w:name="__RefHeading___Toc8896097_417432637"/>
      <w:bookmarkStart w:id="252" w:name="_Toc92"/>
      <w:bookmarkEnd w:id="250"/>
      <w:bookmarkEnd w:id="251"/>
      <w:r>
        <w:rPr>
          <w:rtl w:val="true"/>
        </w:rPr>
        <w:t>[</w:t>
      </w:r>
      <w:r>
        <w:rPr>
          <w:rtl w:val="true"/>
        </w:rPr>
        <w:t xml:space="preserve">مسألة </w:t>
      </w:r>
      <w:r>
        <w:rPr/>
        <w:t>12</w:t>
      </w:r>
      <w:r>
        <w:rPr>
          <w:rtl w:val="true"/>
        </w:rPr>
        <w:t xml:space="preserve">: </w:t>
      </w:r>
      <w:r>
        <w:rPr>
          <w:rtl w:val="true"/>
        </w:rPr>
        <w:t>يحرم تصوير ذوات الأرواح من الإنسان، و الحيوان إذا كانت الصورة مجسّمة</w:t>
      </w:r>
      <w:r>
        <w:rPr>
          <w:rtl w:val="true"/>
        </w:rPr>
        <w:t>]</w:t>
      </w:r>
      <w:bookmarkEnd w:id="25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ذوات الأرواح من الإنسان، و الحيوان إذا كانت الصورة مجسّمة كالمعمولة من الأحجار، و الفلزّات، و الأخشاب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بالاتفاق، و عليه الإجماعات المنقولة</w:t>
      </w:r>
      <w:r>
        <w:rPr>
          <w:rStyle w:val="FootnoteAnchor"/>
          <w:rtl w:val="true"/>
        </w:rPr>
        <w:footnoteReference w:id="1023"/>
      </w:r>
      <w:r>
        <w:rPr>
          <w:rFonts w:ascii="Amiri" w:hAnsi="Amiri" w:eastAsia="Amiri" w:cs="Amiri"/>
          <w:color w:val="111111"/>
          <w:sz w:val="28"/>
          <w:sz w:val="28"/>
          <w:szCs w:val="28"/>
          <w:rtl w:val="true"/>
          <w:lang w:bidi="ar-SA"/>
        </w:rPr>
        <w:t>، بل و المحصّلة، و لا خلاف في الصورة الأُولى، و هي تجسيم ذوات الأرواح، و هي القدر المتيقّن من معاقدها، و تلك المطلقات و النصوص الواردة في المسألة أو المهملات</w:t>
      </w:r>
      <w:r>
        <w:rPr>
          <w:rStyle w:val="FootnoteAnchor"/>
          <w:rtl w:val="true"/>
        </w:rPr>
        <w:footnoteReference w:id="1024"/>
      </w:r>
      <w:r>
        <w:rPr>
          <w:rFonts w:ascii="Amiri" w:hAnsi="Amiri" w:eastAsia="Amiri" w:cs="Amiri"/>
          <w:color w:val="111111"/>
          <w:sz w:val="28"/>
          <w:sz w:val="28"/>
          <w:szCs w:val="28"/>
          <w:rtl w:val="true"/>
          <w:lang w:bidi="ar-SA"/>
        </w:rPr>
        <w:t>و إلى زماننا لا مخالف لها، إلّا أنّ المحتمل ممنوعيّتها في عصر اتّخاذها أوثاناً من دون اللَّه تبارك و تعالى، و القرينة المقاميّة كالكلاميّة في المانعيّة عن انعقاد الإطلاق، و كما يصحّ أن يتّكل المتكلّم بها يصحّ بذاك أيضاً بالضرورة، فربّما تكون الروايات في المسألة ناظرة إلى تلك المسألة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مناسبة الحكم و الموضوع لا تقتضي في المقام إلّا الكراهة، و لعلّه يشير إلى هذه الجهة ما ورد من الأخبار المشتملة على الأمر بتوهين الصور، و جعلها في الظهر، و الخلف، و التحت، و وطئها</w:t>
      </w:r>
      <w:r>
        <w:rPr>
          <w:rStyle w:val="FootnoteAnchor"/>
          <w:rtl w:val="true"/>
        </w:rPr>
        <w:footnoteReference w:id="1025"/>
      </w:r>
      <w:r>
        <w:rPr>
          <w:rFonts w:ascii="Amiri" w:hAnsi="Amiri" w:eastAsia="Amiri" w:cs="Amiri"/>
          <w:color w:val="111111"/>
          <w:sz w:val="28"/>
          <w:sz w:val="28"/>
          <w:szCs w:val="28"/>
          <w:rtl w:val="true"/>
          <w:lang w:bidi="ar-SA"/>
        </w:rPr>
        <w:t>، و أنّ</w:t>
      </w:r>
    </w:p>
    <w:p>
      <w:pPr>
        <w:pStyle w:val="BookText"/>
        <w:rPr/>
      </w:pPr>
      <w:r>
        <w:rPr>
          <w:rFonts w:ascii="Amiri" w:hAnsi="Amiri" w:eastAsia="Amiri" w:cs="Amiri"/>
          <w:color w:val="111111"/>
          <w:sz w:val="28"/>
          <w:sz w:val="28"/>
          <w:szCs w:val="28"/>
          <w:rtl w:val="true"/>
          <w:lang w:bidi="ar-SA"/>
        </w:rPr>
        <w:t>الأعاجم يعظّمونها، و إنّا لنمتهنها</w:t>
      </w:r>
      <w:r>
        <w:rPr>
          <w:rStyle w:val="FootnoteAnchor"/>
          <w:rtl w:val="true"/>
        </w:rPr>
        <w:footnoteReference w:id="1026"/>
      </w:r>
      <w:r>
        <w:rPr>
          <w:rFonts w:ascii="Amiri" w:hAnsi="Amiri" w:eastAsia="Amiri" w:cs="Amiri"/>
          <w:color w:val="111111"/>
          <w:sz w:val="28"/>
          <w:sz w:val="28"/>
          <w:szCs w:val="28"/>
          <w:rtl w:val="true"/>
          <w:lang w:bidi="ar-SA"/>
        </w:rPr>
        <w:t>، و نحقّرها، و نهينها، و الأخبار الكثيرة الزاجرة عن جعلها في القبلة</w:t>
      </w:r>
      <w:r>
        <w:rPr>
          <w:rStyle w:val="FootnoteAnchor"/>
          <w:rtl w:val="true"/>
        </w:rPr>
        <w:footnoteReference w:id="1027"/>
      </w:r>
      <w:r>
        <w:rPr>
          <w:rFonts w:ascii="Amiri" w:hAnsi="Amiri" w:eastAsia="Amiri" w:cs="Amiri"/>
          <w:color w:val="111111"/>
          <w:sz w:val="28"/>
          <w:sz w:val="28"/>
          <w:szCs w:val="28"/>
          <w:rtl w:val="true"/>
          <w:lang w:bidi="ar-SA"/>
        </w:rPr>
        <w:t>، و في اللباس الذي يصلّى فيه</w:t>
      </w:r>
      <w:r>
        <w:rPr>
          <w:rStyle w:val="FootnoteAnchor"/>
          <w:rtl w:val="true"/>
        </w:rPr>
        <w:footnoteReference w:id="1028"/>
      </w:r>
      <w:r>
        <w:rPr>
          <w:rFonts w:ascii="Amiri" w:hAnsi="Amiri" w:eastAsia="Amiri" w:cs="Amiri"/>
          <w:color w:val="111111"/>
          <w:sz w:val="28"/>
          <w:sz w:val="28"/>
          <w:szCs w:val="28"/>
          <w:rtl w:val="true"/>
          <w:lang w:bidi="ar-SA"/>
        </w:rPr>
        <w:t>، و هكذا ممّا يكون وجهه إلى ما كان عليه آبائهم، من العبادة، و من بقايا حبّهم لها، و ميلهم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صحّ الأخذ بالمطلقات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يلزم تخصيص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من تكليفهم بالنفخ في عدّة روايات</w:t>
      </w:r>
      <w:r>
        <w:rPr>
          <w:rStyle w:val="FootnoteAnchor"/>
          <w:rtl w:val="true"/>
        </w:rPr>
        <w:footnoteReference w:id="1029"/>
      </w:r>
      <w:r>
        <w:rPr>
          <w:rFonts w:ascii="Amiri" w:hAnsi="Amiri" w:eastAsia="Amiri" w:cs="Amiri"/>
          <w:color w:val="111111"/>
          <w:sz w:val="28"/>
          <w:sz w:val="28"/>
          <w:szCs w:val="28"/>
          <w:rtl w:val="true"/>
          <w:lang w:bidi="ar-SA"/>
        </w:rPr>
        <w:t>، يستلزم عود الأجسام في المعاد، مع إِنَّ الدَّارَ الْآخِرَةَ لَهِيَ الْحَيَوانُ لَوْ كانُوا يَعْلَمُونَ</w:t>
      </w:r>
      <w:r>
        <w:rPr>
          <w:rStyle w:val="FootnoteAnchor"/>
          <w:rtl w:val="true"/>
        </w:rPr>
        <w:footnoteReference w:id="1030"/>
      </w:r>
      <w:r>
        <w:rPr>
          <w:rFonts w:ascii="Amiri" w:hAnsi="Amiri" w:eastAsia="Amiri" w:cs="Amiri"/>
          <w:color w:val="111111"/>
          <w:sz w:val="28"/>
          <w:sz w:val="28"/>
          <w:szCs w:val="28"/>
          <w:rtl w:val="true"/>
          <w:lang w:bidi="ar-SA"/>
        </w:rPr>
        <w:t>و لذلك جلّ أخبار الباب، و كلّ الروايات المتضمّنة لهذه الجملة، غير نقيّ السند</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تكفي مرسلة ابن أبي عمير</w:t>
      </w:r>
      <w:r>
        <w:rPr>
          <w:rStyle w:val="FootnoteAnchor"/>
          <w:rtl w:val="true"/>
        </w:rPr>
        <w:footnoteReference w:id="1031"/>
      </w:r>
      <w:r>
        <w:rPr>
          <w:rFonts w:ascii="Amiri" w:hAnsi="Amiri" w:eastAsia="Amiri" w:cs="Amiri"/>
          <w:color w:val="111111"/>
          <w:sz w:val="28"/>
          <w:sz w:val="28"/>
          <w:szCs w:val="28"/>
          <w:rtl w:val="true"/>
          <w:lang w:bidi="ar-SA"/>
        </w:rPr>
        <w:t>، مع الإشكال في حجّيّتها، لإثبات هذا</w:t>
      </w:r>
    </w:p>
    <w:p>
      <w:pPr>
        <w:pStyle w:val="BookText"/>
        <w:rPr/>
      </w:pPr>
      <w:r>
        <w:rPr>
          <w:rFonts w:ascii="Amiri" w:hAnsi="Amiri" w:eastAsia="Amiri" w:cs="Amiri"/>
          <w:color w:val="111111"/>
          <w:sz w:val="28"/>
          <w:sz w:val="28"/>
          <w:szCs w:val="28"/>
          <w:rtl w:val="true"/>
          <w:lang w:bidi="ar-SA"/>
        </w:rPr>
        <w:t xml:space="preserve">الرأي، مع أنّها غير مشتملة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التكليف أعمّ من الحرمة المقصودة،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لنعم ما أفاد الوالد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في ابتداء المسألة، من أنّ ظاهر طائفة من الأخبار بمناسبة الحكم و الموضوع، 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بالتماثيل و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تماثيل الأصنام التي كانت مورد العبادة؛ لأنّها مشتملة على التشديدات التي لا تناسب مطلق عمل المجسّمة، أو تنقيش الصور، لأعظميّة الكبائر منها، و هي ليست من الكبائر رأساً</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 بعد ذلك التزم بحرمة عمل التجسيم على الإطلاق</w:t>
      </w:r>
      <w:r>
        <w:rPr>
          <w:rStyle w:val="FootnoteAnchor"/>
          <w:rtl w:val="true"/>
        </w:rPr>
        <w:footnoteReference w:id="1033"/>
      </w:r>
      <w:r>
        <w:rPr>
          <w:rFonts w:ascii="Amiri" w:hAnsi="Amiri" w:eastAsia="Amiri" w:cs="Amiri"/>
          <w:color w:val="111111"/>
          <w:sz w:val="28"/>
          <w:sz w:val="28"/>
          <w:szCs w:val="28"/>
          <w:rtl w:val="true"/>
          <w:lang w:bidi="ar-SA"/>
        </w:rPr>
        <w:t>، فكأنّه آخذ بأنّ هذه الأُمور لا تضرّ بالإطلاقات، و هو غير جيّد</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يدور بين أمرين، إمّا جواز عمل التصوير حتّى التجسيم، و إمّا حرمته حتّى النقش، و حرمة اقتنائه؛ ضرورة أنّ التمثال و الصور حسب الاستعمال و اللغة، أعمّ من المجسّمات، و التقييد المستهجن ممنوع؛ فيكون القدر المتيقّن منها، ما صنع للعبادة، أو لحفظ الآثار و العتائق إشعاراً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شعائريّة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الأُمور في السلف الفاجر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التجسيم، و إن كان الأحوط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 ذلك ممّا يرجع إلى ذوق الإنسان، و حسن فكرته، و ظهور قدرته، فلا دليل قطعي على ممنوعيّته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يشهد على جواز التجسيم هو ما يدلّ على جواز الاقتناء</w:t>
      </w:r>
      <w:r>
        <w:rPr>
          <w:rStyle w:val="FootnoteAnchor"/>
          <w:rtl w:val="true"/>
        </w:rPr>
        <w:footnoteReference w:id="1034"/>
      </w:r>
      <w:r>
        <w:rPr>
          <w:rFonts w:ascii="Amiri" w:hAnsi="Amiri" w:eastAsia="Amiri" w:cs="Amiri"/>
          <w:color w:val="111111"/>
          <w:sz w:val="28"/>
          <w:sz w:val="28"/>
          <w:szCs w:val="28"/>
          <w:rtl w:val="true"/>
          <w:lang w:bidi="ar-SA"/>
        </w:rPr>
        <w:t>، فإنّ التفكيك غير مساعد لفهم العرف قطعاً،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الظاهر من متون الأصحاب، حيث قالوا بعد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كعمل الصور المجسّمة</w:t>
      </w:r>
      <w:r>
        <w:rPr>
          <w:rFonts w:eastAsia="Amiri" w:cs="Amiri" w:ascii="Amiri" w:hAnsi="Amiri"/>
          <w:color w:val="111111"/>
          <w:sz w:val="28"/>
          <w:szCs w:val="28"/>
          <w:rtl w:val="true"/>
          <w:lang w:bidi="ar-SA"/>
        </w:rPr>
        <w:t>»</w:t>
      </w:r>
      <w:r>
        <w:rPr>
          <w:rStyle w:val="FootnoteAnchor"/>
          <w:rtl w:val="true"/>
        </w:rPr>
        <w:footnoteReference w:id="1035"/>
      </w:r>
      <w:r>
        <w:rPr>
          <w:rFonts w:ascii="Amiri" w:hAnsi="Amiri" w:eastAsia="Amiri" w:cs="Amiri"/>
          <w:color w:val="111111"/>
          <w:sz w:val="28"/>
          <w:sz w:val="28"/>
          <w:szCs w:val="28"/>
          <w:rtl w:val="true"/>
          <w:lang w:bidi="ar-SA"/>
        </w:rPr>
        <w:t xml:space="preserve">و سكتوا عن النقوش، و ليس سكوتهم نسياناً، بل هم لا يقولون بحرمة أزيد من الفرض الأوّل، و إليه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يستظهر منه أنّ الشهرة على خلاف التحريم</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اختار جمع حرمته</w:t>
      </w:r>
      <w:r>
        <w:rPr>
          <w:rStyle w:val="FootnoteAnchor"/>
          <w:rtl w:val="true"/>
        </w:rPr>
        <w:footnoteReference w:id="1037"/>
      </w:r>
      <w:r>
        <w:rPr>
          <w:rFonts w:ascii="Amiri" w:hAnsi="Amiri" w:eastAsia="Amiri" w:cs="Amiri"/>
          <w:color w:val="111111"/>
          <w:sz w:val="28"/>
          <w:sz w:val="28"/>
          <w:szCs w:val="28"/>
          <w:rtl w:val="true"/>
          <w:lang w:bidi="ar-SA"/>
        </w:rPr>
        <w:t xml:space="preserve">، و الدليل الوحيد هي الروايات الخاصّة، بعد دعوى قصور العمومات عن شمولها،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صوّر صورة</w:t>
      </w:r>
      <w:r>
        <w:rPr>
          <w:rFonts w:eastAsia="Amiri" w:cs="Amiri" w:ascii="Amiri" w:hAnsi="Amiri"/>
          <w:color w:val="111111"/>
          <w:sz w:val="28"/>
          <w:szCs w:val="28"/>
          <w:rtl w:val="true"/>
          <w:lang w:bidi="ar-SA"/>
        </w:rPr>
        <w:t>»</w:t>
      </w:r>
      <w:r>
        <w:rPr>
          <w:rStyle w:val="FootnoteAnchor"/>
          <w:rtl w:val="true"/>
        </w:rPr>
        <w:footnoteReference w:id="1038"/>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مثّل مثالًا</w:t>
      </w:r>
      <w:r>
        <w:rPr>
          <w:rFonts w:eastAsia="Amiri" w:cs="Amiri" w:ascii="Amiri" w:hAnsi="Amiri"/>
          <w:color w:val="111111"/>
          <w:sz w:val="28"/>
          <w:szCs w:val="28"/>
          <w:rtl w:val="true"/>
          <w:lang w:bidi="ar-SA"/>
        </w:rPr>
        <w:t>»</w:t>
      </w:r>
      <w:r>
        <w:rPr>
          <w:rStyle w:val="FootnoteAnchor"/>
          <w:rtl w:val="true"/>
        </w:rPr>
        <w:footnoteReference w:id="1039"/>
      </w:r>
      <w:r>
        <w:rPr>
          <w:rFonts w:ascii="IRNazanin" w:hAnsi="IRNazanin" w:eastAsia="IRNazanin"/>
          <w:color w:val="111111"/>
          <w:sz w:val="28"/>
          <w:sz w:val="28"/>
          <w:szCs w:val="28"/>
          <w:rtl w:val="true"/>
          <w:lang w:bidi="fa-IR"/>
        </w:rPr>
        <w:t>لأنّ موضوعهما الأخصّ، أو هو المنصرف</w:t>
      </w:r>
    </w:p>
    <w:p>
      <w:pPr>
        <w:pStyle w:val="BookText"/>
        <w:rPr/>
      </w:pPr>
      <w:r>
        <w:rPr>
          <w:rFonts w:ascii="Amiri" w:hAnsi="Amiri" w:eastAsia="Amiri" w:cs="Amiri"/>
          <w:color w:val="111111"/>
          <w:sz w:val="28"/>
          <w:sz w:val="28"/>
          <w:szCs w:val="28"/>
          <w:rtl w:val="true"/>
          <w:lang w:bidi="ar-SA"/>
        </w:rPr>
        <w:t xml:space="preserve">إليه، أو يكون ذيل هذه الروايات،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كلّف أن ينفخ فيها و ليس بنافخ</w:t>
      </w:r>
      <w:r>
        <w:rPr>
          <w:rFonts w:eastAsia="Amiri" w:cs="Amiri" w:ascii="Amiri" w:hAnsi="Amiri"/>
          <w:color w:val="111111"/>
          <w:sz w:val="28"/>
          <w:szCs w:val="28"/>
          <w:rtl w:val="true"/>
          <w:lang w:bidi="ar-SA"/>
        </w:rPr>
        <w:t>»</w:t>
      </w:r>
      <w:r>
        <w:rPr>
          <w:rStyle w:val="FootnoteAnchor"/>
          <w:rtl w:val="true"/>
        </w:rPr>
        <w:footnoteReference w:id="1040"/>
      </w:r>
      <w:r>
        <w:rPr>
          <w:rFonts w:ascii="Amiri" w:hAnsi="Amiri" w:eastAsia="Amiri" w:cs="Amiri"/>
          <w:color w:val="111111"/>
          <w:sz w:val="28"/>
          <w:sz w:val="28"/>
          <w:szCs w:val="28"/>
          <w:rtl w:val="true"/>
          <w:lang w:bidi="ar-SA"/>
        </w:rPr>
        <w:t>قرينة على الأخصّ، و لا أقلّ من صلاحيّتها للاقتران، و قد تقرّر عدم جواز التمسّك في هذه المواقف</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تلك الروايات صحيحة ابن مسلم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تماثيل الشجر، و الشمس، و القمر،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ما لم يكن شيئاً من الحيوان</w:t>
      </w:r>
      <w:r>
        <w:rPr>
          <w:rFonts w:eastAsia="Amiri" w:cs="Amiri" w:ascii="Amiri" w:hAnsi="Amiri"/>
          <w:color w:val="111111"/>
          <w:sz w:val="28"/>
          <w:szCs w:val="28"/>
          <w:rtl w:val="true"/>
          <w:lang w:bidi="ar-SA"/>
        </w:rPr>
        <w:t>»</w:t>
      </w:r>
      <w:r>
        <w:rPr>
          <w:rStyle w:val="FootnoteAnchor"/>
          <w:rtl w:val="true"/>
        </w:rPr>
        <w:footnoteReference w:id="1042"/>
      </w:r>
      <w:r>
        <w:rPr>
          <w:rFonts w:ascii="Amiri" w:hAnsi="Amiri" w:eastAsia="Amiri" w:cs="Amiri"/>
          <w:color w:val="111111"/>
          <w:sz w:val="28"/>
          <w:sz w:val="28"/>
          <w:szCs w:val="28"/>
          <w:rtl w:val="true"/>
          <w:lang w:bidi="ar-SA"/>
        </w:rPr>
        <w:t>و هي أظهر ما في الباب، مع وضوح قصورها؛ لعدم معلوميّة وجه السؤال أوّلًا، فمن المحتمل أن يكون المقصود الصلاة عليها، كما في روايات</w:t>
      </w:r>
      <w:r>
        <w:rPr>
          <w:rStyle w:val="FootnoteAnchor"/>
          <w:rtl w:val="true"/>
        </w:rPr>
        <w:footnoteReference w:id="1043"/>
      </w:r>
      <w:r>
        <w:rPr>
          <w:rFonts w:ascii="Amiri" w:hAnsi="Amiri" w:eastAsia="Amiri" w:cs="Amiri"/>
          <w:color w:val="111111"/>
          <w:sz w:val="28"/>
          <w:sz w:val="28"/>
          <w:szCs w:val="28"/>
          <w:rtl w:val="true"/>
          <w:lang w:bidi="ar-SA"/>
        </w:rPr>
        <w:t xml:space="preserve">، أو اللعب بها، أو غيرهما؛ و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العذاب، و هي الظاهرة في الحرمة بخلاف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r>
        <w:rPr>
          <w:rStyle w:val="FootnoteAnchor"/>
          <w:rtl w:val="true"/>
        </w:rPr>
        <w:footnoteReference w:id="1044"/>
      </w:r>
      <w:r>
        <w:rPr>
          <w:rFonts w:ascii="Amiri" w:hAnsi="Amiri" w:eastAsia="Amiri" w:cs="Amiri"/>
          <w:color w:val="111111"/>
          <w:sz w:val="28"/>
          <w:sz w:val="28"/>
          <w:szCs w:val="28"/>
          <w:rtl w:val="true"/>
          <w:lang w:bidi="ar-SA"/>
        </w:rPr>
        <w:t>يناسب الكراهة، و المفهوم المستفاد من هذه الرواية لا يفيد حينئذٍ شيئاً لتبعيّته للمنطوق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يعلم الوجه</w:t>
      </w:r>
    </w:p>
    <w:p>
      <w:pPr>
        <w:pStyle w:val="BookText"/>
        <w:rPr/>
      </w:pPr>
      <w:r>
        <w:rPr>
          <w:rFonts w:ascii="Amiri" w:hAnsi="Amiri" w:eastAsia="Amiri" w:cs="Amiri"/>
          <w:color w:val="111111"/>
          <w:sz w:val="28"/>
          <w:sz w:val="28"/>
          <w:szCs w:val="28"/>
          <w:rtl w:val="true"/>
          <w:lang w:bidi="ar-SA"/>
        </w:rPr>
        <w:t>في النواهي المتعلّقة بها مع مجهوليّة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الأخذ بالإطلاق، و الخروج عنه بالدليل، غير مسموعة في هذه المواقف، و لا سيّما بعد لزوم كونه على الكراهة في أكثر منافعها، بل كلّها إلّا إيجادها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الوجه في فساد التمسّك</w:t>
      </w:r>
      <w:r>
        <w:rPr>
          <w:rStyle w:val="FootnoteAnchor"/>
          <w:rtl w:val="true"/>
        </w:rPr>
        <w:footnoteReference w:id="1045"/>
      </w:r>
      <w:r>
        <w:rPr>
          <w:rFonts w:ascii="Amiri" w:hAnsi="Amiri" w:eastAsia="Amiri" w:cs="Amiri"/>
          <w:color w:val="111111"/>
          <w:sz w:val="28"/>
          <w:sz w:val="28"/>
          <w:szCs w:val="28"/>
          <w:rtl w:val="true"/>
          <w:lang w:bidi="ar-SA"/>
        </w:rPr>
        <w:t>بروايات الحسين بن زيد</w:t>
      </w:r>
      <w:r>
        <w:rPr>
          <w:rStyle w:val="FootnoteAnchor"/>
          <w:rtl w:val="true"/>
        </w:rPr>
        <w:footnoteReference w:id="1046"/>
      </w:r>
      <w:r>
        <w:rPr>
          <w:rFonts w:ascii="Amiri" w:hAnsi="Amiri" w:eastAsia="Amiri" w:cs="Amiri"/>
          <w:color w:val="111111"/>
          <w:sz w:val="28"/>
          <w:sz w:val="28"/>
          <w:szCs w:val="28"/>
          <w:rtl w:val="true"/>
          <w:lang w:bidi="ar-SA"/>
        </w:rPr>
        <w:t>، و أبي بصير</w:t>
      </w:r>
      <w:r>
        <w:rPr>
          <w:rStyle w:val="FootnoteAnchor"/>
          <w:rtl w:val="true"/>
        </w:rPr>
        <w:footnoteReference w:id="1047"/>
      </w:r>
      <w:r>
        <w:rPr>
          <w:rFonts w:ascii="Amiri" w:hAnsi="Amiri" w:eastAsia="Amiri" w:cs="Amiri"/>
          <w:color w:val="111111"/>
          <w:sz w:val="28"/>
          <w:sz w:val="28"/>
          <w:szCs w:val="28"/>
          <w:rtl w:val="true"/>
          <w:lang w:bidi="ar-SA"/>
        </w:rPr>
        <w:t>، و جرّاح المدائنيّ</w:t>
      </w:r>
      <w:r>
        <w:rPr>
          <w:rStyle w:val="FootnoteAnchor"/>
          <w:rtl w:val="true"/>
        </w:rPr>
        <w:footnoteReference w:id="1048"/>
      </w:r>
      <w:r>
        <w:rPr>
          <w:rFonts w:ascii="Amiri" w:hAnsi="Amiri" w:eastAsia="Amiri" w:cs="Amiri"/>
          <w:color w:val="111111"/>
          <w:sz w:val="28"/>
          <w:sz w:val="28"/>
          <w:szCs w:val="28"/>
          <w:rtl w:val="true"/>
          <w:lang w:bidi="ar-SA"/>
        </w:rPr>
        <w:t>، و عبد اللَّه بن طلحة</w:t>
      </w:r>
      <w:r>
        <w:rPr>
          <w:rStyle w:val="FootnoteAnchor"/>
          <w:rtl w:val="true"/>
        </w:rPr>
        <w:footnoteReference w:id="1049"/>
      </w:r>
      <w:r>
        <w:rPr>
          <w:rFonts w:ascii="Amiri" w:hAnsi="Amiri" w:eastAsia="Amiri" w:cs="Amiri"/>
          <w:color w:val="111111"/>
          <w:sz w:val="28"/>
          <w:sz w:val="28"/>
          <w:szCs w:val="28"/>
          <w:rtl w:val="true"/>
          <w:lang w:bidi="ar-SA"/>
        </w:rPr>
        <w:t>، فإنّها كلّها ضعيفة، بل في دلالة بعضها نظر واضح</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توهّم دلالة موثّقة أبي العبّاس،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يَعْمَلُونَ لَهُ ما يَشاءُ مِنْ مَحارِيبَ وَ تَماثِيلَ</w:t>
      </w:r>
      <w:r>
        <w:rPr>
          <w:rStyle w:val="FootnoteAnchor"/>
          <w:rtl w:val="true"/>
        </w:rPr>
        <w:footnoteReference w:id="105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هي</w:t>
      </w:r>
    </w:p>
    <w:p>
      <w:pPr>
        <w:pStyle w:val="BookText"/>
        <w:rPr/>
      </w:pPr>
      <w:r>
        <w:rPr>
          <w:rFonts w:ascii="Amiri" w:hAnsi="Amiri" w:eastAsia="Amiri" w:cs="Amiri"/>
          <w:color w:val="111111"/>
          <w:sz w:val="28"/>
          <w:sz w:val="28"/>
          <w:szCs w:val="28"/>
          <w:rtl w:val="true"/>
          <w:lang w:bidi="ar-SA"/>
        </w:rPr>
        <w:t xml:space="preserve">و يجوز تصوير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ذوات الأرواح كالأشجار، و الأوراد و نحوها و لو مع التجسيم، تماثيل الرجال و النساء، و لكنّها الشجر و شبهه</w:t>
      </w:r>
      <w:r>
        <w:rPr>
          <w:rFonts w:eastAsia="Amiri" w:cs="Amiri" w:ascii="Amiri" w:hAnsi="Amiri"/>
          <w:color w:val="111111"/>
          <w:sz w:val="28"/>
          <w:szCs w:val="28"/>
          <w:rtl w:val="true"/>
          <w:lang w:bidi="ar-SA"/>
        </w:rPr>
        <w:t>»</w:t>
      </w:r>
      <w:r>
        <w:rPr>
          <w:rStyle w:val="FootnoteAnchor"/>
          <w:rtl w:val="true"/>
        </w:rPr>
        <w:footnoteReference w:id="1051"/>
      </w:r>
      <w:r>
        <w:rPr>
          <w:rFonts w:ascii="Amiri" w:hAnsi="Amiri" w:eastAsia="Amiri" w:cs="Amiri"/>
          <w:color w:val="111111"/>
          <w:sz w:val="28"/>
          <w:sz w:val="28"/>
          <w:szCs w:val="28"/>
          <w:rtl w:val="true"/>
          <w:lang w:bidi="ar-SA"/>
        </w:rPr>
        <w:t>على محرميّة النقش</w:t>
      </w:r>
      <w:r>
        <w:rPr>
          <w:rStyle w:val="FootnoteAnchor"/>
          <w:rtl w:val="true"/>
        </w:rPr>
        <w:footnoteReference w:id="1052"/>
      </w:r>
      <w:r>
        <w:rPr>
          <w:rFonts w:ascii="Amiri" w:hAnsi="Amiri" w:eastAsia="Amiri" w:cs="Amiri"/>
          <w:color w:val="111111"/>
          <w:sz w:val="28"/>
          <w:sz w:val="28"/>
          <w:szCs w:val="28"/>
          <w:rtl w:val="true"/>
          <w:lang w:bidi="ar-SA"/>
        </w:rPr>
        <w:t xml:space="preserve">غير تامّ؛ لما في السند إشكال، لاشتراك أبي العبّاس، و لأنّ من المحتمل كونها زاجرة عن النسبة الباطلة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سليمان من غير النظر إلى حكم المنسوب، من الكراهة و الحرمة، كما في نسبة الولد إلى الحقّ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تصوير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بالاتفاق على ما يستظهر، خلافاً لجماعة ممّن لا يضرّ خلافهم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لعمري إنّ المسألة من حيث الروايات واضحة، اللّهمّ إلّا أن يقال بإطلاقات الأخبار العامّة</w:t>
      </w:r>
      <w:r>
        <w:rPr>
          <w:rStyle w:val="FootnoteAnchor"/>
          <w:rtl w:val="true"/>
        </w:rPr>
        <w:footnoteReference w:id="1053"/>
      </w:r>
      <w:r>
        <w:rPr>
          <w:rFonts w:ascii="Amiri" w:hAnsi="Amiri" w:eastAsia="Amiri" w:cs="Amiri"/>
          <w:color w:val="111111"/>
          <w:sz w:val="28"/>
          <w:sz w:val="28"/>
          <w:szCs w:val="28"/>
          <w:rtl w:val="true"/>
          <w:lang w:bidi="ar-SA"/>
        </w:rPr>
        <w:t>، و عدم دلالة الروايات الخاصّة</w:t>
      </w:r>
      <w:r>
        <w:rPr>
          <w:rStyle w:val="FootnoteAnchor"/>
          <w:rtl w:val="true"/>
        </w:rPr>
        <w:footnoteReference w:id="1054"/>
      </w:r>
      <w:r>
        <w:rPr>
          <w:rFonts w:ascii="Amiri" w:hAnsi="Amiri" w:eastAsia="Amiri" w:cs="Amiri"/>
          <w:color w:val="111111"/>
          <w:sz w:val="28"/>
          <w:sz w:val="28"/>
          <w:szCs w:val="28"/>
          <w:rtl w:val="true"/>
          <w:lang w:bidi="ar-SA"/>
        </w:rPr>
        <w:t>على جواز الإيجاد، فإنّ الوجود غير مبغوض، بخلاف الإيجاد، و ما عرفت من</w:t>
      </w:r>
    </w:p>
    <w:p>
      <w:pPr>
        <w:pStyle w:val="BookText"/>
        <w:rPr/>
      </w:pPr>
      <w:r>
        <w:rPr>
          <w:rFonts w:ascii="Amiri" w:hAnsi="Amiri" w:eastAsia="Amiri" w:cs="Amiri"/>
          <w:color w:val="111111"/>
          <w:sz w:val="28"/>
          <w:sz w:val="28"/>
          <w:szCs w:val="28"/>
          <w:rtl w:val="true"/>
          <w:lang w:bidi="ar-SA"/>
        </w:rPr>
        <w:t>الروايات المشار إليها في المسألة الثانية</w:t>
      </w:r>
      <w:r>
        <w:rPr>
          <w:rStyle w:val="FootnoteAnchor"/>
          <w:rtl w:val="true"/>
        </w:rPr>
        <w:footnoteReference w:id="1055"/>
      </w:r>
      <w:r>
        <w:rPr>
          <w:rFonts w:ascii="Amiri" w:hAnsi="Amiri" w:eastAsia="Amiri" w:cs="Amiri"/>
          <w:color w:val="111111"/>
          <w:sz w:val="28"/>
          <w:sz w:val="28"/>
          <w:szCs w:val="28"/>
          <w:rtl w:val="true"/>
          <w:lang w:bidi="ar-SA"/>
        </w:rPr>
        <w:t>، غير ناهض لتحريم النقش، و لا لتجويز تجسيم غير ذوات الأرواح، و تصويرها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قضيّة ذيل المآثير السابقة، و مقتضى التشبّه بالخالق، في ترسيم الأشجار، و بعض الأحجار؛ ممنوعية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قصّة النفخ ليست ظاهرة إلّا في الكناية عن تعذيب العامل، و أنّه تعالى كان إذا صنع هذه الأُمور يقدر على أن ينفخ فيها فانفخ فيها، لو كنت تزعم الأُلوهيّة، أو تدخل في حومتها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القول بممنوعيّة الأشجار، دون غيرها؛ لأنّها ذوات الأرواح، خصوصاً على رأي بعض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لك اختيار اختصاص الحكم بالحيوان، دون الإنسان و الملك و الجنّ؛ لانصرافه عنهم، كما في لباس المصلّي، و أعميّة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ذوات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مخصّص به،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ما يمكن أن يقال مورد الفتوى،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من رأسها محلّ إشكال إلّا في صورة واحدة، و هي ما لو عمل الصور للعبادة، كما كانوا يصنعون ذلك، فتدبّر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تلك الصورة يحرم عملها مطلقاً، و لا يجوز اقتناؤها، و يجب كسرها؛</w:t>
      </w:r>
    </w:p>
    <w:p>
      <w:pPr>
        <w:pStyle w:val="BookText"/>
        <w:rPr/>
      </w:pPr>
      <w:r>
        <w:rPr>
          <w:rFonts w:ascii="Amiri" w:hAnsi="Amiri" w:eastAsia="Amiri" w:cs="Amiri"/>
          <w:color w:val="111111"/>
          <w:sz w:val="28"/>
          <w:sz w:val="28"/>
          <w:szCs w:val="28"/>
          <w:rtl w:val="true"/>
          <w:lang w:bidi="ar-SA"/>
        </w:rPr>
        <w:t xml:space="preserve">و لا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أنحاء التصوير من النقش، و التخطيط، و التطريز، و الحكّ و غير ذلك، و يجوز العكس المتداول في زماننا بالآلات المتداولة، بل الظاهر أنّه ليس من التصوير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لاقتضاء الأدلّة السابقة في مشابهها بالقطع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المسألة احتمال آخر و هو حرمة عمل صورة الإنسان، دون سائر الحيوانات؛ لأنّها ليست ذوات الأرواح، و هو قضية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الصناعات المحلّلة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صنعة صنوف التصاوير ما لم يكن مثل الروحاني</w:t>
      </w:r>
      <w:r>
        <w:rPr>
          <w:rFonts w:eastAsia="Amiri" w:cs="Amiri" w:ascii="Amiri" w:hAnsi="Amiri"/>
          <w:color w:val="111111"/>
          <w:sz w:val="28"/>
          <w:szCs w:val="28"/>
          <w:rtl w:val="true"/>
          <w:lang w:bidi="ar-SA"/>
        </w:rPr>
        <w:t>»</w:t>
      </w:r>
      <w:r>
        <w:rPr>
          <w:rStyle w:val="FootnoteAnchor"/>
          <w:rtl w:val="true"/>
        </w:rPr>
        <w:footnoteReference w:id="1056"/>
      </w:r>
      <w:r>
        <w:rPr>
          <w:rFonts w:ascii="Amiri" w:hAnsi="Amiri" w:eastAsia="Amiri" w:cs="Amiri"/>
          <w:color w:val="111111"/>
          <w:sz w:val="28"/>
          <w:sz w:val="28"/>
          <w:szCs w:val="28"/>
          <w:rtl w:val="true"/>
          <w:lang w:bidi="ar-SA"/>
        </w:rPr>
        <w:t>فإنّها تقيّد إطلاقات الأدلّة المانعة بالمفهوم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الدليل بعد شمول الأدلّة إيّاها، نعم في العكس المتعارف في هذه الأزمنة، يشكل الحكم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صدق التصوير، بدعوى أنّه انعكاس الأنوار النقرويّة على الصفحة السوداء، و في العمل الثاني يظهر ما وقع على تلك الصفحة، فالقوّة في الانعكاس انفعاليّة، كما في انفعال النفس من الصور الخارجيّة مثلًا، و التصوير فعل النفس، فلا يصدق عليه، كما صرّح به الفقيه الأصفهانيّ رحمه اللَّه تعالى</w:t>
      </w:r>
      <w:r>
        <w:rPr>
          <w:rStyle w:val="FootnoteAnchor"/>
          <w:rtl w:val="true"/>
        </w:rPr>
        <w:footnoteReference w:id="1057"/>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انصراف الأدلّة عن مثل العمل الإبداعي، كما في</w:t>
      </w:r>
    </w:p>
    <w:p>
      <w:pPr>
        <w:pStyle w:val="BookText"/>
        <w:rPr/>
      </w:pPr>
      <w:r>
        <w:rPr>
          <w:rFonts w:ascii="Amiri" w:hAnsi="Amiri" w:eastAsia="Amiri" w:cs="Amiri"/>
          <w:color w:val="111111"/>
          <w:sz w:val="28"/>
          <w:sz w:val="28"/>
          <w:szCs w:val="28"/>
          <w:rtl w:val="true"/>
          <w:lang w:bidi="ar-SA"/>
        </w:rPr>
        <w:t xml:space="preserve">و كما يحرم عمل التصوير من ذوات الأرواح مجسمة، يحرم التكسّب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أخذ الأُجرة عليه، هذا كلّه في عمل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بيعها، و اقتناؤها و استعمالها، و النظر إليها، فالأقوى جواز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حتّى المجسّمات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المجسّمة الصادرة عن المكائن الحديثة،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التكسّب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 إشكال للنبويّ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w:t>
      </w:r>
      <w:r>
        <w:rPr>
          <w:rStyle w:val="FootnoteAnchor"/>
          <w:rtl w:val="true"/>
        </w:rPr>
        <w:footnoteReference w:id="1058"/>
      </w:r>
      <w:r>
        <w:rPr>
          <w:rFonts w:ascii="Amiri" w:hAnsi="Amiri" w:eastAsia="Amiri" w:cs="Amiri"/>
          <w:color w:val="111111"/>
          <w:sz w:val="28"/>
          <w:sz w:val="28"/>
          <w:szCs w:val="28"/>
          <w:rtl w:val="true"/>
          <w:lang w:bidi="ar-SA"/>
        </w:rPr>
        <w:t>و أنت خبير بقصوره عن إثبات الحرمة التكليفيّة لعنوان الكسب، فصيرورته أجيراً للعمل المذكور، أو بيعه ما صنعه، ليس من المحرّمات، نعم، يحرم ثمنه تكليفاً، و وضعاً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 بالترتّب في الأحكام الوضعيّة، و تصويره يطلب من كتبنا الأُصوليّة</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 ذلك</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المشهور، و قد حكي</w:t>
      </w:r>
      <w:r>
        <w:rPr>
          <w:rStyle w:val="FootnoteAnchor"/>
          <w:rtl w:val="true"/>
        </w:rPr>
        <w:footnoteReference w:id="1060"/>
      </w:r>
      <w:r>
        <w:rPr>
          <w:rFonts w:ascii="Amiri" w:hAnsi="Amiri" w:eastAsia="Amiri" w:cs="Amiri"/>
          <w:color w:val="111111"/>
          <w:sz w:val="28"/>
          <w:sz w:val="28"/>
          <w:szCs w:val="28"/>
          <w:rtl w:val="true"/>
          <w:lang w:bidi="ar-SA"/>
        </w:rPr>
        <w:t>عن الأردبيليّ تحريم الاقتناء</w:t>
      </w:r>
      <w:r>
        <w:rPr>
          <w:rStyle w:val="FootnoteAnchor"/>
          <w:rtl w:val="true"/>
        </w:rPr>
        <w:footnoteReference w:id="1061"/>
      </w:r>
      <w:r>
        <w:rPr>
          <w:rFonts w:ascii="Amiri" w:hAnsi="Amiri" w:eastAsia="Amiri" w:cs="Amiri"/>
          <w:color w:val="111111"/>
          <w:sz w:val="28"/>
          <w:sz w:val="28"/>
          <w:szCs w:val="28"/>
          <w:rtl w:val="true"/>
          <w:lang w:bidi="ar-SA"/>
        </w:rPr>
        <w:t>لأنّ العرف يجد لملازمة بين الوجود و الإيجاد، في المحبوبيّة و المبغوضيّة، فما كان</w:t>
      </w:r>
    </w:p>
    <w:p>
      <w:pPr>
        <w:pStyle w:val="BookText"/>
        <w:rPr/>
      </w:pPr>
      <w:r>
        <w:rPr>
          <w:rFonts w:ascii="Amiri" w:hAnsi="Amiri" w:eastAsia="Amiri" w:cs="Amiri"/>
          <w:color w:val="111111"/>
          <w:sz w:val="28"/>
          <w:sz w:val="28"/>
          <w:szCs w:val="28"/>
          <w:rtl w:val="true"/>
          <w:lang w:bidi="ar-SA"/>
        </w:rPr>
        <w:t>منها محرّماً إيجاده مبغوض وجوده، بل مبغوضيّة الوجود باعثة إلى النهي عن الإيجاد، و ما كان منها جائزاً وجوده جائز إيجاده، و مجرّد إمكان التفصيل غير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القرائن الصريحة، فإنّ الالتزام بحرمة عمل التصوير على الشمعة الزائلة فوراً، في غاية البعد، فما دام لم يكن الإيجاد متعقّباً بالوجود الباقي عرفاً، لا يكون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بوجود القرائن القطعيّة على التفصيل المذكور</w:t>
      </w:r>
      <w:r>
        <w:rPr>
          <w:rStyle w:val="FootnoteAnchor"/>
          <w:rtl w:val="true"/>
        </w:rPr>
        <w:footnoteReference w:id="1062"/>
      </w:r>
      <w:r>
        <w:rPr>
          <w:rFonts w:ascii="Amiri" w:hAnsi="Amiri" w:eastAsia="Amiri" w:cs="Amiri"/>
          <w:color w:val="111111"/>
          <w:sz w:val="28"/>
          <w:sz w:val="28"/>
          <w:szCs w:val="28"/>
          <w:rtl w:val="true"/>
          <w:lang w:bidi="ar-SA"/>
        </w:rPr>
        <w:t>، و لكنّها غير تامّة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الإيجاد في التماثيل و الصور حتّى المجسّمة، غير ممنوع، ممّا اتفقت الأخبار المذكورة في كتاب الصلاة على جواز الاقتناء</w:t>
      </w:r>
      <w:r>
        <w:rPr>
          <w:rStyle w:val="FootnoteAnchor"/>
          <w:rtl w:val="true"/>
        </w:rPr>
        <w:footnoteReference w:id="1063"/>
      </w:r>
      <w:r>
        <w:rPr>
          <w:rFonts w:ascii="Amiri" w:hAnsi="Amiri" w:eastAsia="Amiri" w:cs="Amiri"/>
          <w:color w:val="111111"/>
          <w:sz w:val="28"/>
          <w:sz w:val="28"/>
          <w:szCs w:val="28"/>
          <w:rtl w:val="true"/>
          <w:lang w:bidi="ar-SA"/>
        </w:rPr>
        <w:t>بالضرورة؛ فيعلم أنّ ما هو المنهي في المآثير الزاجرة، يختصّ بما هو المبغوض بقاءً، و هي الصور المصنوعة للاحترام و العبادة، و حفظاً للآثار القديمة، و التفصيل يطلب من كتابنا الكبير</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يكره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اقتناؤها و إمساكها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للنصوص الكثيرة</w:t>
      </w:r>
      <w:r>
        <w:rPr>
          <w:rStyle w:val="FootnoteAnchor"/>
          <w:rtl w:val="true"/>
        </w:rPr>
        <w:footnoteReference w:id="1065"/>
      </w:r>
      <w:r>
        <w:rPr>
          <w:rFonts w:ascii="Amiri" w:hAnsi="Amiri" w:eastAsia="Amiri" w:cs="Amiri"/>
          <w:color w:val="111111"/>
          <w:sz w:val="28"/>
          <w:sz w:val="28"/>
          <w:szCs w:val="28"/>
          <w:rtl w:val="true"/>
          <w:lang w:bidi="ar-SA"/>
        </w:rPr>
        <w:t>، و ربّما يمكن دعوى استحباب كسرها، للأمر به في النصوص</w:t>
      </w:r>
      <w:r>
        <w:rPr>
          <w:rStyle w:val="FootnoteAnchor"/>
          <w:rtl w:val="true"/>
        </w:rPr>
        <w:footnoteReference w:id="1066"/>
      </w:r>
      <w:r>
        <w:rPr>
          <w:rFonts w:ascii="Amiri" w:hAnsi="Amiri" w:eastAsia="Amiri" w:cs="Amiri"/>
          <w:color w:val="111111"/>
          <w:sz w:val="28"/>
          <w:sz w:val="28"/>
          <w:szCs w:val="28"/>
          <w:rtl w:val="true"/>
          <w:lang w:bidi="ar-SA"/>
        </w:rPr>
        <w:t>، و تزول الكراهة بالتوهين، و التفريش، و الوطي بمقتضى بعض الروايات</w:t>
      </w:r>
      <w:r>
        <w:rPr>
          <w:rStyle w:val="FootnoteAnchor"/>
          <w:rtl w:val="true"/>
        </w:rPr>
        <w:footnoteReference w:id="1067"/>
      </w:r>
      <w:r>
        <w:rPr>
          <w:rFonts w:ascii="Amiri" w:hAnsi="Amiri" w:eastAsia="Amiri" w:cs="Amiri"/>
          <w:color w:val="111111"/>
          <w:sz w:val="28"/>
          <w:sz w:val="28"/>
          <w:szCs w:val="28"/>
          <w:rtl w:val="true"/>
          <w:lang w:bidi="ar-SA"/>
        </w:rPr>
        <w:t>، بل الظاهر استحباب هتكها في جميع الأماكن، و السرّ في ذلك كلّه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النقوش و المجسّمات تشابه ما كانوا يعبدونه، و اللَّه العالم</w:t>
      </w:r>
      <w:r>
        <w:rPr>
          <w:rFonts w:eastAsia="Amiri" w:cs="Amiri" w:ascii="Amiri" w:hAnsi="Amiri"/>
          <w:color w:val="111111"/>
          <w:sz w:val="28"/>
          <w:szCs w:val="28"/>
          <w:rtl w:val="true"/>
          <w:lang w:bidi="ar-SA"/>
        </w:rPr>
        <w:t>.</w:t>
      </w:r>
      <w:bookmarkStart w:id="253" w:name="pg12366_123239"/>
    </w:p>
    <w:p>
      <w:pPr>
        <w:pStyle w:val="Heading4"/>
        <w:numPr>
          <w:ilvl w:val="3"/>
          <w:numId w:val="1"/>
        </w:numPr>
        <w:rPr/>
      </w:pPr>
      <w:bookmarkStart w:id="254" w:name="__RefHeading___Toc8896099_417432637"/>
      <w:bookmarkStart w:id="255" w:name="_Toc93"/>
      <w:bookmarkEnd w:id="253"/>
      <w:bookmarkEnd w:id="254"/>
      <w:r>
        <w:rPr>
          <w:rtl w:val="true"/>
        </w:rPr>
        <w:t>[</w:t>
      </w:r>
      <w:r>
        <w:rPr>
          <w:rtl w:val="true"/>
        </w:rPr>
        <w:t xml:space="preserve">مسألة </w:t>
      </w:r>
      <w:r>
        <w:rPr/>
        <w:t>13</w:t>
      </w:r>
      <w:r>
        <w:rPr>
          <w:rtl w:val="true"/>
        </w:rPr>
        <w:t xml:space="preserve">: </w:t>
      </w:r>
      <w:r>
        <w:rPr>
          <w:rtl w:val="true"/>
        </w:rPr>
        <w:t>الغناء حرام فعله</w:t>
      </w:r>
      <w:r>
        <w:rPr>
          <w:rtl w:val="true"/>
        </w:rPr>
        <w:t>]</w:t>
      </w:r>
      <w:bookmarkEnd w:id="25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حرام 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إجماعاً و اتفاقاً، و لا مخالف في حرمته إجمالًا، و ما نسب إلى العلمين السبزواريّ</w:t>
      </w:r>
      <w:r>
        <w:rPr>
          <w:rStyle w:val="FootnoteAnchor"/>
          <w:rtl w:val="true"/>
        </w:rPr>
        <w:footnoteReference w:id="1068"/>
      </w:r>
      <w:r>
        <w:rPr>
          <w:rFonts w:ascii="Amiri" w:hAnsi="Amiri" w:eastAsia="Amiri" w:cs="Amiri"/>
          <w:color w:val="111111"/>
          <w:sz w:val="28"/>
          <w:sz w:val="28"/>
          <w:szCs w:val="28"/>
          <w:rtl w:val="true"/>
          <w:lang w:bidi="ar-SA"/>
        </w:rPr>
        <w:t>و الكاشانيّ</w:t>
      </w:r>
      <w:r>
        <w:rPr>
          <w:rStyle w:val="FootnoteAnchor"/>
          <w:rtl w:val="true"/>
        </w:rPr>
        <w:footnoteReference w:id="1069"/>
      </w:r>
      <w:r>
        <w:rPr>
          <w:rFonts w:ascii="Amiri" w:hAnsi="Amiri" w:eastAsia="Amiri" w:cs="Amiri"/>
          <w:color w:val="111111"/>
          <w:sz w:val="28"/>
          <w:sz w:val="28"/>
          <w:szCs w:val="28"/>
          <w:rtl w:val="true"/>
          <w:lang w:bidi="ar-SA"/>
        </w:rPr>
        <w:t>، و تبعهما النراقيّ</w:t>
      </w:r>
      <w:r>
        <w:rPr>
          <w:rStyle w:val="FootnoteAnchor"/>
          <w:rtl w:val="true"/>
        </w:rPr>
        <w:footnoteReference w:id="1070"/>
      </w:r>
      <w:r>
        <w:rPr>
          <w:rFonts w:ascii="Amiri" w:hAnsi="Amiri" w:eastAsia="Amiri" w:cs="Amiri"/>
          <w:color w:val="111111"/>
          <w:sz w:val="28"/>
          <w:sz w:val="28"/>
          <w:szCs w:val="28"/>
          <w:rtl w:val="true"/>
          <w:lang w:bidi="ar-SA"/>
        </w:rPr>
        <w:t>، لا يستلزم إشكالًا، بعد ظهور جملاتهم في التزامهم بالحرمة في المجلس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أصل الحكم آيات</w:t>
      </w:r>
      <w:r>
        <w:rPr>
          <w:rStyle w:val="FootnoteAnchor"/>
          <w:rtl w:val="true"/>
        </w:rPr>
        <w:footnoteReference w:id="1071"/>
      </w:r>
      <w:r>
        <w:rPr>
          <w:rFonts w:ascii="Amiri" w:hAnsi="Amiri" w:eastAsia="Amiri" w:cs="Amiri"/>
          <w:color w:val="111111"/>
          <w:sz w:val="28"/>
          <w:sz w:val="28"/>
          <w:szCs w:val="28"/>
          <w:rtl w:val="true"/>
          <w:lang w:bidi="ar-SA"/>
        </w:rPr>
        <w:t>، و روايات وردت في ذيلها</w:t>
      </w:r>
      <w:r>
        <w:rPr>
          <w:rStyle w:val="FootnoteAnchor"/>
          <w:rtl w:val="true"/>
        </w:rPr>
        <w:footnoteReference w:id="1072"/>
      </w:r>
      <w:r>
        <w:rPr>
          <w:rFonts w:ascii="Amiri" w:hAnsi="Amiri" w:eastAsia="Amiri" w:cs="Amiri"/>
          <w:color w:val="111111"/>
          <w:sz w:val="28"/>
          <w:sz w:val="28"/>
          <w:szCs w:val="28"/>
          <w:rtl w:val="true"/>
          <w:lang w:bidi="ar-SA"/>
        </w:rPr>
        <w:t>، و طوائف اخرى منها وردت مستقلّة</w:t>
      </w:r>
      <w:r>
        <w:rPr>
          <w:rStyle w:val="FootnoteAnchor"/>
          <w:rtl w:val="true"/>
        </w:rPr>
        <w:footnoteReference w:id="1073"/>
      </w:r>
      <w:r>
        <w:rPr>
          <w:rFonts w:ascii="Amiri" w:hAnsi="Amiri" w:eastAsia="Amiri" w:cs="Amiri"/>
          <w:color w:val="111111"/>
          <w:sz w:val="28"/>
          <w:sz w:val="28"/>
          <w:szCs w:val="28"/>
          <w:rtl w:val="true"/>
          <w:lang w:bidi="ar-SA"/>
        </w:rPr>
        <w:t>، و لا شبهة في ذلك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البحث في إطلاق الحكم، و ما يمكن أن يكون سنداً له قوله تعالى فَاجْتَنِبُوا الرِّجْسَ مِنَ الْأَوْثانِ وَ اجْتَنِبُوا قَوْلَ الزُّورِ</w:t>
      </w:r>
      <w:r>
        <w:rPr>
          <w:rStyle w:val="FootnoteAnchor"/>
          <w:rtl w:val="true"/>
        </w:rPr>
        <w:footnoteReference w:id="1074"/>
      </w:r>
      <w:r>
        <w:rPr>
          <w:rFonts w:ascii="Amiri" w:hAnsi="Amiri" w:eastAsia="Amiri" w:cs="Amiri"/>
          <w:color w:val="111111"/>
          <w:sz w:val="28"/>
          <w:sz w:val="28"/>
          <w:szCs w:val="28"/>
          <w:rtl w:val="true"/>
          <w:lang w:bidi="ar-SA"/>
        </w:rPr>
        <w:t>و قد فسّر الثاني بالغناء</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يَشْتَرِي لَهْوَ الْحَدِيثِ لِيُضِلَّ عَنْ سَبِيلِ اللَّهِ بِغَيْرِ عِلْمٍ وَ يَتَّخِذَها هُزُواً أُولئِكَ لَهُمْ عَذابٌ مُهِينٌ</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 وَ الَّذِينَ لا يَشْهَدُونَ الزُّورَ</w:t>
      </w:r>
      <w:r>
        <w:rPr>
          <w:rStyle w:val="FootnoteAnchor"/>
          <w:rtl w:val="true"/>
        </w:rPr>
        <w:footnoteReference w:id="1077"/>
      </w:r>
      <w:r>
        <w:rPr>
          <w:rFonts w:ascii="Amiri" w:hAnsi="Amiri" w:eastAsia="Amiri" w:cs="Amiri"/>
          <w:color w:val="111111"/>
          <w:sz w:val="28"/>
          <w:sz w:val="28"/>
          <w:szCs w:val="28"/>
          <w:rtl w:val="true"/>
          <w:lang w:bidi="ar-SA"/>
        </w:rPr>
        <w:t>فإنّ الغناء على ما في روايات من لهو الحديث</w:t>
      </w:r>
      <w:r>
        <w:rPr>
          <w:rStyle w:val="FootnoteAnchor"/>
          <w:rtl w:val="true"/>
        </w:rPr>
        <w:footnoteReference w:id="1078"/>
      </w:r>
      <w:r>
        <w:rPr>
          <w:rFonts w:ascii="IRNazanin" w:hAnsi="IRNazanin" w:eastAsia="IRNazanin"/>
          <w:color w:val="111111"/>
          <w:sz w:val="28"/>
          <w:sz w:val="28"/>
          <w:szCs w:val="28"/>
          <w:rtl w:val="true"/>
          <w:lang w:bidi="fa-IR"/>
        </w:rPr>
        <w:t>، و الزور هو الغناء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ماهيّة الغناء ليست قول الزور، فهو من مصاديقه باعتبار اشتماله على الزور الذي هو الباطل، فما هو الواجب اجتنابه ما لا يمكن الالتزام به، و هو مطلق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الكبائر و لا يلتزم به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دلالته على الحرمة، خصوصاً حرمة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الروايات الواردة في ذيل الآيات، بل و غيرها بكثرتها البالغة حدّ التواتر اللغوي، غير نقيّة السند إلّا ما شذّ منها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يظهر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الغناء بمفهومه الوسيع ممّا لا دليل على حرمته، و ما هو المحرّم نوع منه، و قد تعرّضنا للمسألة في كتابنا الكبير</w:t>
      </w:r>
      <w:r>
        <w:rPr>
          <w:rStyle w:val="FootnoteAnchor"/>
          <w:rtl w:val="true"/>
        </w:rPr>
        <w:footnoteReference w:id="1079"/>
      </w:r>
      <w:r>
        <w:rPr>
          <w:rFonts w:ascii="Amiri" w:hAnsi="Amiri" w:eastAsia="Amiri" w:cs="Amiri"/>
          <w:color w:val="111111"/>
          <w:sz w:val="28"/>
          <w:sz w:val="28"/>
          <w:szCs w:val="28"/>
          <w:rtl w:val="true"/>
          <w:lang w:bidi="ar-SA"/>
        </w:rPr>
        <w:t>، و هذا غير ما صدر عن السابقين، فإنّي أقول بحرمته و لو لم يكن معه المحرّمات</w:t>
      </w:r>
    </w:p>
    <w:p>
      <w:pPr>
        <w:pStyle w:val="BookText"/>
        <w:rPr/>
      </w:pPr>
      <w:r>
        <w:rPr>
          <w:rFonts w:ascii="Amiri" w:hAnsi="Amiri" w:eastAsia="Amiri" w:cs="Amiri"/>
          <w:color w:val="111111"/>
          <w:sz w:val="28"/>
          <w:sz w:val="28"/>
          <w:szCs w:val="28"/>
          <w:rtl w:val="true"/>
          <w:lang w:bidi="ar-SA"/>
        </w:rPr>
        <w:t>الأُخر، و لكنّه لا بدّ من أن يكون مجلس فيه الغناء، و معدّاً للّهو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 مضافاً إلى قصور الأدلّة عن إثبات حرمة مطلق الغناء، و احتمال كون المآثير ناظرة إلى المجالس المتعارفة في عصر الأخبار و الأحاديث، ما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الغناء مجلس التغنّي، و ما في جملة من الروايات، كرواية ابن أبي عمير، عن مهران بن محمّد، عن الحسن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 مجلس لا ينظر اللَّه إلى أهله، و هو ممّا قال اللَّه عزّ و جلّ وَ مِنَ النَّاسِ مَنْ يَشْتَرِي لَهْوَ الْحَدِيثِ لِيُضِلَّ عَنْ سَبِيلِ اللَّهِ</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1"/>
      </w:r>
      <w:r>
        <w:rPr>
          <w:rFonts w:ascii="Amiri" w:hAnsi="Amiri" w:eastAsia="Amiri" w:cs="Amiri"/>
          <w:color w:val="111111"/>
          <w:sz w:val="28"/>
          <w:sz w:val="28"/>
          <w:szCs w:val="28"/>
          <w:rtl w:val="true"/>
          <w:lang w:bidi="ar-SA"/>
        </w:rPr>
        <w:t>و هذه الرواية لها الحكومة على المطلقات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 الغناء لا تؤمن فيه الفجيعة</w:t>
      </w:r>
      <w:r>
        <w:rPr>
          <w:rFonts w:eastAsia="Amiri" w:cs="Amiri" w:ascii="Amiri" w:hAnsi="Amiri"/>
          <w:color w:val="111111"/>
          <w:sz w:val="28"/>
          <w:szCs w:val="28"/>
          <w:rtl w:val="true"/>
          <w:lang w:bidi="ar-SA"/>
        </w:rPr>
        <w:t>»</w:t>
      </w:r>
      <w:r>
        <w:rPr>
          <w:rStyle w:val="FootnoteAnchor"/>
          <w:rtl w:val="true"/>
        </w:rPr>
        <w:footnoteReference w:id="108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رواية ابن محمّد المدنيّ،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الغناء و أنا حاضر،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تدخلوا بيوتاً اللَّه معرضٌ عن أهلها</w:t>
      </w:r>
      <w:r>
        <w:rPr>
          <w:rFonts w:eastAsia="Amiri" w:cs="Amiri" w:ascii="Amiri" w:hAnsi="Amiri"/>
          <w:color w:val="111111"/>
          <w:sz w:val="28"/>
          <w:szCs w:val="28"/>
          <w:rtl w:val="true"/>
          <w:lang w:bidi="ar-SA"/>
        </w:rPr>
        <w:t>»</w:t>
      </w:r>
      <w:r>
        <w:rPr>
          <w:rStyle w:val="FootnoteAnchor"/>
          <w:rtl w:val="true"/>
        </w:rPr>
        <w:footnoteReference w:id="1083"/>
      </w:r>
      <w:r>
        <w:rPr>
          <w:rFonts w:ascii="Amiri" w:hAnsi="Amiri" w:eastAsia="Amiri" w:cs="Amiri"/>
          <w:color w:val="111111"/>
          <w:sz w:val="28"/>
          <w:sz w:val="28"/>
          <w:szCs w:val="28"/>
          <w:rtl w:val="true"/>
          <w:lang w:bidi="ar-SA"/>
        </w:rPr>
        <w:t>و رواية</w:t>
      </w:r>
    </w:p>
    <w:p>
      <w:pPr>
        <w:pStyle w:val="BookText"/>
        <w:rPr/>
      </w:pPr>
      <w:r>
        <w:rPr>
          <w:rFonts w:ascii="Amiri" w:hAnsi="Amiri" w:eastAsia="Amiri" w:cs="Amiri"/>
          <w:color w:val="111111"/>
          <w:sz w:val="28"/>
          <w:sz w:val="28"/>
          <w:szCs w:val="28"/>
          <w:rtl w:val="true"/>
          <w:lang w:bidi="ar-SA"/>
        </w:rPr>
        <w:t xml:space="preserve">عليّ بن جعفر في كتابه،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يتعمّد الغناء يجلس إليه،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08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التدبّر في المسألة يشكل حكمه، و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الغناء أصعب من موضوعه و ما ترى من إرسال حرمته من غير التدبّر في السند، من القصور في الاجتهاد ضرورة أنّ ما أوعد اللَّه عليه النار</w:t>
      </w:r>
      <w:r>
        <w:rPr>
          <w:rStyle w:val="FootnoteAnchor"/>
          <w:rtl w:val="true"/>
        </w:rPr>
        <w:footnoteReference w:id="1085"/>
      </w:r>
      <w:r>
        <w:rPr>
          <w:rFonts w:ascii="Amiri" w:hAnsi="Amiri" w:eastAsia="Amiri" w:cs="Amiri"/>
          <w:color w:val="111111"/>
          <w:sz w:val="28"/>
          <w:sz w:val="28"/>
          <w:szCs w:val="28"/>
          <w:rtl w:val="true"/>
          <w:lang w:bidi="ar-SA"/>
        </w:rPr>
        <w:t>كيف يرخّصه في الأعراس؟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هذا إلّا الاستثناء المستهجن؟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يشهد على ما ذكرناه، بل يدلّ عليه، صحيحة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 المغنّية التي تزفّ العرائس ليس به بأس، و ليست بالتي تدخل عليها الرجال</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رواية ابن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الغناء، هل يصلح في الفطر و الأضحى و الفرح؟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ما لم يعص به</w:t>
      </w:r>
      <w:r>
        <w:rPr>
          <w:rFonts w:eastAsia="Amiri" w:cs="Amiri" w:ascii="Amiri" w:hAnsi="Amiri"/>
          <w:color w:val="111111"/>
          <w:sz w:val="28"/>
          <w:szCs w:val="28"/>
          <w:rtl w:val="true"/>
          <w:lang w:bidi="ar-SA"/>
        </w:rPr>
        <w:t>»</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و غيرها</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هذه الروايات كالنصّ في نفي الحرمة عن بعض الأغاني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في المغنّيات و المغنّي</w:t>
      </w:r>
      <w:r>
        <w:rPr>
          <w:rStyle w:val="FootnoteAnchor"/>
          <w:rtl w:val="true"/>
        </w:rPr>
        <w:footnoteReference w:id="1089"/>
      </w:r>
      <w:r>
        <w:rPr>
          <w:rFonts w:ascii="Amiri" w:hAnsi="Amiri" w:eastAsia="Amiri" w:cs="Amiri"/>
          <w:color w:val="111111"/>
          <w:sz w:val="28"/>
          <w:sz w:val="28"/>
          <w:szCs w:val="28"/>
          <w:rtl w:val="true"/>
          <w:lang w:bidi="ar-SA"/>
        </w:rPr>
        <w:t xml:space="preserve">، لا يدلّ على حرمة الغناء مرّة واحدة؛ لأنّ الموضوع أخصّ، بل فيه إشعار باختصاص الحرمة ببعض الفروض، و يشهد للاختصاص مرسلة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جارية لها صوت،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عليك لو اشتريتها فذكّرتك الجنّة</w:t>
      </w:r>
      <w:r>
        <w:rPr>
          <w:rFonts w:eastAsia="Amiri" w:cs="Amiri" w:ascii="Amiri" w:hAnsi="Amiri"/>
          <w:color w:val="111111"/>
          <w:sz w:val="28"/>
          <w:szCs w:val="28"/>
          <w:rtl w:val="true"/>
          <w:lang w:bidi="ar-SA"/>
        </w:rPr>
        <w:t>»</w:t>
      </w:r>
      <w:r>
        <w:rPr>
          <w:rStyle w:val="FootnoteAnchor"/>
          <w:rtl w:val="true"/>
        </w:rPr>
        <w:footnoteReference w:id="1090"/>
      </w:r>
      <w:r>
        <w:rPr>
          <w:rFonts w:ascii="Amiri" w:hAnsi="Amiri" w:eastAsia="Amiri" w:cs="Amiri"/>
          <w:color w:val="111111"/>
          <w:sz w:val="28"/>
          <w:sz w:val="28"/>
          <w:szCs w:val="28"/>
          <w:rtl w:val="true"/>
          <w:lang w:bidi="ar-SA"/>
        </w:rPr>
        <w:t>و في الأحاديث ما يساعد هذه المقالة كثير</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الجمع بين الأخبار في نهاية الإشكال، بل قضيّة ما تحرّر منّا في محلّه، حمل المطلق على المقيّد في المتوافقين أيضاً، لامتناع تعلّق الإرادة الجدّيّة بهما؛ لأنّ المقيّد هو المطلق مع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 حصول الإرادتين الجدّيّتين على العنوانين من كونهما متباينين، أو عموماً من وجه، فإنّهما في عالم التشريع متباينان، و تصادقهما خارج من محيط التقنين</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الأخبار تجمعها نكتة اخرى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الغناء بحسب المفهوم اللغوي عامّ، و هو ليس موضوعاً في الأدلّة، بل الموضوع الصوت المطرب الذي يأتي تفصيله</w:t>
      </w:r>
      <w:r>
        <w:rPr>
          <w:rStyle w:val="FootnoteAnchor"/>
          <w:rtl w:val="true"/>
        </w:rPr>
        <w:footnoteReference w:id="1092"/>
      </w:r>
      <w:r>
        <w:rPr>
          <w:rFonts w:ascii="Amiri" w:hAnsi="Amiri" w:eastAsia="Amiri" w:cs="Amiri"/>
          <w:color w:val="111111"/>
          <w:sz w:val="28"/>
          <w:sz w:val="28"/>
          <w:szCs w:val="28"/>
          <w:rtl w:val="true"/>
          <w:lang w:bidi="ar-SA"/>
        </w:rPr>
        <w:t xml:space="preserve">، و هو المعنى الأخصّ العرفي، و لكنّه غير تامّ، ضرورة أنّه يستلزم القول بانصراف الأدلّة إلى الحصّة الخاصّة، أو الحقيقة الثانويّة، كما قيل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صحيح، مع أنّه به لا يجمع بين شتات المآثير،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ذهب إليه الجماعة من اختصاص الحرمة بالاقتران بالمعاصي</w:t>
      </w:r>
      <w:r>
        <w:rPr>
          <w:rStyle w:val="FootnoteAnchor"/>
          <w:rtl w:val="true"/>
        </w:rPr>
        <w:footnoteReference w:id="1093"/>
      </w:r>
      <w:r>
        <w:rPr>
          <w:rFonts w:ascii="Amiri" w:hAnsi="Amiri" w:eastAsia="Amiri" w:cs="Amiri"/>
          <w:color w:val="111111"/>
          <w:sz w:val="28"/>
          <w:sz w:val="28"/>
          <w:szCs w:val="28"/>
          <w:rtl w:val="true"/>
          <w:lang w:bidi="ar-SA"/>
        </w:rPr>
        <w:t xml:space="preserve">، غير تامّ؛ لعدم تماميّة سنده، و ما ادّعي عليه الإجماع بقسميه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الشهادات</w:t>
      </w:r>
      <w:r>
        <w:rPr>
          <w:rStyle w:val="FootnoteAnchor"/>
          <w:rtl w:val="true"/>
        </w:rPr>
        <w:footnoteReference w:id="1094"/>
      </w:r>
      <w:r>
        <w:rPr>
          <w:rFonts w:ascii="Amiri" w:hAnsi="Amiri" w:eastAsia="Amiri" w:cs="Amiri"/>
          <w:color w:val="111111"/>
          <w:sz w:val="28"/>
          <w:sz w:val="28"/>
          <w:szCs w:val="28"/>
          <w:rtl w:val="true"/>
          <w:lang w:bidi="ar-SA"/>
        </w:rPr>
        <w:t>، غير مرضيّ، فلا يترك الاحتياط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على حرمة الغناء مطلقاً بحرمة الاستماع و لو مرّة واحدة، للتلازم العرفي</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الإيجاد ملازم عرفاً لحرمة الاستماع؛ لأنّه الأثر الواضح منه و لا عكس، هذا مع أنّ المحرّم من الاستماع كما يأتي، ليس إلّا</w:t>
      </w:r>
    </w:p>
    <w:p>
      <w:pPr>
        <w:pStyle w:val="BookText"/>
        <w:rPr/>
      </w:pPr>
      <w:r>
        <w:rPr>
          <w:rFonts w:ascii="Amiri" w:hAnsi="Amiri" w:eastAsia="Amiri" w:cs="Amiri"/>
          <w:color w:val="111111"/>
          <w:sz w:val="28"/>
          <w:sz w:val="28"/>
          <w:szCs w:val="28"/>
          <w:rtl w:val="true"/>
          <w:lang w:bidi="ar-SA"/>
        </w:rPr>
        <w:t xml:space="preserve">و سماعه،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الاستماع إلى الغناء المحرّم، و عليه الشاهد في مآثيره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اتفاقاً، و لم يعهد المفصّل و الذي يقول بحرمة نوع منه يحرم استماعه، و لا يقول بحرمة الاستماع مطلقاً؛ للتلازم عرفاً و ملاكاً و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إطلاق الأمر بالاجتناب، بل إطلاق ما يدلّ على حرمته، فإنّ الغناء إيجاداً و استماعاً من المطلوب للنفوس، فما أوعد اللَّه عليه النار هو الغناء، و إطلاقه يشمل إيجاده و استماعه، و لا يقاس بالكذب و نحوه، لعدم التلذّذ في سماعه بخلاف الغيبة؛ قوله تعالى وَ الَّذِينَ لا يَشْهَدُونَ الزُّورَ</w:t>
      </w:r>
      <w:r>
        <w:rPr>
          <w:rStyle w:val="FootnoteAnchor"/>
          <w:rtl w:val="true"/>
        </w:rPr>
        <w:footnoteReference w:id="1096"/>
      </w:r>
      <w:r>
        <w:rPr>
          <w:rFonts w:ascii="Amiri" w:hAnsi="Amiri" w:eastAsia="Amiri" w:cs="Amiri"/>
          <w:color w:val="111111"/>
          <w:sz w:val="28"/>
          <w:sz w:val="28"/>
          <w:szCs w:val="28"/>
          <w:rtl w:val="true"/>
          <w:lang w:bidi="ar-SA"/>
        </w:rPr>
        <w:t>فإنّه ظاهر في ذمّ الاستماع، و بناء على الملازمة العرفيّة يعرف مذموميّة الإيجاد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عرفت من قصوره عن الدلالة على الحرمة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إدراج قول المستمع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الزور، كما في معتبرة حمّاد ابن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الزور،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قول الرجل للذي يغنّي أحسنت</w:t>
      </w:r>
      <w:r>
        <w:rPr>
          <w:rFonts w:eastAsia="Amiri" w:cs="Amiri" w:ascii="Amiri" w:hAnsi="Amiri"/>
          <w:color w:val="111111"/>
          <w:sz w:val="28"/>
          <w:szCs w:val="28"/>
          <w:rtl w:val="true"/>
          <w:lang w:bidi="ar-SA"/>
        </w:rPr>
        <w:t>»</w:t>
      </w:r>
      <w:r>
        <w:rPr>
          <w:rStyle w:val="FootnoteAnchor"/>
          <w:rtl w:val="true"/>
        </w:rPr>
        <w:footnoteReference w:id="1097"/>
      </w:r>
      <w:r>
        <w:rPr>
          <w:rFonts w:ascii="Amiri" w:hAnsi="Amiri" w:eastAsia="Amiri" w:cs="Amiri"/>
          <w:color w:val="111111"/>
          <w:sz w:val="28"/>
          <w:sz w:val="28"/>
          <w:szCs w:val="28"/>
          <w:rtl w:val="true"/>
          <w:lang w:bidi="ar-SA"/>
        </w:rPr>
        <w:t>يورث وهن الهيئة في اللزوم، خصوصاً بعد</w:t>
      </w:r>
    </w:p>
    <w:p>
      <w:pPr>
        <w:pStyle w:val="BookText"/>
        <w:rPr/>
      </w:pPr>
      <w:r>
        <w:rPr>
          <w:rFonts w:ascii="Amiri" w:hAnsi="Amiri" w:eastAsia="Amiri" w:cs="Amiri"/>
          <w:color w:val="111111"/>
          <w:sz w:val="28"/>
          <w:sz w:val="28"/>
          <w:szCs w:val="28"/>
          <w:rtl w:val="true"/>
          <w:lang w:bidi="ar-SA"/>
        </w:rPr>
        <w:t>اقترانه بالهيئة السابقة الظاهرة في الإرشاد، بل لا بدّ من الالتزام بكون الهيئة إرشاداً إلى أمر آخر، و إلّا يلزم وجوب الاجتناب عن قول الزور، لا حرمة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يدلّ على الحكم المذكور، معتبرة عنبسة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استماع اللهو و الغناء ينبت النفاق، كما ينبت الماء الزرع</w:t>
      </w:r>
      <w:r>
        <w:rPr>
          <w:rFonts w:eastAsia="Amiri" w:cs="Amiri" w:ascii="Amiri" w:hAnsi="Amiri"/>
          <w:color w:val="111111"/>
          <w:sz w:val="28"/>
          <w:szCs w:val="28"/>
          <w:rtl w:val="true"/>
          <w:lang w:bidi="ar-SA"/>
        </w:rPr>
        <w:t>»</w:t>
      </w:r>
      <w:r>
        <w:rPr>
          <w:rStyle w:val="FootnoteAnchor"/>
          <w:rtl w:val="true"/>
        </w:rPr>
        <w:footnoteReference w:id="1098"/>
      </w:r>
      <w:r>
        <w:rPr>
          <w:rFonts w:ascii="Amiri" w:hAnsi="Amiri" w:eastAsia="Amiri" w:cs="Amiri"/>
          <w:color w:val="111111"/>
          <w:sz w:val="28"/>
          <w:sz w:val="28"/>
          <w:szCs w:val="28"/>
          <w:rtl w:val="true"/>
          <w:lang w:bidi="ar-SA"/>
        </w:rPr>
        <w:t>و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عاصم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أنّه قد عرف الموضع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كنت مررت بفلان، فدخلت إلى داره، و نظرت إلى جواريه،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مجلس لا ينظر اللَّه عزّ و جلّ إلى أهله، أمنت اللَّه على أهلك و مالك</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تشهد على ما قوّيناه حسب الناظر القاصر، بناء على ارتباطها بهذه المسألة، و كونها كناية عن مجلس الغناء</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لعمري إنّ الإشكال في حرمة الاستماع على الإطلاق حسب الصناعة، قويّ، و لكنّ العرف لا يقبل التفكيك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التكسّب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التكسّب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للنصّ الخاصّ في المغنّي و المغنّية</w:t>
      </w:r>
      <w:r>
        <w:rPr>
          <w:rStyle w:val="FootnoteAnchor"/>
          <w:rtl w:val="true"/>
        </w:rPr>
        <w:footnoteReference w:id="110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إذا حرّم شيئاً حرّم ثمنه</w:t>
      </w:r>
      <w:r>
        <w:rPr>
          <w:rFonts w:eastAsia="Amiri" w:cs="Amiri" w:ascii="Amiri" w:hAnsi="Amiri"/>
          <w:color w:val="111111"/>
          <w:sz w:val="28"/>
          <w:szCs w:val="28"/>
          <w:rtl w:val="true"/>
          <w:lang w:bidi="ar-SA"/>
        </w:rPr>
        <w:t>»</w:t>
      </w:r>
      <w:r>
        <w:rPr>
          <w:rStyle w:val="FootnoteAnchor"/>
          <w:rtl w:val="true"/>
        </w:rPr>
        <w:footnoteReference w:id="1101"/>
      </w:r>
      <w:r>
        <w:rPr>
          <w:rFonts w:ascii="Amiri" w:hAnsi="Amiri" w:eastAsia="Amiri" w:cs="Amiri"/>
          <w:color w:val="111111"/>
          <w:sz w:val="28"/>
          <w:sz w:val="28"/>
          <w:szCs w:val="28"/>
          <w:rtl w:val="true"/>
          <w:lang w:bidi="ar-SA"/>
        </w:rPr>
        <w:t>و لبناء الأصحاب على الملازمة بين حرمة الشي‌ء و حرمة التكسّب به، مع الالتزام بفساده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يشكل في خصوص المقام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جملة من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ثمن المغنّية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سحت</w:t>
      </w:r>
      <w:r>
        <w:rPr>
          <w:rFonts w:eastAsia="Amiri" w:cs="Amiri" w:ascii="Amiri" w:hAnsi="Amiri"/>
          <w:color w:val="111111"/>
          <w:sz w:val="28"/>
          <w:szCs w:val="28"/>
          <w:rtl w:val="true"/>
          <w:lang w:bidi="ar-SA"/>
        </w:rPr>
        <w:t>»</w:t>
      </w:r>
      <w:r>
        <w:rPr>
          <w:rStyle w:val="FootnoteAnchor"/>
          <w:rtl w:val="true"/>
        </w:rPr>
        <w:footnoteReference w:id="1102"/>
      </w:r>
      <w:r>
        <w:rPr>
          <w:rFonts w:ascii="Amiri" w:hAnsi="Amiri" w:eastAsia="Amiri" w:cs="Amiri"/>
          <w:color w:val="111111"/>
          <w:sz w:val="28"/>
          <w:sz w:val="28"/>
          <w:szCs w:val="28"/>
          <w:rtl w:val="true"/>
          <w:lang w:bidi="ar-SA"/>
        </w:rPr>
        <w:t>و ورود الرواية في خصوص الجواري</w:t>
      </w:r>
      <w:r>
        <w:rPr>
          <w:rStyle w:val="FootnoteAnchor"/>
          <w:rtl w:val="true"/>
        </w:rPr>
        <w:footnoteReference w:id="1103"/>
      </w:r>
      <w:r>
        <w:rPr>
          <w:rFonts w:ascii="Amiri" w:hAnsi="Amiri" w:eastAsia="Amiri" w:cs="Amiri"/>
          <w:color w:val="111111"/>
          <w:sz w:val="28"/>
          <w:sz w:val="28"/>
          <w:szCs w:val="28"/>
          <w:rtl w:val="true"/>
          <w:lang w:bidi="ar-SA"/>
        </w:rPr>
        <w:t>، يومي إلى أنّ اتّخاذه كسباً من المحرّم، فيقيّد بالمفهوم هنا عموم النبوي، فتأمّل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الروايات مخصوصة بمسألة بيع القينات و الجواري المغنّيات، غير تامّ، لأنّ الثمن، كما في النبوي أعمّ، فتحرم الإجارة و غيرها من سائر أنواع الكسب، نعم في خصوص بيعها بعض</w:t>
      </w:r>
    </w:p>
    <w:p>
      <w:pPr>
        <w:pStyle w:val="BookText"/>
        <w:rPr/>
      </w:pPr>
      <w:r>
        <w:rPr>
          <w:rFonts w:ascii="Amiri" w:hAnsi="Amiri" w:eastAsia="Amiri" w:cs="Amiri"/>
          <w:color w:val="111111"/>
          <w:sz w:val="28"/>
          <w:sz w:val="28"/>
          <w:szCs w:val="28"/>
          <w:rtl w:val="true"/>
          <w:lang w:bidi="ar-SA"/>
        </w:rPr>
        <w:t xml:space="preserve">و ليس هو مجرّد تحسين الصوت، بل هو مدّه و ترجيعه، بكيفيّة خاصّة مطربة، تناسب مجالس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 و محافل الطرب، و آلات اللهو و الملاهي، الروايات المتعارضة</w:t>
      </w:r>
      <w:r>
        <w:rPr>
          <w:rStyle w:val="FootnoteAnchor"/>
          <w:rtl w:val="true"/>
        </w:rPr>
        <w:footnoteReference w:id="1104"/>
      </w:r>
      <w:r>
        <w:rPr>
          <w:rFonts w:ascii="Amiri" w:hAnsi="Amiri" w:eastAsia="Amiri" w:cs="Amiri"/>
          <w:color w:val="111111"/>
          <w:sz w:val="28"/>
          <w:sz w:val="28"/>
          <w:szCs w:val="28"/>
          <w:rtl w:val="true"/>
          <w:lang w:bidi="ar-SA"/>
        </w:rPr>
        <w:t>، و تفصيل البحث حولها يطلب من محالّه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حرمة الإجارة النصوص الخاصّة الناطقة بأنّ أجر المغنّية و كسبها سحت و حرام</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مجالس</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بلغت الأقوال و الاحتمالات في تعريفه إلى أكثر من عشرين، بل و الثلاثين، و اضطربت كلمات الفقهاء في ذلك، و قد أشار إليها السيّد العامليّ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Style w:val="FootnoteAnchor"/>
          <w:rtl w:val="true"/>
        </w:rPr>
        <w:footnoteReference w:id="1106"/>
      </w:r>
      <w:r>
        <w:rPr>
          <w:rFonts w:ascii="Amiri" w:hAnsi="Amiri" w:eastAsia="Amiri" w:cs="Amiri"/>
          <w:color w:val="111111"/>
          <w:sz w:val="28"/>
          <w:sz w:val="28"/>
          <w:szCs w:val="28"/>
          <w:rtl w:val="true"/>
          <w:lang w:bidi="ar-SA"/>
        </w:rPr>
        <w:t>و صنّف شيخ مشايخنا محمّد رضا الأصفهاني في هذه المسألة رسالة لطيفة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الإنسان الذي من شأنه إيجاد الطرب بتناسبه لمتعارف الناس، و الطرب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الخفّة التي تعتري الإنسان فيكاد أن يذهب بالعقل، و تفعل فعل المسكر لمتعارف الناس أيضاً</w:t>
      </w:r>
      <w:r>
        <w:rPr>
          <w:rFonts w:eastAsia="Amiri" w:cs="Amiri" w:ascii="Amiri" w:hAnsi="Amiri"/>
          <w:color w:val="111111"/>
          <w:sz w:val="28"/>
          <w:szCs w:val="28"/>
          <w:rtl w:val="true"/>
          <w:lang w:bidi="ar-SA"/>
        </w:rPr>
        <w:t>»</w:t>
      </w:r>
      <w:r>
        <w:rPr>
          <w:rStyle w:val="FootnoteAnchor"/>
          <w:rtl w:val="true"/>
        </w:rPr>
        <w:footnoteReference w:id="110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الوالد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 بعد ذلك و بعد الغور في تفصيل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فالأولى تعريف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صوت الإنسان الذي له رقّة، و حسن ذاتي و لو في الجملة، و له شأنيّة إيجاد الطرب بتناسبه لمتعارف الناس</w:t>
      </w:r>
      <w:r>
        <w:rPr>
          <w:rFonts w:eastAsia="Amiri" w:cs="Amiri" w:ascii="Amiri" w:hAnsi="Amiri"/>
          <w:color w:val="111111"/>
          <w:sz w:val="28"/>
          <w:szCs w:val="28"/>
          <w:rtl w:val="true"/>
          <w:lang w:bidi="ar-SA"/>
        </w:rPr>
        <w:t>»</w:t>
      </w:r>
      <w:r>
        <w:rPr>
          <w:rStyle w:val="FootnoteAnchor"/>
          <w:rtl w:val="true"/>
        </w:rPr>
        <w:footnoteReference w:id="110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ظهر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الصوت ما طرب به، و كونه مطرباً فعليّاً و لو لجماعة غير مستمعين إليه، و لا وجه للاختصاص بالإنسان، و لا سائر القيود الزائدة، بل هو أمر عند العرف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اللغة و الاستعمال مطلق الصوت الذي يؤدّي للتلذّذ و إن لم يتلذّذ به إلّا صاحبه، و كان في حدّ نفسه من أنكر الأصوات، خصوصاً إذا قلنا بأنّه محرّم بالعرض، لأجل انطباق عنوان المحرّم عليه، كاللهو و الباطل، و الزور، فإنّها أوسع دائرة في الصدق</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يظهر من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ينكر حرمة الغناء، حيث قال، بعد الفراغ عن البحث حوله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صوت يكون لهواً بكيفيّة، و معدوداً من ألحان أهل الفسوق و المعاصي، فهو حرام و إن فرض أنّه ليس بغناء، و كلّ ما لا يعدّ لهواً، فليس بحرام و إن فرض صدق الغناء عليه، فرضاً غير محقّق؛ لعدم الدليل على حرمة الغناء إلّا من حيث كونه باطلًا، و لهواً، و لغواً،</w:t>
      </w:r>
    </w:p>
    <w:p>
      <w:pPr>
        <w:pStyle w:val="BookText"/>
        <w:rPr/>
      </w:pPr>
      <w:r>
        <w:rPr>
          <w:rFonts w:ascii="Amiri" w:hAnsi="Amiri" w:eastAsia="Amiri" w:cs="Amiri"/>
          <w:color w:val="111111"/>
          <w:sz w:val="28"/>
          <w:sz w:val="28"/>
          <w:szCs w:val="28"/>
          <w:rtl w:val="true"/>
          <w:lang w:bidi="ar-SA"/>
        </w:rPr>
        <w:t xml:space="preserve">و لا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استعماله في كلام حقّ من قراءة القرآن، و الدعاء، و المرثية و غيره، من شعر أو نثر، و زوراً</w:t>
      </w:r>
      <w:r>
        <w:rPr>
          <w:rFonts w:eastAsia="Amiri" w:cs="Amiri" w:ascii="Amiri" w:hAnsi="Amiri"/>
          <w:color w:val="111111"/>
          <w:sz w:val="28"/>
          <w:szCs w:val="28"/>
          <w:rtl w:val="true"/>
          <w:lang w:bidi="ar-SA"/>
        </w:rPr>
        <w:t>»</w:t>
      </w:r>
      <w:r>
        <w:rPr>
          <w:rStyle w:val="FootnoteAnchor"/>
          <w:rtl w:val="true"/>
        </w:rPr>
        <w:footnoteReference w:id="110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العبارة صريحة في إنكارها حرمته الذاتيّة، و إثباتها أنّه محرّم بالعناوين الكثيرة المحرّمة، فلا تغفل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فرق</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للإطلاقات السابقة، و عدم معارضتها بشي‌ء، و الأمر عموماً بتحسين القرآن</w:t>
      </w:r>
      <w:r>
        <w:rPr>
          <w:rStyle w:val="FootnoteAnchor"/>
          <w:rtl w:val="true"/>
        </w:rPr>
        <w:footnoteReference w:id="1110"/>
      </w:r>
      <w:r>
        <w:rPr>
          <w:rFonts w:ascii="Amiri" w:hAnsi="Amiri" w:eastAsia="Amiri" w:cs="Amiri"/>
          <w:color w:val="111111"/>
          <w:sz w:val="28"/>
          <w:sz w:val="28"/>
          <w:szCs w:val="28"/>
          <w:rtl w:val="true"/>
          <w:lang w:bidi="ar-SA"/>
        </w:rPr>
        <w:t xml:space="preserve">لا يقاوم النهي الإلزامي، و خصوصاً بالترجيع فيه، و لا يستلزم جواز الطرب به، و بالتغنّي به، كما في رواية، عن تفسير الشيخ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تغنّوا بالقرآن، فمن لم يتغنَّ بالقرآن فليس منّا</w:t>
      </w:r>
      <w:r>
        <w:rPr>
          <w:rFonts w:eastAsia="Amiri" w:cs="Amiri" w:ascii="Amiri" w:hAnsi="Amiri"/>
          <w:color w:val="111111"/>
          <w:sz w:val="28"/>
          <w:szCs w:val="28"/>
          <w:rtl w:val="true"/>
          <w:lang w:bidi="ar-SA"/>
        </w:rPr>
        <w:t>»</w:t>
      </w:r>
      <w:r>
        <w:rPr>
          <w:rStyle w:val="FootnoteAnchor"/>
          <w:rtl w:val="true"/>
        </w:rPr>
        <w:footnoteReference w:id="1111"/>
      </w:r>
      <w:r>
        <w:rPr>
          <w:rFonts w:ascii="Amiri" w:hAnsi="Amiri" w:eastAsia="Amiri" w:cs="Amiri"/>
          <w:color w:val="111111"/>
          <w:sz w:val="28"/>
          <w:sz w:val="28"/>
          <w:szCs w:val="28"/>
          <w:rtl w:val="true"/>
          <w:lang w:bidi="ar-SA"/>
        </w:rPr>
        <w:t>فلا تورث جواز ما ثبت حرمته، و لا سيما بعد معارضتها برواية عبد اللَّه بن سنان، الناهية عن ترجيع القرآن، و الإتيان به بمثل ألحان أهل الفسق، و الكبائر</w:t>
      </w:r>
      <w:r>
        <w:rPr>
          <w:rStyle w:val="FootnoteAnchor"/>
          <w:rtl w:val="true"/>
        </w:rPr>
        <w:footnoteReference w:id="1112"/>
      </w:r>
      <w:r>
        <w:rPr>
          <w:rFonts w:ascii="Amiri" w:hAnsi="Amiri" w:eastAsia="Amiri" w:cs="Amiri"/>
          <w:color w:val="111111"/>
          <w:sz w:val="28"/>
          <w:sz w:val="28"/>
          <w:szCs w:val="28"/>
          <w:rtl w:val="true"/>
          <w:lang w:bidi="ar-SA"/>
        </w:rPr>
        <w:t xml:space="preserve">، و لكنّه خالفهم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و المراثي</w:t>
      </w:r>
      <w:r>
        <w:rPr>
          <w:rStyle w:val="FootnoteAnchor"/>
          <w:rtl w:val="true"/>
        </w:rPr>
        <w:footnoteReference w:id="1113"/>
      </w:r>
      <w:r>
        <w:rPr>
          <w:rFonts w:ascii="Amiri" w:hAnsi="Amiri" w:eastAsia="Amiri" w:cs="Amiri"/>
          <w:color w:val="111111"/>
          <w:sz w:val="28"/>
          <w:sz w:val="28"/>
          <w:szCs w:val="28"/>
          <w:rtl w:val="true"/>
          <w:lang w:bidi="ar-SA"/>
        </w:rPr>
        <w:t>، و لعلّه لما مضى من قصور الأدلّة،</w:t>
      </w:r>
    </w:p>
    <w:p>
      <w:pPr>
        <w:pStyle w:val="BookText"/>
        <w:rPr/>
      </w:pPr>
      <w:r>
        <w:rPr>
          <w:rFonts w:ascii="Amiri" w:hAnsi="Amiri" w:eastAsia="Amiri" w:cs="Amiri"/>
          <w:color w:val="111111"/>
          <w:sz w:val="28"/>
          <w:sz w:val="28"/>
          <w:szCs w:val="28"/>
          <w:rtl w:val="true"/>
          <w:lang w:bidi="ar-SA"/>
        </w:rPr>
        <w:t xml:space="preserve">بل يتضاعف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عقابه لو استعمله فيما يطاع به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يستثنى غناء المغنّيات في الأعراس، و هو غير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يترك الاحتياط بالاقتصار على زفّ العرائس، و المجلس المعدّ له مقدّماً و مؤخّراً، لا مطلق المجالس، بل الأحوط الاجتناب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اغتشاشها، و ضعف أسنادها إلّا عدّة منها، مع ضعف ما ورد في خصوص القرآن، و النهي عن الترجيع فيه</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يتضاعف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لاستلزامه اللعب بما هو الموضوع للعبادة، و قد عنون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في خصوص وجوب إكرام القرآن، و حرمة إهانته</w:t>
      </w:r>
      <w:r>
        <w:rPr>
          <w:rStyle w:val="FootnoteAnchor"/>
          <w:rtl w:val="true"/>
        </w:rPr>
        <w:footnoteReference w:id="1115"/>
      </w:r>
      <w:r>
        <w:rPr>
          <w:rFonts w:ascii="Amiri" w:hAnsi="Amiri" w:eastAsia="Amiri" w:cs="Amiri"/>
          <w:color w:val="111111"/>
          <w:sz w:val="28"/>
          <w:sz w:val="28"/>
          <w:szCs w:val="28"/>
          <w:rtl w:val="true"/>
          <w:lang w:bidi="ar-SA"/>
        </w:rPr>
        <w:t>، و المراد من تضاعف العقاب ليس اشتداده، بل يتكرّر ذلك لتكرّر العنوان المحرّم المنطبق على العمل الوحداني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غير بعيد</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الصريح في كلام جماعة</w:t>
      </w:r>
      <w:r>
        <w:rPr>
          <w:rStyle w:val="FootnoteAnchor"/>
          <w:rtl w:val="true"/>
        </w:rPr>
        <w:footnoteReference w:id="1116"/>
      </w:r>
      <w:r>
        <w:rPr>
          <w:rFonts w:ascii="Amiri" w:hAnsi="Amiri" w:eastAsia="Amiri" w:cs="Amiri"/>
          <w:color w:val="111111"/>
          <w:sz w:val="28"/>
          <w:sz w:val="28"/>
          <w:szCs w:val="28"/>
          <w:rtl w:val="true"/>
          <w:lang w:bidi="ar-SA"/>
        </w:rPr>
        <w:t>، و المخالف في المسألة فخر الدين</w:t>
      </w:r>
      <w:r>
        <w:rPr>
          <w:rStyle w:val="FootnoteAnchor"/>
          <w:rtl w:val="true"/>
        </w:rPr>
        <w:footnoteReference w:id="111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لعلّه المنساق من كلام كلّ من تعرّض للمسألة و لم يتعرّض لهذا الاستثناء، و خصوصاً بعد تعرّضه للبعض الآخر</w:t>
      </w:r>
      <w:r>
        <w:rPr>
          <w:rStyle w:val="FootnoteAnchor"/>
          <w:rtl w:val="true"/>
        </w:rPr>
        <w:footnoteReference w:id="1118"/>
      </w:r>
      <w:r>
        <w:rPr>
          <w:rFonts w:ascii="Amiri" w:hAnsi="Amiri" w:eastAsia="Amiri" w:cs="Amiri"/>
          <w:color w:val="111111"/>
          <w:sz w:val="28"/>
          <w:sz w:val="28"/>
          <w:szCs w:val="28"/>
          <w:rtl w:val="true"/>
          <w:lang w:bidi="ar-SA"/>
        </w:rPr>
        <w:t>، للإشكال في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يدلّ على الاستثناء روايات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 المغنّية التي تزفّ العرائس ليس به بأس</w:t>
      </w:r>
      <w:r>
        <w:rPr>
          <w:rFonts w:eastAsia="Amiri" w:cs="Amiri" w:ascii="Amiri" w:hAnsi="Amiri"/>
          <w:color w:val="111111"/>
          <w:sz w:val="28"/>
          <w:szCs w:val="28"/>
          <w:rtl w:val="true"/>
          <w:lang w:bidi="ar-SA"/>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روايته الأُخرى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المغنّية التي تزفّ العرائس، لا بأس بكسبها</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روايته الثالثة قال في كسب المغنّيات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يدخل عليها الرجال حرام، و التي تدعى إلى الأعراس ليس به بأس</w:t>
      </w:r>
      <w:r>
        <w:rPr>
          <w:rFonts w:eastAsia="Amiri" w:cs="Amiri" w:ascii="Amiri" w:hAnsi="Amiri"/>
          <w:color w:val="111111"/>
          <w:sz w:val="28"/>
          <w:szCs w:val="28"/>
          <w:rtl w:val="true"/>
          <w:lang w:bidi="ar-SA"/>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تمّ الإشكال في سند بعضها لمكان عليّ بن أبي حمزة، أو لجهة أُخرى، و لكنّ الظاهر تماميّة بعض الأسناد، فمثلها تخرج عن المطلقات</w:t>
      </w:r>
    </w:p>
    <w:p>
      <w:pPr>
        <w:pStyle w:val="BookText"/>
        <w:rPr/>
      </w:pPr>
      <w:r>
        <w:rPr>
          <w:rFonts w:ascii="Amiri" w:hAnsi="Amiri" w:eastAsia="Amiri" w:cs="Amiri"/>
          <w:color w:val="111111"/>
          <w:sz w:val="28"/>
          <w:sz w:val="28"/>
          <w:szCs w:val="28"/>
          <w:rtl w:val="true"/>
          <w:lang w:bidi="ar-SA"/>
        </w:rPr>
        <w:t>المانعة</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يشكل العمل بهذه الروايات، لأجل إباء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 ممّا وعد اللَّه عليه النار</w:t>
      </w:r>
      <w:r>
        <w:rPr>
          <w:rFonts w:eastAsia="Amiri" w:cs="Amiri" w:ascii="Amiri" w:hAnsi="Amiri"/>
          <w:color w:val="111111"/>
          <w:sz w:val="28"/>
          <w:szCs w:val="28"/>
          <w:rtl w:val="true"/>
          <w:lang w:bidi="ar-SA"/>
        </w:rPr>
        <w:t>»</w:t>
      </w:r>
      <w:r>
        <w:rPr>
          <w:rStyle w:val="FootnoteAnchor"/>
          <w:rtl w:val="true"/>
        </w:rPr>
        <w:footnoteReference w:id="1123"/>
      </w:r>
      <w:r>
        <w:rPr>
          <w:rFonts w:ascii="Amiri" w:hAnsi="Amiri" w:eastAsia="Amiri" w:cs="Amiri"/>
          <w:color w:val="111111"/>
          <w:sz w:val="28"/>
          <w:sz w:val="28"/>
          <w:szCs w:val="28"/>
          <w:rtl w:val="true"/>
          <w:lang w:bidi="ar-SA"/>
        </w:rPr>
        <w:t>عن مثل هذا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أنّ المطلقات الكثيرة الواردة في المقامات المختلفة البالغة إلى حدّ التواتر</w:t>
      </w:r>
      <w:r>
        <w:rPr>
          <w:rStyle w:val="FootnoteAnchor"/>
          <w:rtl w:val="true"/>
        </w:rPr>
        <w:footnoteReference w:id="1124"/>
      </w:r>
      <w:r>
        <w:rPr>
          <w:rFonts w:ascii="Amiri" w:hAnsi="Amiri" w:eastAsia="Amiri" w:cs="Amiri"/>
          <w:color w:val="111111"/>
          <w:sz w:val="28"/>
          <w:sz w:val="28"/>
          <w:szCs w:val="28"/>
          <w:rtl w:val="true"/>
          <w:lang w:bidi="ar-SA"/>
        </w:rPr>
        <w:t>و الأكثر، تأبى عن التقييد برواية، فإنّ من المحتمل قويّاً كون روايات أبي بصير، رواية واحدة مختلفة الإسناد إلى أبي بصير، فيلزم التعارض، و لا تقاوم هي ذاك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لأجل إعراض القدماء</w:t>
      </w:r>
      <w:r>
        <w:rPr>
          <w:rStyle w:val="FootnoteAnchor"/>
          <w:rtl w:val="true"/>
        </w:rPr>
        <w:footnoteReference w:id="1125"/>
      </w:r>
      <w:r>
        <w:rPr>
          <w:rFonts w:ascii="Amiri" w:hAnsi="Amiri" w:eastAsia="Amiri" w:cs="Amiri"/>
          <w:color w:val="111111"/>
          <w:sz w:val="28"/>
          <w:sz w:val="28"/>
          <w:szCs w:val="28"/>
          <w:rtl w:val="true"/>
          <w:lang w:bidi="ar-SA"/>
        </w:rPr>
        <w:t>، في احتمال قويّ لما سمعت منّا، و عمل المتأخّرين كالمحقّق و العلّامة</w:t>
      </w:r>
      <w:r>
        <w:rPr>
          <w:rStyle w:val="FootnoteAnchor"/>
          <w:rtl w:val="true"/>
        </w:rPr>
        <w:footnoteReference w:id="1126"/>
      </w:r>
      <w:r>
        <w:rPr>
          <w:rFonts w:ascii="Amiri" w:hAnsi="Amiri" w:eastAsia="Amiri" w:cs="Amiri"/>
          <w:color w:val="111111"/>
          <w:sz w:val="28"/>
          <w:sz w:val="28"/>
          <w:szCs w:val="28"/>
          <w:rtl w:val="true"/>
          <w:lang w:bidi="ar-SA"/>
        </w:rPr>
        <w:t>، لا يورث شيئاً كسراً و جبراً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 لأجل احتمال كون الغناء في المستثنى المرتبة الأُولى منه على ما عرفت من بعض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احتمال كون المغنّية تدعى للزفّ لا للغناء، و لأجل إعراض المشهور قطعاً عنها لو أُخذ بقيدها و مفهومه؛ لأنّ في الرواية الثالثة قال كسب المغنّيات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يدخل عليها الرجال حرام</w:t>
      </w:r>
      <w:r>
        <w:rPr>
          <w:rFonts w:eastAsia="Amiri" w:cs="Amiri" w:ascii="Amiri" w:hAnsi="Amiri"/>
          <w:color w:val="111111"/>
          <w:sz w:val="28"/>
          <w:szCs w:val="28"/>
          <w:rtl w:val="true"/>
          <w:lang w:bidi="ar-SA"/>
        </w:rPr>
        <w:t>»</w:t>
      </w:r>
      <w:r>
        <w:rPr>
          <w:rStyle w:val="FootnoteAnchor"/>
          <w:rtl w:val="true"/>
        </w:rPr>
        <w:footnoteReference w:id="1127"/>
      </w:r>
      <w:r>
        <w:rPr>
          <w:rFonts w:ascii="Amiri" w:hAnsi="Amiri" w:eastAsia="Amiri" w:cs="Amiri"/>
          <w:color w:val="111111"/>
          <w:sz w:val="28"/>
          <w:sz w:val="28"/>
          <w:szCs w:val="28"/>
          <w:rtl w:val="true"/>
          <w:lang w:bidi="ar-SA"/>
        </w:rPr>
        <w:t>مع أنّه حرام على الإطلاق، و بعد كونها رواية واحدة ينعقد إعراضهم عنها، بل قيل في صورة الشكّ في الإعراض، يشكل العمل بالسند، للزوم تقييده</w:t>
      </w:r>
      <w:r>
        <w:rPr>
          <w:rStyle w:val="FootnoteAnchor"/>
          <w:rtl w:val="true"/>
        </w:rPr>
        <w:footnoteReference w:id="1128"/>
      </w:r>
      <w:r>
        <w:rPr>
          <w:rFonts w:ascii="Amiri" w:hAnsi="Amiri" w:eastAsia="Amiri" w:cs="Amiri"/>
          <w:color w:val="111111"/>
          <w:sz w:val="28"/>
          <w:sz w:val="28"/>
          <w:szCs w:val="28"/>
          <w:rtl w:val="true"/>
          <w:lang w:bidi="ar-SA"/>
        </w:rPr>
        <w:t>، فلا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في السند بحثاً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من هذه الأُمور ذهاب الوثوق النوعي عن مثلها، فالاستثناء حكماً، مشكل إلّا على القول الآخر، و هو عدم ثبوت الإطلاق في الأدلّة الناهية، و القدر المتيقّن منها ما أسمعناك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 لأجل هذه الأُمور أخذ بالقدر المتيقّن في الاستثناء، و احتاط في أصل المسألة، و اللَّه العالم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غير خفيّ أنّ موارد الاستثناء المذكورة في الروايات، كثيرة</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العيدان، و الفرح</w:t>
      </w:r>
      <w:r>
        <w:rPr>
          <w:rStyle w:val="FootnoteAnchor"/>
          <w:rtl w:val="true"/>
        </w:rPr>
        <w:footnoteReference w:id="1129"/>
      </w:r>
      <w:r>
        <w:rPr>
          <w:rFonts w:ascii="Amiri" w:hAnsi="Amiri" w:eastAsia="Amiri" w:cs="Amiri"/>
          <w:color w:val="111111"/>
          <w:sz w:val="28"/>
          <w:sz w:val="28"/>
          <w:szCs w:val="28"/>
          <w:rtl w:val="true"/>
          <w:lang w:bidi="ar-SA"/>
        </w:rPr>
        <w:t>، و النياح</w:t>
      </w:r>
      <w:r>
        <w:rPr>
          <w:rStyle w:val="FootnoteAnchor"/>
          <w:rtl w:val="true"/>
        </w:rPr>
        <w:footnoteReference w:id="1130"/>
      </w:r>
      <w:r>
        <w:rPr>
          <w:rFonts w:ascii="IRNazanin" w:hAnsi="IRNazanin" w:eastAsia="IRNazanin"/>
          <w:color w:val="111111"/>
          <w:sz w:val="28"/>
          <w:sz w:val="28"/>
          <w:szCs w:val="28"/>
          <w:rtl w:val="true"/>
          <w:lang w:bidi="fa-IR"/>
        </w:rPr>
        <w:t>، و العرس</w:t>
      </w:r>
      <w:r>
        <w:rPr>
          <w:rStyle w:val="FootnoteAnchor"/>
          <w:rtl w:val="true"/>
        </w:rPr>
        <w:footnoteReference w:id="1131"/>
      </w:r>
      <w:r>
        <w:rPr>
          <w:rFonts w:ascii="Amiri" w:hAnsi="Amiri" w:eastAsia="Amiri" w:cs="Amiri"/>
          <w:color w:val="111111"/>
          <w:sz w:val="28"/>
          <w:sz w:val="28"/>
          <w:szCs w:val="28"/>
          <w:rtl w:val="true"/>
          <w:lang w:bidi="ar-SA"/>
        </w:rPr>
        <w:t>و غيرها</w:t>
      </w:r>
      <w:r>
        <w:rPr>
          <w:rStyle w:val="FootnoteAnchor"/>
          <w:rtl w:val="true"/>
        </w:rPr>
        <w:footnoteReference w:id="1132"/>
      </w:r>
      <w:r>
        <w:rPr>
          <w:rFonts w:ascii="Amiri" w:hAnsi="Amiri" w:eastAsia="Amiri" w:cs="Amiri"/>
          <w:color w:val="111111"/>
          <w:sz w:val="28"/>
          <w:sz w:val="28"/>
          <w:szCs w:val="28"/>
          <w:rtl w:val="true"/>
          <w:lang w:bidi="ar-SA"/>
        </w:rPr>
        <w:t>، إلّا أنّ ثبوت الحكم في بعضها، و الموضوع في الآخر، غير معلوم</w:t>
      </w:r>
      <w:r>
        <w:rPr>
          <w:rFonts w:eastAsia="Amiri" w:cs="Amiri" w:ascii="Amiri" w:hAnsi="Amiri"/>
          <w:color w:val="111111"/>
          <w:sz w:val="28"/>
          <w:szCs w:val="28"/>
          <w:rtl w:val="true"/>
          <w:lang w:bidi="ar-SA"/>
        </w:rPr>
        <w:t>.</w:t>
      </w:r>
      <w:bookmarkStart w:id="256" w:name="pg12366_123256"/>
    </w:p>
    <w:p>
      <w:pPr>
        <w:pStyle w:val="Heading4"/>
        <w:numPr>
          <w:ilvl w:val="3"/>
          <w:numId w:val="1"/>
        </w:numPr>
        <w:rPr/>
      </w:pPr>
      <w:bookmarkStart w:id="257" w:name="__RefHeading___Toc8896101_417432637"/>
      <w:bookmarkStart w:id="258" w:name="_Toc94"/>
      <w:bookmarkEnd w:id="256"/>
      <w:bookmarkEnd w:id="257"/>
      <w:r>
        <w:rPr>
          <w:rtl w:val="true"/>
        </w:rPr>
        <w:t>[</w:t>
      </w:r>
      <w:r>
        <w:rPr>
          <w:rtl w:val="true"/>
        </w:rPr>
        <w:t xml:space="preserve">مسألة </w:t>
      </w:r>
      <w:r>
        <w:rPr/>
        <w:t>14</w:t>
      </w:r>
      <w:r>
        <w:rPr>
          <w:rtl w:val="true"/>
        </w:rPr>
        <w:t xml:space="preserve">: </w:t>
      </w:r>
      <w:r>
        <w:rPr>
          <w:rtl w:val="true"/>
        </w:rPr>
        <w:t>معونة الظالمين في ظلمهم، بل في كلّ محرّم، حرام</w:t>
      </w:r>
      <w:r>
        <w:rPr>
          <w:rtl w:val="true"/>
        </w:rPr>
        <w:t>]</w:t>
      </w:r>
      <w:bookmarkEnd w:id="25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معونة الظالمين في ظلمهم، بل في كلّ محرّم،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إشكال، بل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مشى إلى ظالم ليعينه و هو يعلم أنّه ظالم، فقد خرج عن الإسلام</w:t>
      </w:r>
      <w:r>
        <w:rPr>
          <w:rFonts w:eastAsia="Amiri" w:cs="Amiri" w:ascii="Amiri" w:hAnsi="Amiri"/>
          <w:color w:val="111111"/>
          <w:sz w:val="28"/>
          <w:szCs w:val="28"/>
          <w:rtl w:val="true"/>
          <w:lang w:bidi="ar-SA"/>
        </w:rPr>
        <w:t>»</w:t>
      </w:r>
      <w:r>
        <w:rPr>
          <w:rStyle w:val="FootnoteAnchor"/>
          <w:rtl w:val="true"/>
        </w:rPr>
        <w:footnoteReference w:id="1133"/>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الظلمة و أعوان الظلمة حتّى من بري لهم قلماً و لاق لهم دواتاً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فيجتمعون في تابوت من حديد، ثمّ يرمى بهم في جهنّم</w:t>
      </w:r>
      <w:r>
        <w:rPr>
          <w:rFonts w:eastAsia="Amiri" w:cs="Amiri" w:ascii="Amiri" w:hAnsi="Amiri"/>
          <w:color w:val="111111"/>
          <w:sz w:val="28"/>
          <w:szCs w:val="28"/>
          <w:rtl w:val="true"/>
          <w:lang w:bidi="ar-SA"/>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المعروف المشهور، و في عنوان المسألة 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المقصود حرمة الإعانة على الإثم، و ذكر الظلم لكونه أعظم، و لخصوص بعض الروايات، مثل خبر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 بالظلم و المعين له و الراضي به شركاء ثلاثتهم</w:t>
      </w:r>
      <w:r>
        <w:rPr>
          <w:rFonts w:eastAsia="Amiri" w:cs="Amiri" w:ascii="Amiri" w:hAnsi="Amiri"/>
          <w:color w:val="111111"/>
          <w:sz w:val="28"/>
          <w:szCs w:val="28"/>
          <w:rtl w:val="true"/>
          <w:lang w:bidi="ar-SA"/>
        </w:rPr>
        <w:t>»</w:t>
      </w:r>
      <w:r>
        <w:rPr>
          <w:rStyle w:val="FootnoteAnchor"/>
          <w:rtl w:val="true"/>
        </w:rPr>
        <w:footnoteReference w:id="1135"/>
      </w:r>
      <w:r>
        <w:rPr>
          <w:rFonts w:ascii="Amiri" w:hAnsi="Amiri" w:eastAsia="Amiri" w:cs="Amiri"/>
          <w:color w:val="111111"/>
          <w:sz w:val="28"/>
          <w:sz w:val="28"/>
          <w:szCs w:val="28"/>
          <w:rtl w:val="true"/>
          <w:lang w:bidi="ar-SA"/>
        </w:rPr>
        <w:t>و لعلّ المراد من الأوّل هو المتصدّي لظلم الظالم، لا الذي يظلم بنفسه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يكون المقصود إعانة من يعدّ من الظالمين و المتجاوزين على أموال الناس و أعراضهم، في ظلمهم، أو سائر المعاصي، و جميع ما نهوا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يكون المقصود إعانتهم في ظلمهم، و هو غصب الحكومة و إن لم يكن من أعوانهم الاصطلاحي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يكون المقصود الدخول في الأُمور المرتبطة بهم؛ بحيث يعدّ من عمّالهم و أعوانهم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هو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 هنا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حرمة الإعانة على الإثم و لو كان الإثم ظلماً، كما يظهر من الكتاب إِنَّ الشِّرْكَ لَظُلْمٌ عَظِيمٌ</w:t>
      </w:r>
      <w:r>
        <w:rPr>
          <w:rStyle w:val="FootnoteAnchor"/>
          <w:rtl w:val="true"/>
        </w:rPr>
        <w:footnoteReference w:id="1136"/>
      </w:r>
      <w:r>
        <w:rPr>
          <w:rFonts w:ascii="Amiri" w:hAnsi="Amiri" w:eastAsia="Amiri" w:cs="Amiri"/>
          <w:color w:val="111111"/>
          <w:sz w:val="28"/>
          <w:sz w:val="28"/>
          <w:szCs w:val="28"/>
          <w:rtl w:val="true"/>
          <w:lang w:bidi="ar-SA"/>
        </w:rPr>
        <w:t>و يكون المراد من الظالمين المتلبّسين بالمبدإ، من غير حصول الكثرة، و الحرفة فيه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محرّمة بالكتاب</w:t>
      </w:r>
      <w:r>
        <w:rPr>
          <w:rStyle w:val="FootnoteAnchor"/>
          <w:rtl w:val="true"/>
        </w:rPr>
        <w:footnoteReference w:id="1137"/>
      </w:r>
      <w:r>
        <w:rPr>
          <w:rFonts w:ascii="Amiri" w:hAnsi="Amiri" w:eastAsia="Amiri" w:cs="Amiri"/>
          <w:color w:val="111111"/>
          <w:sz w:val="28"/>
          <w:sz w:val="28"/>
          <w:szCs w:val="28"/>
          <w:rtl w:val="true"/>
          <w:lang w:bidi="ar-SA"/>
        </w:rPr>
        <w:t>، و يساعده الاتّفاق و العقل في الجملة، و يدلّ عليه بعض الأخبار</w:t>
      </w:r>
      <w:r>
        <w:rPr>
          <w:rStyle w:val="FootnoteAnchor"/>
          <w:rtl w:val="true"/>
        </w:rPr>
        <w:footnoteReference w:id="1138"/>
      </w:r>
      <w:r>
        <w:rPr>
          <w:rFonts w:ascii="Amiri" w:hAnsi="Amiri" w:eastAsia="Amiri" w:cs="Amiri"/>
          <w:color w:val="111111"/>
          <w:sz w:val="28"/>
          <w:sz w:val="28"/>
          <w:szCs w:val="28"/>
          <w:rtl w:val="true"/>
          <w:lang w:bidi="ar-SA"/>
        </w:rPr>
        <w:t>، على إشكال فيه، و هو مقتضى الأدلّة الدالّة على وجوب الأمر بالمعروف، و النهي عن المنكر؛ فإنّ العرف يفهم منها حرمة الإعانة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إعانة الظالمين المشغولين بالظلم كالحكومات الجائرة و أمثالهم و لو كانوا شيعه في ظلمهم و تعدّيهم على الناس، من غصب الأموال، و قتل الأنفس، و هتك الأعراض، و هذا هو المحرّم للجهتين، بناء على معقوليّته فيما كان بين العنوانين عموماً مطلقاً، و هو القدر المتيقّن من الروايات الواردة في المسألة</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الظلم غصب الخلافة، و لعلّ المقصود من بعض الروايات المطلقة الفرض الأخير؛ لعدم تنافيه مع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معونة الظالمين في غير الظلم و سائر المحرّمات و المعروف هو الجواز؛ لعدم الدليل، و للزوم بعض الإشكالات، و لاستلزامه الصعوبة في الدين، و لمنافاته لما دلّ على مجاملتهم، و حسن العشرة معهم، و جلب قلوبهم؛ كي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جعفر بن محمّد، ما أحسن ما كان يؤدّب به أصحابه</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ورد من المطلقات غير معمول به، فيدور الأمر بين الأخذ بإطلاقها،</w:t>
      </w:r>
    </w:p>
    <w:p>
      <w:pPr>
        <w:pStyle w:val="BookText"/>
        <w:rPr/>
      </w:pPr>
      <w:r>
        <w:rPr>
          <w:rFonts w:ascii="Amiri" w:hAnsi="Amiri" w:eastAsia="Amiri" w:cs="Amiri"/>
          <w:color w:val="111111"/>
          <w:sz w:val="28"/>
          <w:sz w:val="28"/>
          <w:szCs w:val="28"/>
          <w:rtl w:val="true"/>
          <w:lang w:bidi="ar-SA"/>
        </w:rPr>
        <w:t xml:space="preserve">و أمّا معونتهم في غير المحرّمات، فالظاهر جوازه ما لم يعدّ من أعوانهم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حواشيهم و المنسوبين إليهم، أو حملها على الصورة السابقة، أو سقوطها رأساً؛ لأنّ منشأ الإعراض يمكن أن يكون وجود القرائن المورثة للإجمال، كما لا يخفى، أو بعض جهات أُخر في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مقتضى بعض الروايات</w:t>
      </w:r>
      <w:r>
        <w:rPr>
          <w:rStyle w:val="FootnoteAnchor"/>
          <w:rtl w:val="true"/>
        </w:rPr>
        <w:footnoteReference w:id="1141"/>
      </w:r>
      <w:r>
        <w:rPr>
          <w:rFonts w:ascii="Amiri" w:hAnsi="Amiri" w:eastAsia="Amiri" w:cs="Amiri"/>
          <w:color w:val="111111"/>
          <w:sz w:val="28"/>
          <w:sz w:val="28"/>
          <w:szCs w:val="28"/>
          <w:rtl w:val="true"/>
          <w:lang w:bidi="ar-SA"/>
        </w:rPr>
        <w:t>، و حكم العقل بلزوم دفع الظلم، وجوب الإعراض عنهم، الموجب لسقوطهم، و هذا ما لا يحصل إلّا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إنّ اشتهار الفتوى بالجواز، و ترغيب الناس إلى أُمورهم لبعض المصالح المتوهّمة، أوقعهم فيما وقعوا فيه، و ابتلوا بالبليّات المدهشة إلى يوم القيامة، و لو كانوا متأمّلين في هذه المسألة و ما ورد فيها، لما بقي لهم شبهة في حرمة العشرة معهم إلّا في بعض المواضع الخاصّة ممّا كان التابعون قليلين، و إلى ما ذكر أُشير في المآثير</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يعدّ من أعوانهم</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للنصوص الخاصّة، ففي معتبرة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عليه رجل من أصحابنا،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إنّه ربّما أصاب الرجل منّا الضيق و الشدّة، فيدعى إلى البناء يبنيه، أو النهر يكريه، أو المسنّاة يصلحها، فما تقول في ذلك؟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أنّي عقدت لهم عقدةً، أو وكيت لهم وكاءً، و إنّ لي ما بين لابتيها، لا و لا مدّة بقلم، إنّ أعوان الظلمة يوم القيامة في سرادق من نار حتّى يحكم اللَّه بين العباد</w:t>
      </w:r>
      <w:r>
        <w:rPr>
          <w:rFonts w:eastAsia="Amiri" w:cs="Amiri" w:ascii="Amiri" w:hAnsi="Amiri"/>
          <w:color w:val="111111"/>
          <w:sz w:val="28"/>
          <w:szCs w:val="28"/>
          <w:rtl w:val="true"/>
          <w:lang w:bidi="ar-SA"/>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دلالتها على المطلوب قطعيّة، لأنّه القدر المتيقّن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توهّم إطلاق الصدر بعد ظهور الذيل في العنوان المخصوص، مشكل إلّا بدعوى أعمّيّة عنوان أعوان الظلمة؛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الضعيف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و الظلمة لو كانت أخصّ لا تورث أعمّيّة المضاف بعد اقتضاء المناسبة خلافه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يتوهّم اختصاص الظلمة بالحكّام و السلاطين الجائرين، و الأمراء الفاسقين، من أهل الخلاف، المعاندين لأهل الحقّ في دينهم، أو الذين يقتلون النبيّين و أئمّة المؤمنين، حفظاً لسلطانهم كالعبّاسيين، و أمّا سلاطين الشيعة المظهرين للوداد و المحبّة بالنسبة إليهم، و إن كانوا</w:t>
      </w:r>
    </w:p>
    <w:p>
      <w:pPr>
        <w:pStyle w:val="BookText"/>
        <w:rPr/>
      </w:pPr>
      <w:r>
        <w:rPr>
          <w:rFonts w:ascii="Amiri" w:hAnsi="Amiri" w:eastAsia="Amiri" w:cs="Amiri"/>
          <w:color w:val="111111"/>
          <w:sz w:val="28"/>
          <w:sz w:val="28"/>
          <w:szCs w:val="28"/>
          <w:rtl w:val="true"/>
          <w:lang w:bidi="ar-SA"/>
        </w:rPr>
        <w:t xml:space="preserve">و لم يكن اسمه مقيّداً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دفترهم و ديوانهم، فاسقين و غاصبين حقوق الفقهاء و المجتهدين، فهو خارج من هذه المآثير</w:t>
      </w:r>
      <w:r>
        <w:rPr>
          <w:rStyle w:val="FootnoteAnchor"/>
          <w:rtl w:val="true"/>
        </w:rPr>
        <w:footnoteReference w:id="1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مظهراً للتشيّع، و مبدعاً للأحكام الكافرة و مضيّعاً للقوانين الحقّة، فهو داخل في حكم هذه المسألة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ذلك بالعمومات</w:t>
      </w:r>
      <w:r>
        <w:rPr>
          <w:rStyle w:val="FootnoteAnchor"/>
          <w:rtl w:val="true"/>
        </w:rPr>
        <w:footnoteReference w:id="1145"/>
      </w:r>
      <w:r>
        <w:rPr>
          <w:rFonts w:ascii="Amiri" w:hAnsi="Amiri" w:eastAsia="Amiri" w:cs="Amiri"/>
          <w:color w:val="111111"/>
          <w:sz w:val="28"/>
          <w:sz w:val="28"/>
          <w:szCs w:val="28"/>
          <w:rtl w:val="true"/>
          <w:lang w:bidi="ar-SA"/>
        </w:rPr>
        <w:t>، بعد اقتضاء المناسبة بين الحكم و الموضوع ذلك،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إطلاق هذه العبارة ممنوعيّته و إن لم يلزم منه صدق العون، و أنّه من أعوان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قضيّة رواية يعقوب بن يزيد، عن ابن بنت الوليد بن صبيح الكاهليّ،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سوّد اسمه في ديوان ولد سابع حشره اللَّه يوم القيامة خنزيراً</w:t>
      </w:r>
      <w:r>
        <w:rPr>
          <w:rFonts w:eastAsia="Amiri" w:cs="Amiri" w:ascii="Amiri" w:hAnsi="Amiri"/>
          <w:color w:val="111111"/>
          <w:sz w:val="28"/>
          <w:szCs w:val="28"/>
          <w:rtl w:val="true"/>
          <w:lang w:bidi="ar-SA"/>
        </w:rPr>
        <w:t>»</w:t>
      </w:r>
      <w:r>
        <w:rPr>
          <w:rStyle w:val="FootnoteAnchor"/>
          <w:rtl w:val="true"/>
        </w:rPr>
        <w:footnoteReference w:id="1146"/>
      </w:r>
      <w:r>
        <w:rPr>
          <w:rFonts w:ascii="Amiri" w:hAnsi="Amiri" w:eastAsia="Amiri" w:cs="Amiri"/>
          <w:color w:val="111111"/>
          <w:sz w:val="28"/>
          <w:sz w:val="28"/>
          <w:szCs w:val="28"/>
          <w:rtl w:val="true"/>
          <w:lang w:bidi="ar-SA"/>
        </w:rPr>
        <w:t>و يمثّله الحواشي فإنّهم لا يعدّون أعواناً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لكنّه ورد في المعتبرة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اقترب عبد من سلطان جائر إلّا تباعد من اللَّه، و لا كثر ماله إلّا اشتدّ حسابه، و لا كثر تبعه إلّا</w:t>
      </w:r>
    </w:p>
    <w:p>
      <w:pPr>
        <w:pStyle w:val="BookText"/>
        <w:rPr/>
      </w:pPr>
      <w:r>
        <w:rPr>
          <w:rFonts w:ascii="Amiri" w:hAnsi="Amiri" w:eastAsia="Amiri" w:cs="Amiri"/>
          <w:color w:val="111111"/>
          <w:sz w:val="28"/>
          <w:sz w:val="28"/>
          <w:szCs w:val="28"/>
          <w:rtl w:val="true"/>
          <w:lang w:bidi="ar-SA"/>
        </w:rPr>
        <w:t xml:space="preserve">و لم يكن ذلك موجباً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لازدياد شوكتهم و قوّتهم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كثرت شياطينه</w:t>
      </w:r>
      <w:r>
        <w:rPr>
          <w:rFonts w:eastAsia="Amiri" w:cs="Amiri" w:ascii="Amiri" w:hAnsi="Amiri"/>
          <w:color w:val="111111"/>
          <w:sz w:val="28"/>
          <w:szCs w:val="28"/>
          <w:rtl w:val="true"/>
          <w:lang w:bidi="ar-SA"/>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معتبرة اخرى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أبواب السلطان و حواشيها، فإنّ أقربكم من أبواب السلطان و حواشيها أبعدكم من اللَّه عزّ و جلّ، و من آثر السلطان على اللَّه أذهب اللَّه عنه الورع و جعله حيراناً</w:t>
      </w:r>
      <w:r>
        <w:rPr>
          <w:rFonts w:eastAsia="Amiri" w:cs="Amiri" w:ascii="Amiri" w:hAnsi="Amiri"/>
          <w:color w:val="111111"/>
          <w:sz w:val="28"/>
          <w:szCs w:val="28"/>
          <w:rtl w:val="true"/>
          <w:lang w:bidi="ar-SA"/>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قضيّة المعتبرتين و غيرهما، حرمة العنوان الآخر، و هو كونه من المقرّبين و المعروفين بأنّه مورد احترامه، و يكون نافذاً فيه، و سيأتي في المسائل الآتية، عند تعرّض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 تمام الكلام في المقام</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يكن موجباً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دعوى لحوقها بالعنوان المشار إليه، فإنّ ذلك من الإعانة على الإثم، و هو غصب الخلافة، فإنّ ما يوجب بقاء الآثم في إثمه أو شركته في الإثم محرّم بالعقل و النقل، أو لحوقه بعنوان أعوان الظلمة؛ فإنّ من كان فعله المباح مرّة واحدة موجباً لذلك يعدّ به من أعوانه عرفاً، و في</w:t>
      </w:r>
    </w:p>
    <w:p>
      <w:pPr>
        <w:pStyle w:val="BookText"/>
        <w:rPr/>
      </w:pPr>
      <w:r>
        <w:rPr>
          <w:rFonts w:ascii="Amiri" w:hAnsi="Amiri" w:eastAsia="Amiri" w:cs="Amiri"/>
          <w:color w:val="111111"/>
          <w:sz w:val="28"/>
          <w:sz w:val="28"/>
          <w:szCs w:val="28"/>
          <w:rtl w:val="true"/>
          <w:lang w:bidi="ar-SA"/>
        </w:rPr>
        <w:t>خصوص ذلك ما أُشير إليه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العجيب أنّ المسألة عندهم واضحة و لكن المسموع من بعض السالفين، و المشهور من جماعة من المعاصرين هداهم اللَّه تعالى، خلاف ذلك، و لقد أخّرتني الدهور إلى عصر عجيب، و ذو ردّة واهية نرى ميل العلماء إلّا الشاذّ منهم إلى الملوك و السلاطين، مستدلّين بصنع عليّ بن يقطين</w:t>
      </w:r>
      <w:r>
        <w:rPr>
          <w:rStyle w:val="FootnoteAnchor"/>
          <w:rtl w:val="true"/>
        </w:rPr>
        <w:footnoteReference w:id="1150"/>
      </w:r>
      <w:r>
        <w:rPr>
          <w:rFonts w:ascii="Amiri" w:hAnsi="Amiri" w:eastAsia="Amiri" w:cs="Amiri"/>
          <w:color w:val="111111"/>
          <w:sz w:val="28"/>
          <w:sz w:val="28"/>
          <w:szCs w:val="28"/>
          <w:rtl w:val="true"/>
          <w:lang w:bidi="ar-SA"/>
        </w:rPr>
        <w:t>، غافلين عن الجهات، ذاهلين لشدّة الحبّ إلى ما هم عليه عمّا هو وظيفتهم، و قد اتّفق في عصرنا رجوع الناس عن تقليد الراكن إلى أبوابهم، و وقع في قلوبهم الخلل و الزلل بالنسبة إلى عقائدهم، فبئس الملوك و بئس العلماء، خذلهم اللَّه تعالى أو هداهم</w:t>
      </w:r>
      <w:r>
        <w:rPr>
          <w:rFonts w:eastAsia="Amiri" w:cs="Amiri" w:ascii="Amiri" w:hAnsi="Amiri"/>
          <w:color w:val="111111"/>
          <w:sz w:val="28"/>
          <w:szCs w:val="28"/>
          <w:rtl w:val="true"/>
          <w:lang w:bidi="ar-SA"/>
        </w:rPr>
        <w:t>.</w:t>
      </w:r>
      <w:bookmarkStart w:id="259" w:name="pg12366_123264"/>
    </w:p>
    <w:p>
      <w:pPr>
        <w:pStyle w:val="Heading4"/>
        <w:numPr>
          <w:ilvl w:val="3"/>
          <w:numId w:val="1"/>
        </w:numPr>
        <w:rPr/>
      </w:pPr>
      <w:bookmarkStart w:id="260" w:name="__RefHeading___Toc8896103_417432637"/>
      <w:bookmarkStart w:id="261" w:name="_Toc95"/>
      <w:bookmarkEnd w:id="259"/>
      <w:bookmarkEnd w:id="260"/>
      <w:r>
        <w:rPr>
          <w:rtl w:val="true"/>
        </w:rPr>
        <w:t>[</w:t>
      </w:r>
      <w:r>
        <w:rPr>
          <w:rtl w:val="true"/>
        </w:rPr>
        <w:t xml:space="preserve">مسألة </w:t>
      </w:r>
      <w:r>
        <w:rPr/>
        <w:t>15</w:t>
      </w:r>
      <w:r>
        <w:rPr>
          <w:rtl w:val="true"/>
        </w:rPr>
        <w:t xml:space="preserve">: </w:t>
      </w:r>
      <w:r>
        <w:rPr>
          <w:rtl w:val="true"/>
        </w:rPr>
        <w:t>يحرم حفظ كتب الضلال</w:t>
      </w:r>
      <w:r>
        <w:rPr>
          <w:rtl w:val="true"/>
        </w:rPr>
        <w:t>]</w:t>
      </w:r>
      <w:bookmarkEnd w:id="26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حفظ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الضلال، و نسخها، و قراءتها، و درسها و تدريسها إن لم يكن غرض صحيح في ذلك، كأن يكون قاصداً لنقضها و إبطالها، و كان أهلًا لذلك، و مأموناً من الضلال، و أمّا مجرّد الاطّلاع على مطالبها، فليس من الأغراض الصحيحة المجوّزة لحفظها لغالب الناس، من العوام الذين يخشى عليهم الضلال و الزلل، فاللازم على أمثالهم التجنّب عن الكتب المشتملة على ما يخالف عقائد المسلمين، خصوصاً ما اشتمل منها على شبهات و مغالطات، عجزوا عن حلّها و دفعها،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حفظ</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151"/>
      </w:r>
      <w:r>
        <w:rPr>
          <w:rFonts w:ascii="Amiri" w:hAnsi="Amiri" w:eastAsia="Amiri" w:cs="Amiri"/>
          <w:color w:val="111111"/>
          <w:sz w:val="28"/>
          <w:sz w:val="28"/>
          <w:szCs w:val="28"/>
          <w:rtl w:val="true"/>
          <w:lang w:bidi="ar-SA"/>
        </w:rPr>
        <w:t>نفي الخلاف عنه، و لعلّه المشهور بين جماعة من القدماء المتعرّضين للمسألة</w:t>
      </w:r>
      <w:r>
        <w:rPr>
          <w:rStyle w:val="FootnoteAnchor"/>
          <w:rtl w:val="true"/>
        </w:rPr>
        <w:footnoteReference w:id="1152"/>
      </w:r>
      <w:r>
        <w:rPr>
          <w:rFonts w:ascii="Amiri" w:hAnsi="Amiri" w:eastAsia="Amiri" w:cs="Amiri"/>
          <w:color w:val="111111"/>
          <w:sz w:val="28"/>
          <w:sz w:val="28"/>
          <w:szCs w:val="28"/>
          <w:rtl w:val="true"/>
          <w:lang w:bidi="ar-SA"/>
        </w:rPr>
        <w:t>، إلّا أنّ الأدلّة المذكورة من الآيات و الروايات، قاصرة عن إثبات هذا العنوان، و الدليل العقلي لا يورث الحرمة الشرعيّة؛ لعدم تماميّة قاعدة الملازمة، خصوصاً في مثل المقام فإنّ ما هو المبغوض في الشريعة معلوم، و هو الإفساد في الأرض، و الإضلال، و المقدّمات حتى الموصلة منها ليست محرّمة على ما تحرّر في محلّه</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معتبرة عبد الملك الوارد في التنجيم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أحرق كتبك</w:t>
      </w:r>
      <w:r>
        <w:rPr>
          <w:rFonts w:eastAsia="Amiri" w:cs="Amiri" w:ascii="Amiri" w:hAnsi="Amiri"/>
          <w:color w:val="111111"/>
          <w:sz w:val="28"/>
          <w:szCs w:val="28"/>
          <w:rtl w:val="true"/>
          <w:lang w:bidi="ar-SA"/>
        </w:rPr>
        <w:t>»</w:t>
      </w:r>
      <w:r>
        <w:rPr>
          <w:rStyle w:val="FootnoteAnchor"/>
          <w:rtl w:val="true"/>
        </w:rPr>
        <w:footnoteReference w:id="1154"/>
      </w:r>
      <w:r>
        <w:rPr>
          <w:rFonts w:ascii="Amiri" w:hAnsi="Amiri" w:eastAsia="Amiri" w:cs="Amiri"/>
          <w:color w:val="111111"/>
          <w:sz w:val="28"/>
          <w:sz w:val="28"/>
          <w:szCs w:val="28"/>
          <w:rtl w:val="true"/>
          <w:lang w:bidi="ar-SA"/>
        </w:rPr>
        <w:t>لا يورث المطلوب بعد ظهور الصدر في أنّ الذيل كناية أو إرشاد إلى ترك العمل و القضاء بما في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قضيّة حكم العقل في الشبهات المهتمّ بها بعد معلوميّة غرض المولى، هو الاحتياط، و ذلك بلا فرق بين كتب الضلال، و المدارس التي توجبه، و من يكون مضلا و هادياً إلى سبل الفساد، و الزلل في العقائد، فإنّ عنوان المسألة ممّا لا شاهد عليه 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مطلق القراءة ممنوعاً، بل القراءة الممنوعة هي الملازمة للأثر الفاسد شخصاً، أو نوعاً، و هي التي يعقبها النظر، و التفكّر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سائر العناوين المشار إليها ليست من المحرّمات المتعدّدة عنواناً و المستقلّة دليلًا و ملاكاً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الأمان من الضلال إن كان شخصيّاً فيلزم جواز الاطّلاع عليها و إن لا يقصد النقض و الإبطال، و إن كان نوعيّاً فلا يجوز له النظر و لو للردّ و الإبطال، و المدار على حكم العقل و لا يكفي مجرّد الاحتمال، و إلّا يمكن منع القاطع بالأمن؛ لأنّ القطع يخطئ و يصيب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شراؤها، و إمساكها، و حفظها، بل يجب عليهم إتلافها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يندرج في المسألة الكتب الفلسفيّة المشتملة على شبهات عقليّة في المبدأ و المعاد، و مغالطات علميّة في التوحيد و غيره ممّا لا يسلم منها إلّا الأوحدي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الكتب المضلّة عن سواء السبيل، و الراغبة إلى المعاصي و الفسق، و الباعثة إلى المفاسد الأخلاقيّة، فهي أيضاً ربّما تكون منها، لقوله تعالى ثُمَّ كانَ عاقِبَةَ الَّذِينَ أَساؤُا السُّواى أَنْ كَذَّبُوا بِآياتِ اللَّهِ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الصحف و الجرائد، و المنشورات الرائجة في عصرنا، المشتملة على الفواحش؛ فإنّه ربّما يشملها قوله تعالى إِنَّ الَّذِينَ يُحِبُّونَ أَنْ تَشِيعَ الْفاحِشَةُ فِي الَّذِينَ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المواضع الممنوعة عقلًا يكون الحكم ممنوعيّة هذه الأُمور احتياطاً، و غاية ما يمكن أن يقال للحرمة الوضعيّة، دعوى عدم رضا الشرع بذلك، و لكنّه ممنوع؛ لما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بيع العنب لمن يعلم أنّه يصنع خمراً؛ فإنّ في هذه الروايات ما يومئ إلى أنّ فساد المطالب الأُخر لا يسري إلى موضوعات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حرمة لمقدّمات المحرّم حتّى الموصلة منها، فالمنع مبني على الاحتياط</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استكشاف الحكم التكليفي من قاعدة الملازمة على تقدير صحّتها</w:t>
      </w:r>
    </w:p>
    <w:p>
      <w:pPr>
        <w:pStyle w:val="BookText"/>
        <w:rPr/>
      </w:pPr>
      <w:r>
        <w:rPr>
          <w:rFonts w:ascii="Amiri" w:hAnsi="Amiri" w:eastAsia="Amiri" w:cs="Amiri"/>
          <w:color w:val="111111"/>
          <w:sz w:val="28"/>
          <w:sz w:val="28"/>
          <w:szCs w:val="28"/>
          <w:rtl w:val="true"/>
          <w:lang w:bidi="ar-SA"/>
        </w:rPr>
        <w:t>في نفسها، و كون المورد من مصاديقها يستلزم فساد المعاملة عليها، بناء على تماميّة النبوي سنداً و دلالة، فافهم و تدبّر</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ذكرناه يظهر حال إتلافها و إمساكها، فإنّ الأمر فيهما كما عرفت، و قد يستظهر من قوله تعالى في مسألة المفسد في الأرض من أنّه يصلب، أو يقطع، أو ينفي؛ أنّ هذه الكتب تحرق و لكنّه غير تامّ، و للحاكم و الوالي جمع الكتب المضلّة الرائجة بين الناس، الموجبة لوقوعهم في الضلال و الزلل، فافهم و تأمّل</w:t>
      </w:r>
      <w:r>
        <w:rPr>
          <w:rFonts w:eastAsia="Amiri" w:cs="Amiri" w:ascii="Amiri" w:hAnsi="Amiri"/>
          <w:color w:val="111111"/>
          <w:sz w:val="28"/>
          <w:szCs w:val="28"/>
          <w:rtl w:val="true"/>
          <w:lang w:bidi="ar-SA"/>
        </w:rPr>
        <w:t>.</w:t>
      </w:r>
      <w:bookmarkStart w:id="262" w:name="pg12366_123268"/>
    </w:p>
    <w:p>
      <w:pPr>
        <w:pStyle w:val="Heading4"/>
        <w:numPr>
          <w:ilvl w:val="3"/>
          <w:numId w:val="1"/>
        </w:numPr>
        <w:rPr/>
      </w:pPr>
      <w:bookmarkStart w:id="263" w:name="__RefHeading___Toc8896105_417432637"/>
      <w:bookmarkStart w:id="264" w:name="_Toc96"/>
      <w:bookmarkEnd w:id="262"/>
      <w:bookmarkEnd w:id="263"/>
      <w:r>
        <w:rPr>
          <w:rtl w:val="true"/>
        </w:rPr>
        <w:t>[</w:t>
      </w:r>
      <w:r>
        <w:rPr>
          <w:rtl w:val="true"/>
        </w:rPr>
        <w:t xml:space="preserve">مسألة </w:t>
      </w:r>
      <w:r>
        <w:rPr/>
        <w:t>16</w:t>
      </w:r>
      <w:r>
        <w:rPr>
          <w:rtl w:val="true"/>
        </w:rPr>
        <w:t xml:space="preserve">: </w:t>
      </w:r>
      <w:r>
        <w:rPr>
          <w:rtl w:val="true"/>
        </w:rPr>
        <w:t>عمل السحر و تعليمه و تعلّمه و التكسّب به حرام</w:t>
      </w:r>
      <w:r>
        <w:rPr>
          <w:rtl w:val="true"/>
        </w:rPr>
        <w:t>]</w:t>
      </w:r>
      <w:bookmarkEnd w:id="26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السحر و تعليمه و تعلّمه و التكسّب به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به ما يعمل من كتابة، أو تكلّم، أو دخنة، أو تصوير، أو نفث، أو عقد يؤثّر في بدن المسحور، أو قلبه، أو عقله، فيؤثّر في إحضاره، أو إنامته، أو إغمائه، أو تحبيبه، أو تبغيضه 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عمله فعليه الإجماع منقولًا</w:t>
      </w:r>
      <w:r>
        <w:rPr>
          <w:rStyle w:val="FootnoteAnchor"/>
          <w:rtl w:val="true"/>
        </w:rPr>
        <w:footnoteReference w:id="1155"/>
      </w:r>
      <w:r>
        <w:rPr>
          <w:rFonts w:ascii="Amiri" w:hAnsi="Amiri" w:eastAsia="Amiri" w:cs="Amiri"/>
          <w:color w:val="111111"/>
          <w:sz w:val="28"/>
          <w:sz w:val="28"/>
          <w:szCs w:val="28"/>
          <w:rtl w:val="true"/>
          <w:lang w:bidi="ar-SA"/>
        </w:rPr>
        <w:t xml:space="preserve">، بل و محصّلًا، و ليس في المسلمين من يجوّزه على إطلاقه،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الضروريّات التي يدخل منكرها في سبيل الكافرين</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 هو القدر المتيقّن منه ما يستعمل ليضلّ عن سبيل اللَّه تعالى، و يوجب الزلل في العقائد، و حدوث احتمال كون عمل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سنخ أعمالهم، و هكذا لو ترتّب على عمله ما لا يرضى به الشرع الأقدس من المفاسد، فإنّ محمّد بن إدريس روى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إلى ساحر أو كاهن أو كذّاب، يصدّقه بما يقول فقد كفر بما أنزل اللَّه تعالى من كتاب</w:t>
      </w:r>
      <w:r>
        <w:rPr>
          <w:rFonts w:eastAsia="Amiri" w:cs="Amiri" w:ascii="Amiri" w:hAnsi="Amiri"/>
          <w:color w:val="111111"/>
          <w:sz w:val="28"/>
          <w:szCs w:val="28"/>
          <w:rtl w:val="true"/>
          <w:lang w:bidi="ar-SA"/>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قرينة على ما ورد في السحر، بعد قصور تلك الروايات</w:t>
      </w:r>
    </w:p>
    <w:p>
      <w:pPr>
        <w:pStyle w:val="BookText"/>
        <w:rPr/>
      </w:pPr>
      <w:r>
        <w:rPr>
          <w:rFonts w:ascii="Amiri" w:hAnsi="Amiri" w:eastAsia="Amiri" w:cs="Amiri"/>
          <w:color w:val="111111"/>
          <w:sz w:val="28"/>
          <w:sz w:val="28"/>
          <w:szCs w:val="28"/>
          <w:rtl w:val="true"/>
          <w:lang w:bidi="ar-SA"/>
        </w:rPr>
        <w:t xml:space="preserve">عن إثبات حرمة السحر بإطلاقه،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ساحر المسلمين يقتل، و ساحر الكفّار لا يقتل</w:t>
      </w:r>
      <w:r>
        <w:rPr>
          <w:rFonts w:eastAsia="Amiri" w:cs="Amiri" w:ascii="Amiri" w:hAnsi="Amiri"/>
          <w:color w:val="111111"/>
          <w:sz w:val="28"/>
          <w:szCs w:val="28"/>
          <w:rtl w:val="true"/>
          <w:lang w:bidi="ar-SA"/>
        </w:rPr>
        <w:t>»</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1752</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كتاب التجارة، أبواب ما يكتسب به، الباب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شبهة في سنده، و إشكال أدبيّ في عبارته؛ لا يدلّ على أنّ السحر بذاته حرام، و على إطلاقه ممنوع، و لا سيما على ما احتملناه في الكتاب الكبير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من أنّه من الإضافة اللّفظيّة أي سحر الكافر لا يورث شيئاً في نفس الكافر حتّى يقتل ساحرة، بخلاف المسلم، فلو أتى الكافر بسحر المسلم فهو أيضاً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إشارة إلى ما ورد فيه وَ لا يُفْلِحُ السَّاحِرُ حَيْثُ أَتى</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 ما جِئْتُمْ بِهِ السِّحْرُ إِنَّ اللَّهَ سَيُبْطِلُهُ إِنَّ اللَّهَ لا يُصْلِحُ عَمَلَ الْمُفْسِدِينَ</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المشي إليه خلاف الاعتقاد بالكتاب إلّا للتفريح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 الْمُفْسِدِينَ أيضاً دليل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قوله تعالى وَ لكِنَّ الشَّياطِينَ كَفَرُوا يُعَلِّمُونَ النَّاسَ السِّحْرَ وَ ما أُنْزِلَ عَلَى الْمَلَكَيْنِ بِبابِلَ هارُوتَ وَ مارُوتَ وَ ما يُعَلِّمانِ مِنْ أَحَدٍ حَتَّى يَقُولا إِنَّما نَحْنُ فِتْنَةٌ فَلا تَكْفُرْ فَيَتَعَلَّمُونَ مِنْهُما ما يُفَرِّقُونَ بِهِ بَيْنَ الْمَرْءِ وَ زَوْجِهِ وَ ما هُمْ بِضارِّينَ بِهِ مِنْ أَحَدٍ إِلَّا بِإِذْنِ اللَّهِ وَ يَتَعَلَّمُونَ ما يَضُرُّهُمْ وَ لا يَنْفَعُهُمْ</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في قوله تعالى وَ لا يَنْفَعُهُمْ إشارة إلى تجويز الضرر المتدارك بالنفع،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أو يشهد على ما مرّ رواية إبراهيم بن هاشم عن شيخ من أصحابه الكوفيّين،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عيسى بن ثقفي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ساحراً، يأتيه الناس، و يأخذ على ذلك الأجر،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أنا رجل كانت صناعتي السحر، و كنت آخذ عليه الأجر، و كان معاشي، و قد حججت منه، و مَنّ اللَّه عليّ بلقائك، و قد تبت إلى اللَّه عزّ و جلّ، فهل لي في شي‌ء من ذلك مخرج؟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 و لا تعقد</w:t>
      </w:r>
      <w:r>
        <w:rPr>
          <w:rFonts w:eastAsia="Amiri" w:cs="Amiri" w:ascii="Amiri" w:hAnsi="Amiri"/>
          <w:color w:val="111111"/>
          <w:sz w:val="28"/>
          <w:szCs w:val="28"/>
          <w:rtl w:val="true"/>
          <w:lang w:bidi="ar-SA"/>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نفس السحر و تعلّمه حراماً كان صرفه في الحلّ أيضاً ممنوعاً،</w:t>
      </w:r>
    </w:p>
    <w:p>
      <w:pPr>
        <w:pStyle w:val="BookText"/>
        <w:rPr/>
      </w:pPr>
      <w:r>
        <w:rPr>
          <w:rFonts w:ascii="Amiri" w:hAnsi="Amiri" w:eastAsia="Amiri" w:cs="Amiri"/>
          <w:color w:val="111111"/>
          <w:sz w:val="28"/>
          <w:sz w:val="28"/>
          <w:szCs w:val="28"/>
          <w:rtl w:val="true"/>
          <w:lang w:bidi="ar-SA"/>
        </w:rPr>
        <w:t>و كان اللازم الأمر بإنسائه و إزالته من النفس، فيعلم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إعماله فيما تعارف ممّا يكشف عن اعتقاد العامل و المستأجر به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بالحلّ ليس مقصوراً بأنّ صورة جوازه تنحصر به، بل العرف يفهم منها أنّ الممنوع هو العقد، و لو كان في عمله تفريح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توبة الساحر أن يحلّ و لا يعقد</w:t>
      </w:r>
      <w:r>
        <w:rPr>
          <w:rFonts w:eastAsia="Amiri" w:cs="Amiri" w:ascii="Amiri" w:hAnsi="Amiri"/>
          <w:color w:val="111111"/>
          <w:sz w:val="28"/>
          <w:szCs w:val="28"/>
          <w:rtl w:val="true"/>
          <w:lang w:bidi="ar-SA"/>
        </w:rPr>
        <w:t>»</w:t>
      </w:r>
      <w:r>
        <w:rPr>
          <w:rStyle w:val="FootnoteAnchor"/>
          <w:rtl w:val="true"/>
        </w:rPr>
        <w:footnoteReference w:id="1163"/>
      </w:r>
      <w:r>
        <w:rPr>
          <w:rFonts w:ascii="Amiri" w:hAnsi="Amiri" w:eastAsia="Amiri" w:cs="Amiri"/>
          <w:color w:val="111111"/>
          <w:sz w:val="28"/>
          <w:sz w:val="28"/>
          <w:szCs w:val="28"/>
          <w:rtl w:val="true"/>
          <w:lang w:bidi="ar-SA"/>
        </w:rPr>
        <w:t>دليل على أنّ ما عمله من المحرّمات لا يغفر إلّا بذلك، لا أنّ نفس كونه ساحراً و عالماً بالسحر، محرّم يحتاج إلى التوبة فإنّه لا معنى لأن يكون الحرام توبة عن الحرام، بل اللازم إيجاب الإنساء، كما لا يخفى</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حرمة تعليم و تعلّم السحر ممّا ذكرنا يظهر حال التعليم و التعلّم، و ما ورد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تعلّم شيئاً من السحر، قليلًا كان أو كثيراً فقد كفر، و كان آخر عهده بربّه، و حدّه أن يقتل إلّا أن يتوب</w:t>
      </w:r>
      <w:r>
        <w:rPr>
          <w:rFonts w:eastAsia="Amiri" w:cs="Amiri" w:ascii="Amiri" w:hAnsi="Amiri"/>
          <w:color w:val="111111"/>
          <w:sz w:val="28"/>
          <w:szCs w:val="28"/>
          <w:rtl w:val="true"/>
          <w:lang w:bidi="ar-SA"/>
        </w:rPr>
        <w:t>»</w:t>
      </w:r>
      <w:r>
        <w:rPr>
          <w:rStyle w:val="FootnoteAnchor"/>
          <w:rtl w:val="true"/>
        </w:rPr>
        <w:footnoteReference w:id="1164"/>
      </w:r>
      <w:r>
        <w:rPr>
          <w:rFonts w:ascii="Amiri" w:hAnsi="Amiri" w:eastAsia="Amiri" w:cs="Amiri"/>
          <w:color w:val="111111"/>
          <w:sz w:val="28"/>
          <w:sz w:val="28"/>
          <w:szCs w:val="28"/>
          <w:rtl w:val="true"/>
          <w:lang w:bidi="ar-SA"/>
        </w:rPr>
        <w:t>يحمل على ما عرفت، مع أنّه لو كان كافراً،</w:t>
      </w:r>
    </w:p>
    <w:p>
      <w:pPr>
        <w:pStyle w:val="BookText"/>
        <w:rPr/>
      </w:pPr>
      <w:r>
        <w:rPr>
          <w:rFonts w:ascii="Amiri" w:hAnsi="Amiri" w:eastAsia="Amiri" w:cs="Amiri"/>
          <w:color w:val="111111"/>
          <w:sz w:val="28"/>
          <w:sz w:val="28"/>
          <w:szCs w:val="28"/>
          <w:rtl w:val="true"/>
          <w:lang w:bidi="ar-SA"/>
        </w:rPr>
        <w:t xml:space="preserve">بالسحر لا يقتل لما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التعلّم محرّم بمعناه المصدري على الإطلاق، و أمّا لو عصى و تعلّم فعليه التوبة، و هي الحلّ، و هذا هو مفاد الأخبار؛ و إن لا يبعد في حدّ ذاته إلّا أنّ الالتزام بالتفكيك مشكل في 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يخطر بالبال أنّ تحريم السحر نوع فرار من الإتيان بما يشابه ما يتحدّى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يورث سوء الظنّ بالمعجزة، بل المساعد للاعتبار تجويز السحر، حتّى يعلم منه حقيقة المعجزة، و تكون العقائد الحاصلة منها راسخة، فمن يتصدّى للأُمور المزاحمة لدعوة الأنبياء، ربّما يكون نظره تحقيق ما عندهم و إبطال ما عنده، فلو لم يلقَ السحرة ساجدين، لم يؤمن بموسى أحد من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ساحر الكفّار لا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غير مكلّف بهذا الفرع خصوصاً، و هذا لا ينافي التعليل المذكور في الرواية على إجمال فيه، فراجع</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 للإتيان بسورة من الكتاب لو كان محرّماً في الشريعة فهو يستلزم الخلل، و حيث أنّ الساحر لا يفلح حيث أتى و لا يبقى و لا يستمرّ يكون الكتاب معجزة خالدة، فعندئذٍ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السحر المحرّم هو ما تعارف بين أبنائه من الأُمور الفاسدة، الّتي يترتّب عليها ما لا يرضي الشرع المقدّس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التكسّب بالسحر ثمّ إنّ التكسّب به ربّما يكون ممنوعاً و لو كان إعماله جائزاً، بناء على أنّ المستفاد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الحلّ توبة السحر فكأنّه مبنيّ على المجّانية، و أمّا على ما استظهرناه و احتملناه ففي مواقف المحرّم يكون ممنوعاً تكليفاً، و أمّا حرمته وضعاً فيمكن منعها؛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 في رواية إبراهيم بن هاشم عن حكم الأجر المأخوذ قبال سحره، و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عمله و تعليمه و تعلّمه فيما كان حراماً أخذ الأُجرة عليها و إعطاء الأُجرة حذاءها محرّم وضعاً و تكليفاً؛ للنبويّ و غيره ممّا عرف من الشرع</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جميع ما في المتن من أنّه من السحر موضوعاً فما هو المحرّم منه صنف خاصّ، و ممّا يدلّ أو يشهد على ما قوّيناه بعد عدم مساعدة الدليل لحرمة التعليم و التعلّم تكليفاً، خصوصاً بعد سكوت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الأوّل</w:t>
      </w:r>
      <w:r>
        <w:rPr>
          <w:rStyle w:val="FootnoteAnchor"/>
          <w:rtl w:val="true"/>
        </w:rPr>
        <w:footnoteReference w:id="1165"/>
      </w:r>
      <w:r>
        <w:rPr>
          <w:rFonts w:ascii="Amiri" w:hAnsi="Amiri" w:eastAsia="Amiri" w:cs="Amiri"/>
          <w:color w:val="111111"/>
          <w:sz w:val="28"/>
          <w:sz w:val="28"/>
          <w:szCs w:val="28"/>
          <w:rtl w:val="true"/>
          <w:lang w:bidi="ar-SA"/>
        </w:rPr>
        <w:t xml:space="preserve">، و قصور رواية أبي البختريّ عن تحريم التعلّم الصرْف؛ رواية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رواية مفصّلة وردت في تفسير الكتاب، و قصّة</w:t>
      </w:r>
    </w:p>
    <w:p>
      <w:pPr>
        <w:pStyle w:val="BookText"/>
        <w:rPr/>
      </w:pP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رواية مفصّلة وردت في تفسير الكتاب، و قصّة الملكين ببابل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ماروت</w:t>
      </w:r>
      <w:r>
        <w:rPr>
          <w:rFonts w:eastAsia="Amiri" w:cs="Amiri" w:ascii="Amiri" w:hAnsi="Amiri"/>
          <w:color w:val="111111"/>
          <w:sz w:val="28"/>
          <w:szCs w:val="28"/>
          <w:rtl w:val="true"/>
          <w:lang w:bidi="ar-SA"/>
        </w:rPr>
        <w:t>»</w:t>
      </w:r>
      <w:r>
        <w:rPr>
          <w:rStyle w:val="FootnoteAnchor"/>
          <w:rtl w:val="true"/>
        </w:rPr>
        <w:footnoteReference w:id="1166"/>
      </w:r>
      <w:r>
        <w:rPr>
          <w:rFonts w:ascii="Amiri" w:hAnsi="Amiri" w:eastAsia="Amiri" w:cs="Amiri"/>
          <w:color w:val="111111"/>
          <w:sz w:val="28"/>
          <w:sz w:val="28"/>
          <w:szCs w:val="28"/>
          <w:rtl w:val="true"/>
          <w:lang w:bidi="ar-SA"/>
        </w:rPr>
        <w:t xml:space="preserve">و مثلها رواية عليّ بن الجهم،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حقيقة السحر و أقسامه 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كون هذه الأُمور من السحر موضوعاً بحث، فإنّه مقابل المعجزة و يعرف بها، فهي ما لا واقعيّة لها، و يخيّل أنّه الواقع، و أمّا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خفاء مأخذه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كتب اللغة</w:t>
      </w:r>
      <w:r>
        <w:rPr>
          <w:rStyle w:val="FootnoteAnchor"/>
          <w:rtl w:val="true"/>
        </w:rPr>
        <w:footnoteReference w:id="1168"/>
      </w:r>
      <w:r>
        <w:rPr>
          <w:rFonts w:ascii="Amiri" w:hAnsi="Amiri" w:eastAsia="Amiri" w:cs="Amiri"/>
          <w:color w:val="111111"/>
          <w:sz w:val="28"/>
          <w:sz w:val="28"/>
          <w:szCs w:val="28"/>
          <w:rtl w:val="true"/>
          <w:lang w:bidi="ar-SA"/>
        </w:rPr>
        <w:t>، فهو لا يكون سحراً؛ لأنّ منه ما هو مأخذه معلوم، من التصوير و الكتابة، و لو كان ذلك منه يلزم كون الأدعية المكتوبة المؤثّرة في بدن المريض، و في صيرورة الطفل ذكراً و هكذا، من السحر، لخفاء مأخذه، و لو رجع الأمر إليه تعالى، فهو أيضاً مشترك؛ لعدم</w:t>
      </w:r>
    </w:p>
    <w:p>
      <w:pPr>
        <w:pStyle w:val="BookText"/>
        <w:rPr/>
      </w:pPr>
      <w:r>
        <w:rPr>
          <w:rFonts w:ascii="Amiri" w:hAnsi="Amiri" w:eastAsia="Amiri" w:cs="Amiri"/>
          <w:color w:val="111111"/>
          <w:sz w:val="28"/>
          <w:sz w:val="28"/>
          <w:szCs w:val="28"/>
          <w:rtl w:val="true"/>
          <w:lang w:bidi="ar-SA"/>
        </w:rPr>
        <w:t xml:space="preserve">و يلحق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الملائكة، و إحضار الجنّ و تسخيرهم، و إحضار الأرواح و تسخيرها،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إمكان الخروج من حكومته، فالسحر موضوعاً 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هو منه ما يقابل المعجزة، من إحياء الأموات، و تحريك الكائنات، و إراءة التخيّلات بالتصرّف في المبصرات بوجه لا يطلع الإنسان على الخطأ في الحسّ و إن كان له الواقعيّة التخيليّة في وعائها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الشريعة لا ترضى بهذه الأُمور، و ترى الأكل منها بالباطل؛ لأنّه خروج عمّا هو بناء النظم،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يلحق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حكماً، لدعوى الفخر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مستحلّه كافر</w:t>
      </w:r>
      <w:r>
        <w:rPr>
          <w:rFonts w:eastAsia="Amiri" w:cs="Amiri" w:ascii="Amiri" w:hAnsi="Amiri"/>
          <w:color w:val="111111"/>
          <w:sz w:val="28"/>
          <w:szCs w:val="28"/>
          <w:rtl w:val="true"/>
          <w:lang w:bidi="ar-SA"/>
        </w:rPr>
        <w:t>»</w:t>
      </w:r>
      <w:r>
        <w:rPr>
          <w:rStyle w:val="FootnoteAnchor"/>
          <w:rtl w:val="true"/>
        </w:rPr>
        <w:footnoteReference w:id="1169"/>
      </w:r>
      <w:r>
        <w:rPr>
          <w:rFonts w:ascii="Amiri" w:hAnsi="Amiri" w:eastAsia="Amiri" w:cs="Amiri"/>
          <w:color w:val="111111"/>
          <w:sz w:val="28"/>
          <w:sz w:val="28"/>
          <w:szCs w:val="28"/>
          <w:rtl w:val="true"/>
          <w:lang w:bidi="ar-SA"/>
        </w:rPr>
        <w:t>و هي غير كافية، و ليس دأب الشرائع تحريم الأُمور النادرة التي لا يتّفق إلّا للأوحدي</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ما تعارف في العصر من الأكاذيب و الإغراء بالجهل ممنوع و يعدّ من الأكل بالباطل، و من الملحقات بها، و يعدّ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المينايتزم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الأُمور الأُخر الحاصلة من القوى النفسانيّة التي حصلت من الرياضات الباطلة و الصحيحة، و هي الّتي بها يفعل الإنسان ما يشابه أعمال الأنبياء من بني إسرائيل، و كيف تكون هي محرّمة و علماء الأُمّة أفضل منهم، أو مثلهم، و قد حُكيت مشابهاتها من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يلحق أو يكون منه الشعبذة،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الواقع واقعاً، بسبب الحركة السريعة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في الاستخدام و الإحضار و التسخير ظلم فهو محرّم، و أمّا لو كان ذلك برضاهم و ميلهم فالحرمة تحتاج إلى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الأُمور كلّها أكاذيب، و لا يجوز عليه تعالى إقدار جماعة على جماعة بمثل هذه الكيفيّة،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إراءة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السريعة الواقعة من المشعبذ غير قابلة للرؤية، ممّا يشترط فيها من زمان تكون تلك الحركة قبل مضيّه فيتوهّم خلاف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المشعبذ يجعل تحت القلنسوة الموجودة في المجلس عند الناظرين، ما لا يراه هؤلاء النظّار، فإذا يسألونهم عمّا تحتها، فيجيبون، لا شي‌ء، مع أنّ في تحتها شيئاً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مقتضى ما في كتب الأصحاب قديماً و حديثاً حرمتها</w:t>
      </w:r>
      <w:r>
        <w:rPr>
          <w:rStyle w:val="FootnoteAnchor"/>
          <w:rtl w:val="true"/>
        </w:rPr>
        <w:footnoteReference w:id="1170"/>
      </w:r>
      <w:r>
        <w:rPr>
          <w:rFonts w:ascii="Amiri" w:hAnsi="Amiri" w:eastAsia="Amiri" w:cs="Amiri"/>
          <w:color w:val="111111"/>
          <w:sz w:val="28"/>
          <w:sz w:val="28"/>
          <w:szCs w:val="28"/>
          <w:rtl w:val="true"/>
          <w:lang w:bidi="ar-SA"/>
        </w:rPr>
        <w:t>، و هي قضيّة رواية الاحتجاج</w:t>
      </w:r>
      <w:r>
        <w:rPr>
          <w:rStyle w:val="FootnoteAnchor"/>
          <w:rtl w:val="true"/>
        </w:rPr>
        <w:footnoteReference w:id="1171"/>
      </w:r>
      <w:r>
        <w:rPr>
          <w:rFonts w:ascii="Amiri" w:hAnsi="Amiri" w:eastAsia="Amiri" w:cs="Amiri"/>
          <w:color w:val="111111"/>
          <w:sz w:val="28"/>
          <w:sz w:val="28"/>
          <w:szCs w:val="28"/>
          <w:rtl w:val="true"/>
          <w:lang w:bidi="ar-SA"/>
        </w:rPr>
        <w:t>، و الإجماع، و لكن للنظر فيها مجال واسع، لعدم كفاية هذه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يبطل الكسب بها؛ لأنّه باطل، و هي فيما إذا استلزمت محرّماً آخر ممنوعة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الكهانة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تعاطي الأخبار عن الكائنات في مستقبل الزمان، بزعم أنّه يلقى إليه الأخبار عنها بعض الجانّ، أو بزعم أنّه يعرف الأُمور بمقدّمات و أسباب يستدلّ بها على مواقعها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محرّمة عرضاً؛ لأنّها من السحر، أو ذاتاً؛ لما ورد في النصوص ما يدلّ عليه، ففي رواية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تكهّن أو تكهّن له فقد برئ من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الكاهن ملعون</w:t>
      </w:r>
      <w:r>
        <w:rPr>
          <w:rFonts w:eastAsia="Amiri" w:cs="Amiri" w:ascii="Amiri" w:hAnsi="Amiri"/>
          <w:color w:val="111111"/>
          <w:sz w:val="28"/>
          <w:szCs w:val="28"/>
          <w:rtl w:val="true"/>
          <w:lang w:bidi="ar-SA"/>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الكاهن كالساحر، و الساحر كالكافر، و الكافر في النار</w:t>
      </w:r>
      <w:r>
        <w:rPr>
          <w:rFonts w:eastAsia="Amiri" w:cs="Amiri" w:ascii="Amiri" w:hAnsi="Amiri"/>
          <w:color w:val="111111"/>
          <w:sz w:val="28"/>
          <w:szCs w:val="28"/>
          <w:rtl w:val="true"/>
          <w:lang w:bidi="ar-SA"/>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الذنوب الّتي تظلم الهواء السحر و الكهانة</w:t>
      </w:r>
      <w:r>
        <w:rPr>
          <w:rFonts w:eastAsia="Amiri" w:cs="Amiri" w:ascii="Amiri" w:hAnsi="Amiri"/>
          <w:color w:val="111111"/>
          <w:sz w:val="28"/>
          <w:szCs w:val="28"/>
          <w:rtl w:val="true"/>
          <w:lang w:bidi="ar-SA"/>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صحيحة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إلى ساحر أو كاهن أو كذّاب يصدّقه بما يقول فقد كفر بما أنزل اللَّه من كتاب</w:t>
      </w:r>
      <w:r>
        <w:rPr>
          <w:rFonts w:eastAsia="Amiri" w:cs="Amiri" w:ascii="Amiri" w:hAnsi="Amiri"/>
          <w:color w:val="111111"/>
          <w:sz w:val="28"/>
          <w:szCs w:val="28"/>
          <w:rtl w:val="true"/>
          <w:lang w:bidi="ar-SA"/>
        </w:rPr>
        <w:t>»</w:t>
      </w:r>
      <w:r>
        <w:rPr>
          <w:rStyle w:val="FootnoteAnchor"/>
          <w:rtl w:val="true"/>
        </w:rPr>
        <w:footnoteReference w:id="1176"/>
      </w:r>
      <w:r>
        <w:rPr>
          <w:rFonts w:ascii="Amiri" w:hAnsi="Amiri" w:eastAsia="Amiri" w:cs="Amiri"/>
          <w:color w:val="111111"/>
          <w:sz w:val="28"/>
          <w:sz w:val="28"/>
          <w:szCs w:val="28"/>
          <w:rtl w:val="true"/>
          <w:lang w:bidi="ar-SA"/>
        </w:rPr>
        <w:t>و غيرها</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ما يشابه فعل الأنبياء و الرسل العالمين بما لا يعلم به الناس من قبل اللَّه تعالى، فلو كان إخباره مطابقاً للواقع فيورث الزلل في معتقدات الناس، و أنّ غير النبيّ يتّصل بالمبادي الخارجة عن أُفق أفهام الناس و عقولهم، و في ذلك مهلكة؛ لإمكان الاعتقاد بأنّه يطّلع من قبل الملائكة المحدّثين، و لا منع من الالتزام بحرمته على الإطلاق؛ لتماميّة بعض الروايات، و لكنّه مع ذلك لا يخلو عن إشكال إذا لم يترتّب عليه الباطل نوعاً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يدلّ على محرميّة الكهانة النصوص الناطقة بأنّ أجر الكاهن من السحت، ففي رواية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السحت ثمن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أجر الكاهن</w:t>
      </w:r>
      <w:r>
        <w:rPr>
          <w:rFonts w:eastAsia="Amiri" w:cs="Amiri" w:ascii="Amiri" w:hAnsi="Amiri"/>
          <w:color w:val="111111"/>
          <w:sz w:val="28"/>
          <w:szCs w:val="28"/>
          <w:rtl w:val="true"/>
          <w:lang w:bidi="ar-SA"/>
        </w:rPr>
        <w:t>»</w:t>
      </w:r>
      <w:r>
        <w:rPr>
          <w:rStyle w:val="FootnoteAnchor"/>
          <w:rtl w:val="true"/>
        </w:rPr>
        <w:footnoteReference w:id="1178"/>
      </w:r>
      <w:r>
        <w:rPr>
          <w:rFonts w:ascii="Amiri" w:hAnsi="Amiri" w:eastAsia="Amiri" w:cs="Amiri"/>
          <w:color w:val="111111"/>
          <w:sz w:val="28"/>
          <w:sz w:val="28"/>
          <w:szCs w:val="28"/>
          <w:rtl w:val="true"/>
          <w:lang w:bidi="ar-SA"/>
        </w:rPr>
        <w:t>و مثلها ما في وصيّة</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79"/>
      </w:r>
      <w:r>
        <w:rPr>
          <w:rFonts w:ascii="Amiri" w:hAnsi="Amiri" w:eastAsia="Amiri" w:cs="Amiri"/>
          <w:color w:val="111111"/>
          <w:sz w:val="28"/>
          <w:sz w:val="28"/>
          <w:szCs w:val="28"/>
          <w:rtl w:val="true"/>
          <w:lang w:bidi="ar-SA"/>
        </w:rPr>
        <w:t>، و فيها مضافاً إلى الدلالة على الحكم التكليفي دلالة على الوضعي، على ما تقرّر في وجه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الملازمة العرفيّة ثابتة بين حرمة العمل و حرمة التعليم و التعلّم و إن سكت عنه الماتن مدّ ظلّه، غير بعيد،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تعريف الكهانة بما في المتن غير تامّ؛ لانطباقه على إخبار المنجّم، فهي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عن مقدّرات الإنسان، متلقّياً من غير الطرق المألوفة، جازماً أو متجزّماً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العالم بعلم المنايا و البلايا متلقّياً من الأنبياء و الأولياء فهو ليس بكاهن، فكأنّه متّصل بالغيب من غير الوسائط الشرعيّة، و كثيراً ما يتّفق صدق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هؤلاء الذين يقرءون خطوط الكفّ و يخبرون بما هو واقع حقيقة، و لكن حرمة هذه الكهانة مشكلة جدّاً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مع عدم اعتبار المستند، و عدم العلم بصدق الخبر لا يجوز الإخبار، و وجهه يحتاج إلى بسطٍ، تعرّضنا له في كتابنا الكبير</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القيافة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الاستناد إلى علامات خاصّة في إلحاق بعض الناس ببعض، و سلب بعض عن بعض على خلاف ما جعله الشارع ميزاناً للإلحاق و عدمه، من الفراش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القيافة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ينبغي تغيير العبارة؛ للزوم احتمال كونها من السحر، بناء على العطف، كما هو الظاهر، و قد حكي على حرمتها الإجماع</w:t>
      </w:r>
      <w:r>
        <w:rPr>
          <w:rStyle w:val="FootnoteAnchor"/>
          <w:rtl w:val="true"/>
        </w:rPr>
        <w:footnoteReference w:id="1181"/>
      </w:r>
      <w:r>
        <w:rPr>
          <w:rFonts w:ascii="Amiri" w:hAnsi="Amiri" w:eastAsia="Amiri" w:cs="Amiri"/>
          <w:color w:val="111111"/>
          <w:sz w:val="28"/>
          <w:sz w:val="28"/>
          <w:szCs w:val="28"/>
          <w:rtl w:val="true"/>
          <w:lang w:bidi="ar-SA"/>
        </w:rPr>
        <w:t>، و عن 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تحريمها بما إذا ترتّب عليها محرّم</w:t>
      </w:r>
      <w:r>
        <w:rPr>
          <w:rFonts w:eastAsia="Amiri" w:cs="Amiri" w:ascii="Amiri" w:hAnsi="Amiri"/>
          <w:color w:val="111111"/>
          <w:sz w:val="28"/>
          <w:szCs w:val="28"/>
          <w:rtl w:val="true"/>
          <w:lang w:bidi="ar-SA"/>
        </w:rPr>
        <w:t>»</w:t>
      </w:r>
      <w:r>
        <w:rPr>
          <w:rStyle w:val="FootnoteAnchor"/>
          <w:rtl w:val="true"/>
        </w:rPr>
        <w:footnoteReference w:id="1182"/>
      </w:r>
      <w:r>
        <w:rPr>
          <w:rFonts w:ascii="Amiri" w:hAnsi="Amiri" w:eastAsia="Amiri" w:cs="Amiri"/>
          <w:color w:val="111111"/>
          <w:sz w:val="28"/>
          <w:sz w:val="28"/>
          <w:szCs w:val="28"/>
          <w:rtl w:val="true"/>
          <w:lang w:bidi="ar-SA"/>
        </w:rPr>
        <w:t>و في حرمتها بعنوانها إشكال؛ لقصور الأدلّة سنداً و دلالة، بل في بعضها ما يدلّ على جوازها بذاتها</w:t>
      </w:r>
      <w:r>
        <w:rPr>
          <w:rStyle w:val="FootnoteAnchor"/>
          <w:rtl w:val="true"/>
        </w:rPr>
        <w:footnoteReference w:id="1183"/>
      </w:r>
      <w:r>
        <w:rPr>
          <w:rFonts w:ascii="Amiri" w:hAnsi="Amiri" w:eastAsia="Amiri" w:cs="Amiri"/>
          <w:color w:val="111111"/>
          <w:sz w:val="28"/>
          <w:sz w:val="28"/>
          <w:szCs w:val="28"/>
          <w:rtl w:val="true"/>
          <w:lang w:bidi="ar-SA"/>
        </w:rPr>
        <w:t>، و ما اتّفق عليه الأصحاب أعمّ من الحرمة الشرعيّة؛ فإنّهم كثيراً ما عدّوا من المحرّمات ما هو الممنوع عقلًا، للملازمة بينه و بين المحرّم الشرعي، أو للاستلزام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ماهيّة هذا العلم أعمّ ممّا في المتن من جهات، و لعلّه يريد بيان الموضوع المحرّم، و هو الصنف الخاصّ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على البتّ و الجزم عن حوادث الكون، من الرخص و الغلاء، و الجدب و الخصب، و كثرة الأمطار و قلّتها، و غير ذلك من الخير و الشر، و النفع و الضرر، مستنداً إلى الحوادث الفلكيّة، و النظرات و الاتصالات الكوكبيّة معتقداً تأثيرها في هذا العالم، على نحو الاستقلال، أو الاشتراك مع اللَّه تعالى عمّا يقول الظالمون، دون مطلق التأثير و لو بإعطاء اللَّه تعالى إيّاها، إذا كان عن دليل 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منه الإخبار عن الخسوف، و الكسوف، و الأهلّة، و اقتران الكواكب و انفصالها، بعد كونه ناشئاً عن أُصول و قواعد سديدة، و الخطأ الواقع منهم أحياناً ناشئ من الخطأ في الحساب، و إعمال القواعد كسائر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التنجيم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وردت في المسألة طوائف من الروايات 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عنه، ففي مرسلة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المنجّم كالكاهن </w:t>
      </w:r>
      <w:r>
        <w:rPr>
          <w:rFonts w:eastAsia="Amiri" w:cs="Amiri" w:ascii="Amiri" w:hAnsi="Amiri"/>
          <w:color w:val="111111"/>
          <w:sz w:val="28"/>
          <w:szCs w:val="28"/>
          <w:rtl w:val="true"/>
          <w:lang w:bidi="ar-SA"/>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منه الجواز، ففي رواية عبد الرحمن بن سيابة،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كانت لا تضرّ بديني فواللَّه لأشتهيها و أشتهي النظر فيها،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كما يقولون، لا تضرّ بدينك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تنظرون في شي‌ء منها كثيره لا يدرك،</w:t>
      </w:r>
    </w:p>
    <w:p>
      <w:pPr>
        <w:pStyle w:val="BookText"/>
        <w:rPr/>
      </w:pPr>
      <w:r>
        <w:rPr>
          <w:rFonts w:ascii="Amiri" w:hAnsi="Amiri" w:eastAsia="Amiri" w:cs="Amiri"/>
          <w:color w:val="111111"/>
          <w:sz w:val="28"/>
          <w:sz w:val="28"/>
          <w:szCs w:val="28"/>
          <w:rtl w:val="true"/>
          <w:lang w:bidi="ar-SA"/>
        </w:rPr>
        <w:t>و قليله لا ينتفع به</w:t>
      </w:r>
      <w:r>
        <w:rPr>
          <w:rFonts w:eastAsia="Amiri" w:cs="Amiri" w:ascii="Amiri" w:hAnsi="Amiri"/>
          <w:color w:val="111111"/>
          <w:sz w:val="28"/>
          <w:szCs w:val="28"/>
          <w:rtl w:val="true"/>
          <w:lang w:bidi="ar-SA"/>
        </w:rPr>
        <w:t>»</w:t>
      </w:r>
      <w:r>
        <w:rPr>
          <w:rStyle w:val="FootnoteAnchor"/>
          <w:rtl w:val="true"/>
        </w:rPr>
        <w:footnoteReference w:id="118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الطائفة الثالثة الجمع بينهما، بأن يكون المحرّم الاعتقاد بأنّ الهموم و الغموم و الأفراح و الخيرات و الشرور و البركات مستندة إلى الأفلاك، و هي المأخوذات و المؤثرات، كما في كثير من أشعار العرب و العجم، و الإخبار بأنّ الموجودات العليّة مناشئ المقدّرات الحسنة و السيّئة، كما كان دأب المنجّمين و الناظرين في العلويّات، و عليه اعتقاد كثير من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الخصال، عن أبي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إيمان بالنجوم و تكذيب بالقدر</w:t>
      </w:r>
      <w:r>
        <w:rPr>
          <w:rFonts w:eastAsia="Amiri" w:cs="Amiri" w:ascii="Amiri" w:hAnsi="Amiri"/>
          <w:color w:val="111111"/>
          <w:sz w:val="28"/>
          <w:szCs w:val="28"/>
          <w:rtl w:val="true"/>
          <w:lang w:bidi="ar-SA"/>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مرسلة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صدّق كاهناً أو منجّماً فهو كافر بما انزل على محمّد</w:t>
      </w:r>
      <w:r>
        <w:rPr>
          <w:rFonts w:eastAsia="Amiri" w:cs="Amiri" w:ascii="Amiri" w:hAnsi="Amiri"/>
          <w:color w:val="111111"/>
          <w:sz w:val="28"/>
          <w:szCs w:val="28"/>
          <w:rtl w:val="true"/>
          <w:lang w:bidi="ar-SA"/>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التنجيم غير جائز و لو كان معتقداً تأثيره الإعدادي، لإطلاق دليل المنع أو لاستلزامه الكذب غير تامّة، لأنّ صدق الخبر و كذبه خارج عن الاختيار، و إذا كان مستنده موجباً لحصول العلم فهو كسائر المسانيد في العلوم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قضيّة رواية هشام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أعلم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إنّ أصل الحساب حقّ، و لكن لا يعلم ذلك إلّا من علم مواليد الخلق كلّهم</w:t>
      </w:r>
      <w:r>
        <w:rPr>
          <w:rFonts w:eastAsia="Amiri" w:cs="Amiri" w:ascii="Amiri" w:hAnsi="Amiri"/>
          <w:color w:val="111111"/>
          <w:sz w:val="28"/>
          <w:szCs w:val="28"/>
          <w:rtl w:val="true"/>
          <w:lang w:bidi="ar-SA"/>
        </w:rPr>
        <w:t>»</w:t>
      </w:r>
      <w:r>
        <w:rPr>
          <w:rStyle w:val="FootnoteAnchor"/>
          <w:rtl w:val="true"/>
        </w:rPr>
        <w:footnoteReference w:id="1188"/>
      </w:r>
      <w:r>
        <w:rPr>
          <w:rFonts w:ascii="Amiri" w:hAnsi="Amiri" w:eastAsia="Amiri" w:cs="Amiri"/>
          <w:color w:val="111111"/>
          <w:sz w:val="28"/>
          <w:sz w:val="28"/>
          <w:szCs w:val="28"/>
          <w:rtl w:val="true"/>
          <w:lang w:bidi="ar-SA"/>
        </w:rPr>
        <w:t xml:space="preserve">هو أنّ المنجّم يبتلي بالكذب، لما هو جاهل، و عليه لو كان الاطّلاع على جميع الجهات محتاجاً إلى العلم المذكور دون الأُمور المتعارفة، فالإخبار بنحو البتّ مع تماميّة السند حسب القواعد، يكون جائزاً، كما أفاده في المتن،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المقطوع به عقلًا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حرمة التعليم و التعلّم فيما كان حراماً نظر، و الوجه ما قد عرفت</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دعوى دلالة معتبرة عبد الملك بن أعين، الآمرة بإحراق الكتب التي في النجوم</w:t>
      </w:r>
      <w:r>
        <w:rPr>
          <w:rStyle w:val="FootnoteAnchor"/>
          <w:rtl w:val="true"/>
        </w:rPr>
        <w:footnoteReference w:id="1189"/>
      </w:r>
      <w:r>
        <w:rPr>
          <w:rFonts w:ascii="Amiri" w:hAnsi="Amiri" w:eastAsia="Amiri" w:cs="Amiri"/>
          <w:color w:val="111111"/>
          <w:sz w:val="28"/>
          <w:sz w:val="28"/>
          <w:szCs w:val="28"/>
          <w:rtl w:val="true"/>
          <w:lang w:bidi="ar-SA"/>
        </w:rPr>
        <w:t>على ممنوعيّتها،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المتن غير تامّ، و المقصود بيان أنّ ما هو المحرّم هو العنوان المأخوذ حدّا له تسامحاً، كما أنّ منع تأثير العلل الماديّة بنحو الإعداد غير جائز، و إثبات الاستقلال و العليّة التامّة ممنوع، و كما أنّ الأوّل جبر و كفر كذلك الثاني شرك و تفويض، فالاستقلال بالوجهين ممنوع سواء كان المقصود كونها مؤثّرات لعدم الاعتقاد باللَّه العالم أو كان المقصود كونها عللًا مستقلّة بإفاضة القدير، فإنّه ممتنع أيضاً على ما تقرّر في محالّه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يمكن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المتراءى من كلمات الأصحاب، و عدّ التنجيم من المحرّمات لا موجبات الكفر و الشرك، أنّ نفس النظر إليها، و الاعتقاد بأنّها ذات آثار في الأرض و من عليها، و القضاء على طبقه محرّم، و لو كانت مؤثّرات بنحو الإعداد أو العليّة كعلّيّة النار للحرارة، فما هو الممنوع لا يستلزم سلب تأثيرها واقعاً، فافهم و تدبّر</w:t>
      </w:r>
      <w:r>
        <w:rPr>
          <w:rFonts w:eastAsia="Amiri" w:cs="Amiri" w:ascii="Amiri" w:hAnsi="Amiri"/>
          <w:color w:val="111111"/>
          <w:sz w:val="28"/>
          <w:szCs w:val="28"/>
          <w:rtl w:val="true"/>
          <w:lang w:bidi="ar-SA"/>
        </w:rPr>
        <w:t>.</w:t>
      </w:r>
      <w:bookmarkStart w:id="265" w:name="pg12366_123285"/>
    </w:p>
    <w:p>
      <w:pPr>
        <w:pStyle w:val="Heading4"/>
        <w:numPr>
          <w:ilvl w:val="3"/>
          <w:numId w:val="1"/>
        </w:numPr>
        <w:rPr/>
      </w:pPr>
      <w:bookmarkStart w:id="266" w:name="__RefHeading___Toc8896107_417432637"/>
      <w:bookmarkStart w:id="267" w:name="_Toc97"/>
      <w:bookmarkEnd w:id="265"/>
      <w:bookmarkEnd w:id="266"/>
      <w:r>
        <w:rPr>
          <w:rtl w:val="true"/>
        </w:rPr>
        <w:t>[</w:t>
      </w:r>
      <w:r>
        <w:rPr>
          <w:rtl w:val="true"/>
        </w:rPr>
        <w:t xml:space="preserve">مسألة </w:t>
      </w:r>
      <w:r>
        <w:rPr/>
        <w:t>17</w:t>
      </w:r>
      <w:r>
        <w:rPr>
          <w:rtl w:val="true"/>
        </w:rPr>
        <w:t xml:space="preserve">: </w:t>
      </w:r>
      <w:r>
        <w:rPr>
          <w:rtl w:val="true"/>
        </w:rPr>
        <w:t>يحرم الغشّ</w:t>
      </w:r>
      <w:r>
        <w:rPr>
          <w:rtl w:val="true"/>
        </w:rPr>
        <w:t>]</w:t>
      </w:r>
      <w:bookmarkEnd w:id="26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 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المعروف بينهم، و عليه النصوص، ففي معتبرة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 يبيع التمر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 أما علمت أنّه ليس من المسلمين من غشّهم؟</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يشكل الحكم، لأجل أنّ ما صحّ سنده غير تامّة دلالته و بالعكس، خصوصاً إذا كانت المعاملة صحيحة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بيع المغشوش باطل و هو منهي أو فيه الغرر فيكون فاسداً فالتحريم مناسب،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الغشّ محرّم و إن لم يتّفق التجارة بالمغشوش، كان لذلك أيضاً وجه، و هو مساعدة بعض النصوص في المسألة، ففي معتبرة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يشاب اللبن بالماء للبيع</w:t>
      </w:r>
      <w:r>
        <w:rPr>
          <w:rFonts w:eastAsia="Amiri" w:cs="Amiri" w:ascii="Amiri" w:hAnsi="Amiri"/>
          <w:color w:val="111111"/>
          <w:sz w:val="28"/>
          <w:szCs w:val="28"/>
          <w:rtl w:val="true"/>
          <w:lang w:bidi="ar-SA"/>
        </w:rPr>
        <w:t>»</w:t>
      </w:r>
      <w:r>
        <w:rPr>
          <w:rStyle w:val="FootnoteAnchor"/>
          <w:rtl w:val="true"/>
        </w:rPr>
        <w:footnoteReference w:id="1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مثلها غيرها ممّا يدلّ على ذلك</w:t>
      </w:r>
      <w:r>
        <w:rPr>
          <w:rStyle w:val="FootnoteAnchor"/>
          <w:rtl w:val="true"/>
        </w:rPr>
        <w:footnoteReference w:id="1192"/>
      </w:r>
      <w:r>
        <w:rPr>
          <w:rFonts w:ascii="Amiri" w:hAnsi="Amiri" w:eastAsia="Amiri" w:cs="Amiri"/>
          <w:color w:val="111111"/>
          <w:sz w:val="28"/>
          <w:sz w:val="28"/>
          <w:szCs w:val="28"/>
          <w:rtl w:val="true"/>
          <w:lang w:bidi="ar-SA"/>
        </w:rPr>
        <w:t>، و سيأتي زيادة توضيح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 يخفى في البيع و الشراء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كشوب اللبن بالماء، و خلط الطعام الجيّد بالردي‌ء، و مزج الدهن بالشحم أو بالدهن النباتي و نحو ذلك، من دون إعلام، 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 و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يظهر من الآخرين</w:t>
      </w:r>
      <w:r>
        <w:rPr>
          <w:rStyle w:val="FootnoteAnchor"/>
          <w:rtl w:val="true"/>
        </w:rPr>
        <w:footnoteReference w:id="1193"/>
      </w:r>
      <w:r>
        <w:rPr>
          <w:rFonts w:ascii="Amiri" w:hAnsi="Amiri" w:eastAsia="Amiri" w:cs="Amiri"/>
          <w:color w:val="111111"/>
          <w:sz w:val="28"/>
          <w:sz w:val="28"/>
          <w:szCs w:val="28"/>
          <w:rtl w:val="true"/>
          <w:lang w:bidi="ar-SA"/>
        </w:rPr>
        <w:t>، و منهم العلّامة في القواعد</w:t>
      </w:r>
      <w:r>
        <w:rPr>
          <w:rStyle w:val="FootnoteAnchor"/>
          <w:rtl w:val="true"/>
        </w:rPr>
        <w:footnoteReference w:id="1194"/>
      </w:r>
      <w:r>
        <w:rPr>
          <w:rFonts w:ascii="Amiri" w:hAnsi="Amiri" w:eastAsia="Amiri" w:cs="Amiri"/>
          <w:color w:val="111111"/>
          <w:sz w:val="28"/>
          <w:sz w:val="28"/>
          <w:szCs w:val="28"/>
          <w:rtl w:val="true"/>
          <w:lang w:bidi="ar-SA"/>
        </w:rPr>
        <w:t>، و هو قضيّة المطلقات، فهو حرام في سائر المعاوضات، بل و في مثل الخلع و النكاح والمباراة، و لو صدق في الهبات و الصدقات فهو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مقتضى عدّة من النصوص و منها ما مرّ الاختصاص بالبيع</w:t>
      </w:r>
      <w:r>
        <w:rPr>
          <w:rStyle w:val="FootnoteAnchor"/>
          <w:rtl w:val="true"/>
        </w:rPr>
        <w:footnoteReference w:id="1195"/>
      </w:r>
      <w:r>
        <w:rPr>
          <w:rFonts w:ascii="Amiri" w:hAnsi="Amiri" w:eastAsia="Amiri" w:cs="Amiri"/>
          <w:color w:val="111111"/>
          <w:sz w:val="28"/>
          <w:sz w:val="28"/>
          <w:szCs w:val="28"/>
          <w:rtl w:val="true"/>
          <w:lang w:bidi="ar-SA"/>
        </w:rPr>
        <w:t>جمعاً بين المطلقات و تلك المقيّدات، و لكن حمله على المثال و الغالبيّة أولى من الحمل المزبور بعد كونهما موجبتين، و لمناسبة الموضوع للحرمة أينما كان أصدق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الخلط بين الجنسين المختلفين في القيمة، و لا منه ما لو خلط بينهما و باع بقيمة الجنس الأدنى، و ليس منه أن يؤدّي في مقام الوفاء الجنس الأعلى، و لا يختصّ بالمعاوضات الجنسيّة، بل</w:t>
      </w:r>
    </w:p>
    <w:p>
      <w:pPr>
        <w:pStyle w:val="BookText"/>
        <w:rPr/>
      </w:pPr>
      <w:r>
        <w:rPr>
          <w:rFonts w:ascii="Amiri" w:hAnsi="Amiri" w:eastAsia="Amiri" w:cs="Amiri"/>
          <w:color w:val="111111"/>
          <w:sz w:val="28"/>
          <w:sz w:val="28"/>
          <w:szCs w:val="28"/>
          <w:rtl w:val="true"/>
          <w:lang w:bidi="ar-SA"/>
        </w:rPr>
        <w:t xml:space="preserve">و لا تفسد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المعاملة به و إن حرّم فعله و أوجب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للطرف بعد الاطّلاع، يصدق في الهبة المعوّضة، و ليس معناه الغرور و التدليس حتّى يكونا متساوقين و مترادفين، و ليس منه ما يطّلع عليه المشتري و يرفع الغرر فيه بالمشاهدة، و لا منه بيع المغشوش و المخلوط بغشّ الآخر، 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 الشي‌ء في الشي‌ء، و إراءة الجنس، الغالي و بيعه بقيمة أو للبيع بقيمته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إحداث العيب الاختياري، و ليس منه ما لو كان الجنس الغالي قليلًا في قبال الداني، و أن لا يطلّع عليه المشتري، و عند ذلك يشكل صحّة المعاوضة، لا لأنّه يصدق عليه الغشّ حتّى يقال ما يقال، بل لأنّه يعدّ أكلًا للمال بالباطل، و أدلّة خيار العيب لا تشمل ما إذا حدث العيب باختيار البائع، بل هي تختصّ ببيع المعيب،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تفسد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لعدم تعلّق النواهي في الباب إلّا بعنوان خارج، و قد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خيار العيب فيما كان الغشّ موجباً للاختلال في سلامة المبيع، و خيار التدليس لو قلنا بجريان الغشّ في النكاح أو بجريان خياره في البيع حذاء خيار تخلّف الوصف، و خيار تخلّف الوصف فيما كان الغشّ بإظهار خلاف الواقع في الوصف المعتبر فيه، و للمسألة مقام آخر يطلب منه، و خيار تبعّض الصفقة فيما كان المغشوش ما يتمكّن المشتري عادة</w:t>
      </w:r>
    </w:p>
    <w:p>
      <w:pPr>
        <w:pStyle w:val="BookText"/>
        <w:rPr/>
      </w:pPr>
      <w:r>
        <w:rPr>
          <w:rFonts w:ascii="Amiri" w:hAnsi="Amiri" w:eastAsia="Amiri" w:cs="Amiri"/>
          <w:color w:val="111111"/>
          <w:sz w:val="28"/>
          <w:sz w:val="28"/>
          <w:szCs w:val="28"/>
          <w:rtl w:val="true"/>
          <w:lang w:bidi="ar-SA"/>
        </w:rPr>
        <w:t xml:space="preserve">نعم لو كان الغشّ بإظهار الشي‌ء على خلاف جنسه كبيع المموّه على أنّه ذهب و فضّة و نحو ذلك فسد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عادة من إخلاصه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كونه من الغشّ، إشكال؛ لأنّه قد يعتبر كونه ممّا لا يعلم إلّا من قبل البائع أو الخبير المتضلّع، و ذلك في غير هذا الفرض يستلزم الغرر؛ لأنّه يرتفع بالمشاهدة، و عند ذلك يكون البيع باطلًا لجهة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غشّ في البيع الفاسد، و ليس من شرائط حرمته صحّة البيع، بل و لا إثباته الخيار؛ لأنّه لو غشّ في المبيع يسيراً فإنّه لا يورث الخيار عرفاً و إن كان محرّماً شرعاً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كانت المعاوضة شخصيّة، و لو كانت كلّيّة فالوفاء فاسد دونها، و هكذا في الفروض السابقة، و الوجه في المسألتين واضح لا يحتاج إلى التأمّل</w:t>
      </w:r>
      <w:r>
        <w:rPr>
          <w:rFonts w:eastAsia="Amiri" w:cs="Amiri" w:ascii="Amiri" w:hAnsi="Amiri"/>
          <w:color w:val="111111"/>
          <w:sz w:val="28"/>
          <w:szCs w:val="28"/>
          <w:rtl w:val="true"/>
          <w:lang w:bidi="ar-SA"/>
        </w:rPr>
        <w:t>.</w:t>
      </w:r>
      <w:bookmarkStart w:id="268" w:name="pg12366_123289"/>
    </w:p>
    <w:p>
      <w:pPr>
        <w:pStyle w:val="Heading4"/>
        <w:numPr>
          <w:ilvl w:val="3"/>
          <w:numId w:val="1"/>
        </w:numPr>
        <w:rPr/>
      </w:pPr>
      <w:bookmarkStart w:id="269" w:name="__RefHeading___Toc8896109_417432637"/>
      <w:bookmarkStart w:id="270" w:name="_Toc98"/>
      <w:bookmarkEnd w:id="268"/>
      <w:bookmarkEnd w:id="269"/>
      <w:r>
        <w:rPr>
          <w:rtl w:val="true"/>
        </w:rPr>
        <w:t>[</w:t>
      </w:r>
      <w:r>
        <w:rPr>
          <w:rtl w:val="true"/>
        </w:rPr>
        <w:t xml:space="preserve">مسألة </w:t>
      </w:r>
      <w:r>
        <w:rPr/>
        <w:t>18</w:t>
      </w:r>
      <w:r>
        <w:rPr>
          <w:rtl w:val="true"/>
        </w:rPr>
        <w:t xml:space="preserve">: </w:t>
      </w:r>
      <w:r>
        <w:rPr>
          <w:rtl w:val="true"/>
        </w:rPr>
        <w:t>يحرم أخذ الأُجرة على ما يجب عليه فعله</w:t>
      </w:r>
      <w:r>
        <w:rPr>
          <w:rtl w:val="true"/>
        </w:rPr>
        <w:t>]</w:t>
      </w:r>
      <w:bookmarkEnd w:id="27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الأُجرة على ما يجب عليه فعله عيناً، بل و لو كفائيّاً، 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وضعاً على المشهور، بل ادّعى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 حاكياً عن جماعة</w:t>
      </w:r>
      <w:r>
        <w:rPr>
          <w:rStyle w:val="FootnoteAnchor"/>
          <w:rtl w:val="true"/>
        </w:rPr>
        <w:footnoteReference w:id="1196"/>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معتدّ به أجده فيه</w:t>
      </w:r>
      <w:r>
        <w:rPr>
          <w:rFonts w:eastAsia="Amiri" w:cs="Amiri" w:ascii="Amiri" w:hAnsi="Amiri"/>
          <w:color w:val="111111"/>
          <w:sz w:val="28"/>
          <w:szCs w:val="28"/>
          <w:rtl w:val="true"/>
          <w:lang w:bidi="ar-SA"/>
        </w:rPr>
        <w:t>»</w:t>
      </w:r>
      <w:r>
        <w:rPr>
          <w:rStyle w:val="FootnoteAnchor"/>
          <w:rtl w:val="true"/>
        </w:rPr>
        <w:footnoteReference w:id="1197"/>
      </w:r>
      <w:r>
        <w:rPr>
          <w:rFonts w:ascii="Amiri" w:hAnsi="Amiri" w:eastAsia="Amiri" w:cs="Amiri"/>
          <w:color w:val="111111"/>
          <w:sz w:val="28"/>
          <w:sz w:val="28"/>
          <w:szCs w:val="28"/>
          <w:rtl w:val="true"/>
          <w:lang w:bidi="ar-SA"/>
        </w:rPr>
        <w:t>و هو الموافق لما تقرّر عندنا في الكتاب الكبير، إذا كان المراد من الأُجرة المجعول في الإجارة، لا مطلق العوض، و منها الجعل في الجعالة، و مثلها عندي على إشكال في كبراها الإباحة بالعوض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أخذ العوض في الشروط البدويّة، بناء على صحّتها، أو في ضمن العقود اللازمة، بل و الجائزة، فهو عندي جائز، و ذلك لعدم تماميّة الوجوه المذكورة في الكتب المفصّلة، و قد تعرّضنا لها في المكاسب المحرّمة، و في صلاة الاستئجار، و في قضاء الولي</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الوحيد فيها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معاملة مصبّ خاصّ، معلوم الحدود عند العرف و العقلاء، و لا يجوز التوصّل إلى العقل في الاستنتاج منها حتّى يدخل البيع في مورد الإجارة و بالعكس، و الوكالة في مورد</w:t>
      </w:r>
    </w:p>
    <w:p>
      <w:pPr>
        <w:pStyle w:val="BookText"/>
        <w:rPr/>
      </w:pPr>
      <w:r>
        <w:rPr>
          <w:rFonts w:ascii="Amiri" w:hAnsi="Amiri" w:eastAsia="Amiri" w:cs="Amiri"/>
          <w:color w:val="111111"/>
          <w:sz w:val="28"/>
          <w:sz w:val="28"/>
          <w:szCs w:val="28"/>
          <w:rtl w:val="true"/>
          <w:lang w:bidi="ar-SA"/>
        </w:rPr>
        <w:t>الاستئجار على العمل، و بالعكس، حتّى لا تجوز الإجارة في مواقف النيابة، فإنّ لها موقفاً خاصّاً، و تكون النيابة بحذاء الإجارة و الوكالة، و لنا كتاب آخر في الفقه، و هو كتاب النيابة كالإجارة و الوكالة، و الاستئجار على النيابة، كالاستئجار على الوكالة، ممّا لا أصل له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صحّ خلط مواقف العقود لكان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الإجارة من أصناف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 بالعكس و هكذا، فعلى هذا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ماهيّة الإجارة موضوعة لمواقف معلومة عند العقلاء، و ليس اعتبارها بيد الفضلاء حتّى يجروها إلى أيّ مصبّ شاؤوا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بالصحّة الإجارة فيما نحن فيه، في غاية الوهن، و نهاية الوهم؛ لعدم تأتّي ماهيّتها في هذه المواضيع، مع أنّ لنا في كون استئجار الحرّ من الإجارة حقيقة كلاماً، ذكرناه في كتاب الإجارة</w:t>
      </w:r>
      <w:r>
        <w:rPr>
          <w:rStyle w:val="FootnoteAnchor"/>
          <w:rtl w:val="true"/>
        </w:rPr>
        <w:footnoteReference w:id="1199"/>
      </w:r>
      <w:r>
        <w:rPr>
          <w:rFonts w:ascii="Amiri" w:hAnsi="Amiri" w:eastAsia="Amiri" w:cs="Amiri"/>
          <w:color w:val="111111"/>
          <w:sz w:val="28"/>
          <w:sz w:val="28"/>
          <w:szCs w:val="28"/>
          <w:rtl w:val="true"/>
          <w:lang w:bidi="ar-SA"/>
        </w:rPr>
        <w:t>، و لذلك لا تصحّ هي في المستحبّات، و في المباحات المشابهة مع الواجبات، بأن يستأجر مثلًا لزرع أرضه نفسه، و مثلها الواجبات النظاميّة، على إشكال في وجوبها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العقود الباطلة في هذه المواقف، الجعالة؛ فإنّ ماهيّتها عند العرف مخصوصة بمصبّ معيّن، و لا معنى للاستفادة منها في كلّ موقف أشكل</w:t>
      </w:r>
    </w:p>
    <w:p>
      <w:pPr>
        <w:pStyle w:val="BookText"/>
        <w:rPr/>
      </w:pPr>
      <w:r>
        <w:rPr>
          <w:rFonts w:ascii="Amiri" w:hAnsi="Amiri" w:eastAsia="Amiri" w:cs="Amiri"/>
          <w:color w:val="111111"/>
          <w:sz w:val="28"/>
          <w:sz w:val="28"/>
          <w:szCs w:val="28"/>
          <w:rtl w:val="true"/>
          <w:lang w:bidi="ar-SA"/>
        </w:rPr>
        <w:t>الاستفادة عن سائر العقود، و هكذا الصلح،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الخلط بين المعتبرات المنجّزة العقلائيّة، و بين الاعتبارات التقديريّة المستحسنة الّتي كان يليق اعتبارها، أوقعهم في هذه المهالك، مع بعض الأخلاط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ظاهرهم تحريم العوض من غير النظر إلى العناوين المنطبقة عليه، و حيث لا إطلاق لمعاقد الإجماعات المدّعاة، بل فيها الموهنات، فالقول بجواز أخذ العوض في الصور المذكورة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المسألة بعض روايات تدلّ على جوازه، و حملها على خلاف ظاهرها بلا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مصحّحة محمّد بن الحسن الصفّار، عن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 وصيّ رجل فمات و أوصى إلى رجل، هل يلزم الوصيّ وصيّة الرجل الذي كان هذا وصيّه؟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يلزمه بحقّه إن كان له قبله حقّ إن شاء اللَّه</w:t>
      </w:r>
      <w:r>
        <w:rPr>
          <w:rFonts w:eastAsia="Amiri" w:cs="Amiri" w:ascii="Amiri" w:hAnsi="Amiri"/>
          <w:color w:val="111111"/>
          <w:sz w:val="28"/>
          <w:szCs w:val="28"/>
          <w:rtl w:val="true"/>
          <w:lang w:bidi="ar-SA"/>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الكلام في الروايات الأُخر، الّتي يمكن دعوى استفادة حرمة مطلق العوض بإلغاء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فيما هو الخارج عن</w:t>
      </w:r>
    </w:p>
    <w:p>
      <w:pPr>
        <w:pStyle w:val="BookText"/>
        <w:rPr/>
      </w:pP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هو المقصود، و هو حرمته التكليفيّة فلعلّ الإجماعات ناظرة إليه؛ ضرورة أنّ عنوانه في هذا الباب قبال المكاسب المستحبّة، و المكروهة، قرينة قطعيّة عليه، و بطلانها لا يحتاج إلى إعمال التعبّد بعد اقتضاء القواعد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يستشهد على الحرمة التكليفيّة بما ورد في النهي، و إظهار المبغوضيّة بالنسبة إلى أجر الأذان، و الإمامة، و القضاء، و تعليم القرآن، في كتاب الأمر بالمعروف</w:t>
      </w:r>
      <w:r>
        <w:rPr>
          <w:rStyle w:val="FootnoteAnchor"/>
          <w:rtl w:val="true"/>
        </w:rPr>
        <w:footnoteReference w:id="1201"/>
      </w:r>
      <w:r>
        <w:rPr>
          <w:rFonts w:ascii="IRNazanin" w:hAnsi="IRNazanin" w:eastAsia="IRNazanin"/>
          <w:color w:val="111111"/>
          <w:sz w:val="28"/>
          <w:sz w:val="28"/>
          <w:szCs w:val="28"/>
          <w:rtl w:val="true"/>
          <w:lang w:bidi="fa-IR"/>
        </w:rPr>
        <w:t>، و القضاء و الشهادات</w:t>
      </w:r>
      <w:r>
        <w:rPr>
          <w:rStyle w:val="FootnoteAnchor"/>
          <w:rtl w:val="true"/>
        </w:rPr>
        <w:footnoteReference w:id="1202"/>
      </w:r>
      <w:r>
        <w:rPr>
          <w:rFonts w:ascii="Amiri" w:hAnsi="Amiri" w:eastAsia="Amiri" w:cs="Amiri"/>
          <w:color w:val="111111"/>
          <w:sz w:val="28"/>
          <w:sz w:val="28"/>
          <w:szCs w:val="28"/>
          <w:rtl w:val="true"/>
          <w:lang w:bidi="ar-SA"/>
        </w:rPr>
        <w:t>، و كتاب الحج</w:t>
      </w:r>
      <w:r>
        <w:rPr>
          <w:rStyle w:val="FootnoteAnchor"/>
          <w:rtl w:val="true"/>
        </w:rPr>
        <w:footnoteReference w:id="1203"/>
      </w:r>
      <w:r>
        <w:rPr>
          <w:rFonts w:ascii="Amiri" w:hAnsi="Amiri" w:eastAsia="Amiri" w:cs="Amiri"/>
          <w:color w:val="111111"/>
          <w:sz w:val="28"/>
          <w:sz w:val="28"/>
          <w:szCs w:val="28"/>
          <w:rtl w:val="true"/>
          <w:lang w:bidi="ar-SA"/>
        </w:rPr>
        <w:t>، و الصلاة</w:t>
      </w:r>
      <w:r>
        <w:rPr>
          <w:rStyle w:val="FootnoteAnchor"/>
          <w:rtl w:val="true"/>
        </w:rPr>
        <w:footnoteReference w:id="1204"/>
      </w:r>
      <w:r>
        <w:rPr>
          <w:rFonts w:ascii="Amiri" w:hAnsi="Amiri" w:eastAsia="Amiri" w:cs="Amiri"/>
          <w:color w:val="111111"/>
          <w:sz w:val="28"/>
          <w:sz w:val="28"/>
          <w:szCs w:val="28"/>
          <w:rtl w:val="true"/>
          <w:lang w:bidi="ar-SA"/>
        </w:rPr>
        <w:t>فإنّه بعد إلغاء الخصوصيّة يعلم ذلك في غير موردها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الروايات في المسائل المشار إليها، غير نقيّة السند، و ما هو يتمّ سنده محمول عندهم على الكراهة، و لو سلّمنا تماميّة السند</w:t>
      </w:r>
    </w:p>
    <w:p>
      <w:pPr>
        <w:pStyle w:val="BookText"/>
        <w:rPr/>
      </w:pPr>
      <w:r>
        <w:rPr>
          <w:rFonts w:ascii="Amiri" w:hAnsi="Amiri" w:eastAsia="Amiri" w:cs="Amiri"/>
          <w:color w:val="111111"/>
          <w:sz w:val="28"/>
          <w:sz w:val="28"/>
          <w:szCs w:val="28"/>
          <w:rtl w:val="true"/>
          <w:lang w:bidi="ar-SA"/>
        </w:rPr>
        <w:t>و الدلالة فإلغاؤها للتجاوز إلى عنوان المسألة حتّى يشمل التوصّليّات الواجبة،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دعوى الأولويّة بالنسبة إلى سائر المستحبّات و الواجبات التعبديّة، ليست غريبة، خصوصاً بعد ملاحظة رواية العلاء بن سيّابة،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يصلّى خلف من يبتغي على الأذان و الصلاة الأجر</w:t>
      </w:r>
      <w:r>
        <w:rPr>
          <w:rFonts w:eastAsia="Amiri" w:cs="Amiri" w:ascii="Amiri" w:hAnsi="Amiri"/>
          <w:color w:val="111111"/>
          <w:sz w:val="28"/>
          <w:szCs w:val="28"/>
          <w:rtl w:val="true"/>
          <w:lang w:bidi="ar-SA"/>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معتبرة حمران المشتملة على المنكرات المبتلى بها الناس، 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رأيت الأذان بالأجر، و الصلاة بالأجر</w:t>
      </w:r>
      <w:r>
        <w:rPr>
          <w:rFonts w:eastAsia="Amiri" w:cs="Amiri" w:ascii="Amiri" w:hAnsi="Amiri"/>
          <w:color w:val="111111"/>
          <w:sz w:val="28"/>
          <w:szCs w:val="28"/>
          <w:rtl w:val="true"/>
          <w:lang w:bidi="ar-SA"/>
        </w:rPr>
        <w:t>»</w:t>
      </w:r>
      <w:r>
        <w:rPr>
          <w:rStyle w:val="FootnoteAnchor"/>
          <w:rtl w:val="true"/>
        </w:rPr>
        <w:footnoteReference w:id="1206"/>
      </w:r>
      <w:r>
        <w:rPr>
          <w:rFonts w:ascii="Amiri" w:hAnsi="Amiri" w:eastAsia="Amiri" w:cs="Amiri"/>
          <w:color w:val="111111"/>
          <w:sz w:val="28"/>
          <w:sz w:val="28"/>
          <w:szCs w:val="28"/>
          <w:rtl w:val="true"/>
          <w:lang w:bidi="ar-SA"/>
        </w:rPr>
        <w:t>فإنّهما ظاهرتان في أخذ الأجر قبال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الإنصاف اختصاصهما بالصلاة بالناس، كما في رواية معتبرة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خلف من يبغي على الأذان و الصلاة بالناس أجراً، و لا تقبل شهادته</w:t>
      </w:r>
      <w:r>
        <w:rPr>
          <w:rFonts w:eastAsia="Amiri" w:cs="Amiri" w:ascii="Amiri" w:hAnsi="Amiri"/>
          <w:color w:val="111111"/>
          <w:sz w:val="28"/>
          <w:szCs w:val="28"/>
          <w:rtl w:val="true"/>
          <w:lang w:bidi="ar-SA"/>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قضيّة الأولوية ممنوعيّة مطلق العوض حتّى في الصور الّتي جوّزناها 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كتغسيل الموتى و تكفينهم و دفنهم، نعم لو كان الواجب توصّلياً كالدفن، و لم يبذل المال لأجل أصل العمل، بل لاختيار عمل خاصّ، لا بأس به، فالمحرّم أخذ الأُجرة لأصل الدفن، و أمّا لو اختار الولي مكاناً خاصّاً و قبراً مخصوصاً و أعطى المال لحفر ذلك المكان الخاصّ، فالظاهر أنّه لا بأس به، كما لا بأس بأخذ الطبيب الأُجرة للحضور عند المريض و إن أشكل أخذها لأصل المعالجة، نعم، لا بأس قطعاً بإيجاد الداعي إلى العبادات، بعد عدم لزوم الإخلال بشرائطها، كما تقرّر في محلّه</w:t>
      </w:r>
      <w:r>
        <w:rPr>
          <w:rStyle w:val="FootnoteAnchor"/>
          <w:rtl w:val="true"/>
        </w:rPr>
        <w:footnoteReference w:id="1208"/>
      </w:r>
      <w:r>
        <w:rPr>
          <w:rFonts w:ascii="Amiri" w:hAnsi="Amiri" w:eastAsia="Amiri" w:cs="Amiri"/>
          <w:color w:val="111111"/>
          <w:sz w:val="28"/>
          <w:sz w:val="28"/>
          <w:szCs w:val="28"/>
          <w:rtl w:val="true"/>
          <w:lang w:bidi="ar-SA"/>
        </w:rPr>
        <w:t>، بل مقتضى أدلّة الأمر بالمعروف و النهي عن المنكر، جواز إعطاء الأجر للتوصّل إلى المعروف على الوجه المزبور عندنا، و لكنّه أعمّ، و لو تمّ ما أُشير إليه يتعيّن التقييد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المتن جواز أخذ الأُجرة حذاء الواجب التخييري و لو كان تعبديّاً، و الوجه قصور القواعد عن إبطاله و إجمال معاقد الإجماعات، و قد عرفت ما فيهما، و يكفي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مخافة الإجماع، و إلّا فمقتضى ما أفاده في وجه بطلان أخذ الأُجرة في العيني، عدم بطلانه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الواجبات العينيّة التعيينيّة كالصلاة و الصوم و الحجّ و نحوها اعتبر فيها مضافاً إلى أصل الوجوب، كونها على ذمّة العبد نحو الديون الخلقيّة، و يشهد لذلك المرام آيات و روايات، و عليه تكون الأعمال الواجبة ملك للَّه تعالى، و دَين على العبد، فلا يجوز إجارة نفسه لما لا يملكه، و يكون ملكاً للغير، فما كان من سائر الواجبات داخلة في هذا الاعتبار تخييريّاً كان أو كفائيّاً، فلا يجوز أخذ الأُجرة عليها، و إلّا فيجوز، و ليس في الأدلّة ما يورث اندراج الكفائيّات فيها، فالأقوى صحّة الاستئجار فيها،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دليله عن العينيّات التوصليّة، و انحصار أمثلته في العباديّة و التقرّبيّة كالخمس، و الزكاة، أنّ المكلّف بهذه التكاليف ليس أجيراً خاصّاً في نظر الشرع و العرف، و لو سلّمنا ذلك فالإجارة الثانية تبطل على المشهور، خلافاً لما اخترناه في كتاب الإجارة</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بطلان الإجارة لا يورث بطلان أخذ الأجر بعنوان آخر، مثلًا لو امتنع الأجير الخاصّ من القيام بالوظيفة، فأعطاه المستأجر أو الأجنبي أجراً، لأجل قيامه بالوظيفة الشرعيّة الحاصلة من عقد الإجارة، يكون</w:t>
      </w:r>
    </w:p>
    <w:p>
      <w:pPr>
        <w:pStyle w:val="BookText"/>
        <w:rPr/>
      </w:pPr>
      <w:r>
        <w:rPr>
          <w:rFonts w:ascii="Amiri" w:hAnsi="Amiri" w:eastAsia="Amiri" w:cs="Amiri"/>
          <w:color w:val="111111"/>
          <w:sz w:val="28"/>
          <w:sz w:val="28"/>
          <w:szCs w:val="28"/>
          <w:rtl w:val="true"/>
          <w:lang w:bidi="ar-SA"/>
        </w:rPr>
        <w:t>ذلك غير ممنوع، مع أنّ كلام الأصحاب ظاهر في منع مطلق الأجر</w:t>
      </w:r>
      <w:r>
        <w:rPr>
          <w:rStyle w:val="FootnoteAnchor"/>
          <w:rtl w:val="true"/>
        </w:rPr>
        <w:footnoteReference w:id="1210"/>
      </w:r>
      <w:r>
        <w:rPr>
          <w:rFonts w:ascii="Amiri" w:hAnsi="Amiri" w:eastAsia="Amiri" w:cs="Amiri"/>
          <w:color w:val="111111"/>
          <w:sz w:val="28"/>
          <w:sz w:val="28"/>
          <w:szCs w:val="28"/>
          <w:rtl w:val="true"/>
          <w:lang w:bidi="ar-SA"/>
        </w:rPr>
        <w:t>، بل استئجار المستأجر أجيره الخاصّ على الإقدام بإيجاد ما استؤجر له، غير ممنوع حسب ما أفاده في حقيقة الإجارة</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لا بأس بالإجارة في تلك الواجبات؛ لأنّها في طولها، و ما هو الممنوع كون الإجارة الثانية، مزاحمة لمفاد الإجارة الأُولى و التكاليف الإلهيّة، لا المؤكّدة و الباعثة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تجري العقود المعروفة، و المعاوضات المتعارفة في هذه المواقف، لقصور ماهيّاتها، و عدم كونها بيدنا في السعة و الضيق، من غير دخالة الوجوب و الاستحباب، بل في الأعمال المباحة هي قاصرة عن الجريان إلّا في بعض الصور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جماعة، حيث توهّموا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الممنوع في المقام هو الأُجرة، لا مطلق الأجر، و لكنّه عندي غير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تنافيه لقصد القربة في العباديّات، مدفوع بما تقرّر في محلّه</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الصورة المستثناة من الاستثناء المنقطع، مع أنّه قد يشكل</w:t>
      </w:r>
    </w:p>
    <w:p>
      <w:pPr>
        <w:pStyle w:val="BookText"/>
        <w:rPr/>
      </w:pPr>
      <w:r>
        <w:rPr>
          <w:rFonts w:ascii="Amiri" w:hAnsi="Amiri" w:eastAsia="Amiri" w:cs="Amiri"/>
          <w:color w:val="111111"/>
          <w:sz w:val="28"/>
          <w:sz w:val="28"/>
          <w:szCs w:val="28"/>
          <w:rtl w:val="true"/>
          <w:lang w:bidi="ar-SA"/>
        </w:rPr>
        <w:t>ذلك؛ لاتّحاد الخصوصيّة مع الخاصّ، و التفكيك ليس عرفيّاً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حال أخذ الأُجرة للحضور، أو المشي إلى البيت، أو حمل الأثاث، و مقدّمات العمل، و الطبابة؛ فإنّه ممّا يفهم العرف بأنّ الشرع لو منع أخذ الأُجرة للطبيب حذاء الطبابة، منع عن هذه الأُمور، ممّا كان الصلاح في أمر ينقلب إلى الفساد بتلك الحيل القريبة من الأذهان العرفيّة، فكأنّه منع من إعاشة الطبيب من تلك الطريقة، و اعتبر مجّانيّة العمل وضعاً، و لزوم ذلك تكليفاً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هو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الواجبات و غيرها، ممّا يتعلّق بالناس، و ليس من الوظائف الفرديّة، مثل العباديّات، و ما شابهها من التّوصليّات عينيّة كانت، أو تخييريّة، أو كفائيّة، أو غيرها، تجري فيها المعاوضات العقلائيّة؛ لتماميّة المقتضي و عدم وجود المانع، و ما توهّمت مانعيّته لا يرجع إلى محصّل، كما تحرّر منّا في كتابنا الكبير</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هو من الوظائف الفرديّة التي لا تكون للناس فيه الأغراض و المنافع، لا تجري فيه ماهيّات المعاوضات</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أخذ الجعل حذاء صلاة نفسه بوجه مضى، ممّا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فالواجبات النظاميّة الّتي هي ترجع في الحقيقة إلى الواجبات العقليّة أو</w:t>
      </w:r>
    </w:p>
    <w:p>
      <w:pPr>
        <w:pStyle w:val="BookText"/>
        <w:rPr/>
      </w:pPr>
      <w:r>
        <w:rPr>
          <w:rFonts w:ascii="Amiri" w:hAnsi="Amiri" w:eastAsia="Amiri" w:cs="Amiri"/>
          <w:color w:val="111111"/>
          <w:sz w:val="28"/>
          <w:sz w:val="28"/>
          <w:szCs w:val="28"/>
          <w:rtl w:val="true"/>
          <w:lang w:bidi="ar-SA"/>
        </w:rPr>
        <w:t xml:space="preserve">و إن كان الأقوى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الغيريّة، لحرمة الإخلال و الهرج و المرج، مصبّ عناوين المعاوضات، فلا بأس بأن يأخذ الطبيب أجرين، أجراً حذاء طبابته من المريض، و أجراً حذاء تهيئته للعيادة من الأمير و الحاكم، و هذا الأجر الأخير ينبغي أن يكون محلّ البحث، دون الأوّل،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يأخذ البقّال و الصانع مقابل البقل و الصنع، و أُخرى مقابل البقّاليّة و التصنيع بالمعنى المصدري، أو بالمعنى الآخر، و هو تحمّل قبول ذلك؛ لأنّه أعظم شأناً من أن يكون طبيباً و صانعاً و بقّالًا، إذا تبيّن ذلك فيعلم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لا تأتي فيه ماهيّات العقود ما هو، و ما تأتي فيه ما هو، و تقدر على التمييز، و يعلم أيضاً وجه عدم استثناء الماتن للواجبات النظاميّة الكفائيّة، أو التخييريّة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الأقوى جوازه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كان متعيّناً فإنّ التعيّن و التعيين في الكفائيّة و التخييريّة، لا يورث تصرّفاً في الجعل، كما في المشروطة و الموسّعة، فإنّه بحصول الشرط و ضيق الوقت، لا يكون واجباً مطلقاً و مضيّقاً، بل و لو اقتضى ذلك،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معنى للمعاوضة على أن يكون طبيباً لنفسه، فإنّه من قبيل الاستئجار على أن يصلّي صلاته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الإشكال في أخذ الأُجرة على أصل الطبابة، و دفعه بأخذها</w:t>
      </w:r>
    </w:p>
    <w:p>
      <w:pPr>
        <w:pStyle w:val="BookText"/>
        <w:rPr/>
      </w:pPr>
      <w:r>
        <w:rPr>
          <w:rFonts w:ascii="Amiri" w:hAnsi="Amiri" w:eastAsia="Amiri" w:cs="Amiri"/>
          <w:color w:val="111111"/>
          <w:sz w:val="28"/>
          <w:sz w:val="28"/>
          <w:szCs w:val="28"/>
          <w:rtl w:val="true"/>
          <w:lang w:bidi="ar-SA"/>
        </w:rPr>
        <w:t xml:space="preserve">و لو كان العمل مبتدئاً يشترط فيه التقرّب كالتغسيل فلا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عليه على أيّ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حذاء المقدّمات، كتوهّم الإشكال في أخذها حذاء العبادة، و دفعه بأخذها حذاء النيابة؛ فإنّ إمكان اعتبار الماليّة لشي‌ء باعتبار الأمر الآخر كما في الأوراق النقديّة، لا يكفي، بل لا بدّ من كونه عقلائيّاً،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إجماعاً، و هذا هو القدر المسلّم من معاقد الإجماعات المحكيّة</w:t>
      </w:r>
      <w:r>
        <w:rPr>
          <w:rStyle w:val="FootnoteAnchor"/>
          <w:rtl w:val="true"/>
        </w:rPr>
        <w:footnoteReference w:id="1214"/>
      </w:r>
      <w:r>
        <w:rPr>
          <w:rFonts w:ascii="Amiri" w:hAnsi="Amiri" w:eastAsia="Amiri" w:cs="Amiri"/>
          <w:color w:val="111111"/>
          <w:sz w:val="28"/>
          <w:sz w:val="28"/>
          <w:szCs w:val="28"/>
          <w:rtl w:val="true"/>
          <w:lang w:bidi="ar-SA"/>
        </w:rPr>
        <w:t xml:space="preserve">، و إليه يشير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أيّ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لتنافي قصد القربة و الامتثال معها؛ لأنّها هي المؤثّر و المحرّك نحو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كانت الأُجرة محرّكة بالعنوان الإلهي المنطبق عليها، كما في التحرّك من الجنّة و النار، و من التوسعة في الرزق، و غيرها، فهي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القبيل لو استأجر فأعطى الأُجرة قبل العمل، و صرفها، ثمّ بعد ذلك تمشي من القربة؛ للزوم أداء الدين، و لا يشترط القدرة على تسليم مورد الإجارة حين العقد، بل اللازم منها حين التسليم، كما هو الظاهر</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الّذي يظهر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المأتي به لا بدّ من كونه عبادة للَّه تعالى، من غير رياء، و لا حاجة في عباديّة الشي‌ء إلى الأمر حتّى يلزم كون</w:t>
      </w:r>
    </w:p>
    <w:p>
      <w:pPr>
        <w:pStyle w:val="BookText"/>
        <w:rPr/>
      </w:pPr>
      <w:r>
        <w:rPr>
          <w:rFonts w:ascii="Amiri" w:hAnsi="Amiri" w:eastAsia="Amiri" w:cs="Amiri"/>
          <w:color w:val="111111"/>
          <w:sz w:val="28"/>
          <w:sz w:val="28"/>
          <w:szCs w:val="28"/>
          <w:rtl w:val="true"/>
          <w:lang w:bidi="ar-SA"/>
        </w:rPr>
        <w:t xml:space="preserve">نعم، 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بأخذها على الأُمور غير الواجبة، كما تقدّم في غسل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التحرّك من قبله، بل الأوامر كلّها توصّليّة يتسامح و الاختلاف في التعلّقات، فلا تكون العبادة عبادة إلّا بصلاحيّة الذات و القصد، فلو عبد اللَّه لما أمره الأب، و الأمر بالمعروف، و لغير ذلك من البواعث المختلفة، صحّت عبادته، و لا دليل على تقوّم الصحّة بالأمر، و لا بمضريّة التحرّك من قبل الأمر الآخر بأبعادها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مع ذلك كلّه تكون المعاوضات لعدم مشروعيّتها إلّا في مواضع معلومة عند العقلاء باطلة في المقام، و في المسائل الآتية أيضاً، و ليس مجرّد إمكان الإسراء كافٍ في صحّة سريان عناوين المعاملات في جميع المواضيع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حصّلنا يظهر بطلان الإجارة في صلاة الاستئجار، و صومه، و حجّه، و غير ذلك، و قد فصّلنا البحث حوله في كتاب الصلاة، من كتابنا الكبير</w:t>
      </w:r>
      <w:r>
        <w:rPr>
          <w:rStyle w:val="FootnoteAnchor"/>
          <w:rtl w:val="true"/>
        </w:rPr>
        <w:footnoteReference w:id="1215"/>
      </w:r>
      <w:r>
        <w:rPr>
          <w:rFonts w:ascii="Amiri" w:hAnsi="Amiri" w:eastAsia="Amiri" w:cs="Amiri"/>
          <w:color w:val="111111"/>
          <w:sz w:val="28"/>
          <w:sz w:val="28"/>
          <w:szCs w:val="28"/>
          <w:rtl w:val="true"/>
          <w:lang w:bidi="ar-SA"/>
        </w:rPr>
        <w:t>و في هذا المختصر لا وجه للإعادة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وجه الإشكال في صحّة المعاوضة على الأُمور اللّاحقة</w:t>
      </w:r>
      <w:r>
        <w:rPr>
          <w:rStyle w:val="FootnoteAnchor"/>
          <w:rtl w:val="true"/>
        </w:rPr>
        <w:footnoteReference w:id="1216"/>
      </w:r>
      <w:r>
        <w:rPr>
          <w:rFonts w:ascii="Amiri" w:hAnsi="Amiri" w:eastAsia="Amiri" w:cs="Amiri"/>
          <w:color w:val="111111"/>
          <w:sz w:val="28"/>
          <w:sz w:val="28"/>
          <w:szCs w:val="28"/>
          <w:rtl w:val="true"/>
          <w:lang w:bidi="ar-SA"/>
        </w:rPr>
        <w:t>، غير ذات الماليّة إلّا بالتقييد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الإنسان تعليم مسائل الحلال و الحرام، فلا يجوز أخذها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كفائيّاً، و في كونه واجباً عند السؤال عيناً إشكال، بل منع، و لعلّ نظره إلى الإفتاء، أو نقل الفتوى للمحتاج إليه، في صورة الجواز، و أمّا نقله لمن يعرف فساده، فهو غير جائز؛ للزوم تفويت المصلحة، بل و في وجه، الإلقاء في التهلكة، و الإغراء إلى الجهل، دون من يؤخذ منه الصناعات العلميّة، و العلوم، لتحصيل الملكات الاجتهاديّة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ممنوعيّة الأخذ غير تامّة بالوجوه المتوهّمة؛ لأنّها ترجع إلى توهّم تنافي الوجوب معه، و قد تقرّر خلافه، و عليه يأخذ الأجر حذاءه، و إذا لم يؤدّ فيعلمه، لئلّا يقع في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لزوم تجويزها للأنبياء غير مسموعة؛ لاستلزامه الإخلال بالمقصد، مع ظهور فعلهم في المجّانيّة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الحقيقة يشبه الواجبات النظاميّة التي تجب مع العوض، و إن لم يوجد من يؤدّيه فعليه ذلك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تعليم القرآن فضلًا عن غيره من الكتابة و قراءة الخطّ و غير ذلك، فلا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بأخذها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لعلّه يشمل نفي الكراهة،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21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حرام مع الشرط</w:t>
      </w:r>
      <w:r>
        <w:rPr>
          <w:rFonts w:eastAsia="IRNazanin" w:cs="IRNazanin"/>
          <w:color w:val="111111"/>
          <w:sz w:val="28"/>
          <w:szCs w:val="28"/>
          <w:rtl w:val="true"/>
          <w:lang w:bidi="fa-IR"/>
        </w:rPr>
        <w:t>»</w:t>
      </w:r>
      <w:r>
        <w:rPr>
          <w:rStyle w:val="FootnoteAnchor"/>
          <w:rtl w:val="true"/>
        </w:rPr>
        <w:footnoteReference w:id="1219"/>
      </w:r>
      <w:r>
        <w:rPr>
          <w:rFonts w:ascii="Amiri" w:hAnsi="Amiri" w:eastAsia="Amiri" w:cs="Amiri"/>
          <w:color w:val="111111"/>
          <w:sz w:val="28"/>
          <w:sz w:val="28"/>
          <w:szCs w:val="28"/>
          <w:rtl w:val="true"/>
          <w:lang w:bidi="ar-SA"/>
        </w:rPr>
        <w:t xml:space="preserve">و تبعه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220"/>
      </w:r>
      <w:r>
        <w:rPr>
          <w:rFonts w:ascii="Amiri" w:hAnsi="Amiri" w:eastAsia="Amiri" w:cs="Amiri"/>
          <w:color w:val="111111"/>
          <w:sz w:val="28"/>
          <w:sz w:val="28"/>
          <w:szCs w:val="28"/>
          <w:rtl w:val="true"/>
          <w:lang w:bidi="ar-SA"/>
        </w:rPr>
        <w:t>، و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الحكم بالتحريم</w:t>
      </w:r>
      <w:r>
        <w:rPr>
          <w:rStyle w:val="FootnoteAnchor"/>
          <w:rtl w:val="true"/>
        </w:rPr>
        <w:footnoteReference w:id="1221"/>
      </w:r>
      <w:r>
        <w:rPr>
          <w:rFonts w:ascii="Amiri" w:hAnsi="Amiri" w:eastAsia="Amiri" w:cs="Amiri"/>
          <w:color w:val="111111"/>
          <w:sz w:val="28"/>
          <w:sz w:val="28"/>
          <w:szCs w:val="28"/>
          <w:rtl w:val="true"/>
          <w:lang w:bidi="ar-SA"/>
        </w:rPr>
        <w:t>، و في المسألة أقوال أُخر</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المشهور، بل المدّعى عليه الإجماع</w:t>
      </w:r>
      <w:r>
        <w:rPr>
          <w:rStyle w:val="FootnoteAnchor"/>
          <w:rtl w:val="true"/>
        </w:rPr>
        <w:footnoteReference w:id="1223"/>
      </w:r>
      <w:r>
        <w:rPr>
          <w:rFonts w:ascii="Amiri" w:hAnsi="Amiri" w:eastAsia="Amiri" w:cs="Amiri"/>
          <w:color w:val="111111"/>
          <w:sz w:val="28"/>
          <w:sz w:val="28"/>
          <w:szCs w:val="28"/>
          <w:rtl w:val="true"/>
          <w:lang w:bidi="ar-SA"/>
        </w:rPr>
        <w:t>، هو الجواز، و هو في محلّ الضعف، مع أنّه لا حاجة إليه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الأخبار مختلفة، ففي طائفة منها ما هو الصريح في الجواز بلا كراهة، مثل رواية الفضل بن أبي قرّة</w:t>
      </w:r>
      <w:r>
        <w:rPr>
          <w:rStyle w:val="FootnoteAnchor"/>
          <w:rtl w:val="true"/>
        </w:rPr>
        <w:footnoteReference w:id="1224"/>
      </w:r>
      <w:r>
        <w:rPr>
          <w:rFonts w:ascii="Amiri" w:hAnsi="Amiri" w:eastAsia="Amiri" w:cs="Amiri"/>
          <w:color w:val="111111"/>
          <w:sz w:val="28"/>
          <w:sz w:val="28"/>
          <w:szCs w:val="28"/>
          <w:rtl w:val="true"/>
          <w:lang w:bidi="ar-SA"/>
        </w:rPr>
        <w:t>، و في اخرى ما هو كالنصّ في</w:t>
      </w:r>
    </w:p>
    <w:p>
      <w:pPr>
        <w:pStyle w:val="BookText"/>
        <w:rPr/>
      </w:pPr>
      <w:r>
        <w:rPr>
          <w:rFonts w:ascii="Amiri" w:hAnsi="Amiri" w:eastAsia="Amiri" w:cs="Amiri"/>
          <w:color w:val="111111"/>
          <w:sz w:val="28"/>
          <w:sz w:val="28"/>
          <w:szCs w:val="28"/>
          <w:rtl w:val="true"/>
          <w:lang w:bidi="ar-SA"/>
        </w:rPr>
        <w:t xml:space="preserve">و المراد بالواجبات المذكورة ما وجب على نفس الأجير، و أمّا ما وجب على غيره، و لا يعتبر فيه المباشرة، التحريم، مثل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اللَّه إنّي لأُحبّك في اللَّه،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إنّي لُابغضك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لأنّك تبغي على الأذان أجراً، و تأخذ على تعليم القرآن أجراً، و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على تعليم القرآن أجراً، كان حظّه يوم القيامة</w:t>
      </w:r>
      <w:r>
        <w:rPr>
          <w:rFonts w:eastAsia="Amiri" w:cs="Amiri" w:ascii="Amiri" w:hAnsi="Amiri"/>
          <w:color w:val="111111"/>
          <w:sz w:val="28"/>
          <w:szCs w:val="28"/>
          <w:rtl w:val="true"/>
          <w:lang w:bidi="ar-SA"/>
        </w:rPr>
        <w:t>»</w:t>
      </w:r>
      <w:r>
        <w:rPr>
          <w:rStyle w:val="FootnoteAnchor"/>
          <w:rtl w:val="true"/>
        </w:rPr>
        <w:footnoteReference w:id="1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جمع بينهما حسب الدلالة، و لا وجه لحمل مثلها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دعوى إعراض المشهور عن هذه الرواية و ما شابهها، في محلّه؛ فتكون النتيجة حينئذٍ عدم الكراهة، مع ضعف أسناد المشتملات على النهي</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تجويز الكسب مع الغرر، و عدم تعيين الأجر، بأن لا يشترط ضمن تجار، خلاف القواعد، و سيأتي بعض الكلام حوله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بأخذ الأُجرة عليه حتّى في العبادات التي يشرع فيها النيابة، فلا بأس بالاستئجار للأموات في العبادات كالحجّ و الصوم و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تفصيل البحث حول ذلك في كتاب الصلاة</w:t>
      </w:r>
      <w:r>
        <w:rPr>
          <w:rStyle w:val="FootnoteAnchor"/>
          <w:rtl w:val="true"/>
        </w:rPr>
        <w:footnoteReference w:id="1226"/>
      </w:r>
      <w:r>
        <w:rPr>
          <w:rFonts w:ascii="IRNazanin" w:hAnsi="IRNazanin" w:eastAsia="IRNazanin"/>
          <w:color w:val="111111"/>
          <w:sz w:val="28"/>
          <w:sz w:val="28"/>
          <w:szCs w:val="28"/>
          <w:rtl w:val="true"/>
          <w:lang w:bidi="fa-IR"/>
        </w:rPr>
        <w:t>، و المختار عدم جوازه</w:t>
      </w:r>
      <w:r>
        <w:rPr>
          <w:rFonts w:eastAsia="IRNazanin" w:cs="IRNazanin"/>
          <w:color w:val="111111"/>
          <w:sz w:val="28"/>
          <w:szCs w:val="28"/>
          <w:rtl w:val="true"/>
          <w:lang w:bidi="fa-IR"/>
        </w:rPr>
        <w:t>.</w:t>
      </w:r>
      <w:bookmarkStart w:id="271" w:name="pg12366_123305"/>
    </w:p>
    <w:p>
      <w:pPr>
        <w:pStyle w:val="Heading4"/>
        <w:numPr>
          <w:ilvl w:val="3"/>
          <w:numId w:val="1"/>
        </w:numPr>
        <w:rPr/>
      </w:pPr>
      <w:bookmarkStart w:id="272" w:name="__RefHeading___Toc8896111_417432637"/>
      <w:bookmarkStart w:id="273" w:name="_Toc99"/>
      <w:bookmarkEnd w:id="271"/>
      <w:bookmarkEnd w:id="272"/>
      <w:r>
        <w:rPr>
          <w:rtl w:val="true"/>
        </w:rPr>
        <w:t>[</w:t>
      </w:r>
      <w:r>
        <w:rPr>
          <w:rtl w:val="true"/>
        </w:rPr>
        <w:t xml:space="preserve">مسألة </w:t>
      </w:r>
      <w:r>
        <w:rPr/>
        <w:t>19</w:t>
      </w:r>
      <w:r>
        <w:rPr>
          <w:rtl w:val="true"/>
        </w:rPr>
        <w:t xml:space="preserve">: </w:t>
      </w:r>
      <w:r>
        <w:rPr>
          <w:rtl w:val="true"/>
        </w:rPr>
        <w:t>يكره اتّخاذ بيع الصرف</w:t>
      </w:r>
      <w:r>
        <w:rPr>
          <w:rtl w:val="true"/>
        </w:rPr>
        <w:t>]</w:t>
      </w:r>
      <w:bookmarkEnd w:id="27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اتّخاذ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الصرف، و الأكفان، و الطعام، حرفة، و كذا بيع الرقيق؛ فإنّ شرّ الناس من باع الناس، و كذا اتخاذ الذبح، و النحر صنعة، و كذا صنعة الحياكة، و الحجامة،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اتّخاذ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مقتضى رواية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فخبّرته أنّه ولد لي غلام،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سمّيته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عزلته عن خمسة أشياء فضعه حيث شئت، لا تسلّمه صيرفيّاً، فإنّ الصيرفيّ لا يسلم عن الربا، و لا تسلّمه بيّاع أكفان، فإنّ صاحب الأكفان يسرّه الوباء إذا كان، و لا تسلّمه بيّاع طعام، فإنّه لا يسلم من الاحتكار، و لا تسلّمه جزّاراً، فإن الجزّار تسلب منه الرحمة، و لا تسلّمه نخاساً،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من باع الناس</w:t>
      </w:r>
      <w:r>
        <w:rPr>
          <w:rFonts w:eastAsia="Amiri" w:cs="Amiri" w:ascii="Amiri" w:hAnsi="Amiri"/>
          <w:color w:val="111111"/>
          <w:sz w:val="28"/>
          <w:szCs w:val="28"/>
          <w:rtl w:val="true"/>
          <w:lang w:bidi="ar-SA"/>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دعوى ظهورها في الاتّخاذ حرفة، غير بعيدة،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الحجامة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ورد في روايات المسألة تجويزها عند عدم الشرط</w:t>
      </w:r>
      <w:r>
        <w:rPr>
          <w:rStyle w:val="FootnoteAnchor"/>
          <w:rtl w:val="true"/>
        </w:rPr>
        <w:footnoteReference w:id="1229"/>
      </w:r>
      <w:r>
        <w:rPr>
          <w:rFonts w:ascii="IRNazanin" w:hAnsi="IRNazanin" w:eastAsia="IRNazanin"/>
          <w:color w:val="111111"/>
          <w:sz w:val="28"/>
          <w:sz w:val="28"/>
          <w:szCs w:val="28"/>
          <w:rtl w:val="true"/>
          <w:lang w:bidi="fa-IR"/>
        </w:rPr>
        <w:t>، و ظاهرها</w:t>
      </w:r>
    </w:p>
    <w:p>
      <w:pPr>
        <w:pStyle w:val="BookText"/>
        <w:rPr/>
      </w:pPr>
      <w:r>
        <w:rPr>
          <w:rFonts w:ascii="Amiri" w:hAnsi="Amiri" w:eastAsia="Amiri" w:cs="Amiri"/>
          <w:color w:val="111111"/>
          <w:sz w:val="28"/>
          <w:sz w:val="28"/>
          <w:szCs w:val="28"/>
          <w:rtl w:val="true"/>
          <w:lang w:bidi="ar-SA"/>
        </w:rPr>
        <w:t>صحّة هذا التكسّب الفاقد للشرط، و هو خلاف الضرورة الثابتة في محلّه، من لزوم كون العوض معلوماً في جميع المكاسب القديمة و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أنّه ليس كسباً غير تامّة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التخصيص ممّا لا بأس به، بل هذه المآثير تشهد على ما اخترناه في كتاب الإجارة، من التوسعة في هذه الأُمور، و عدم تماميّة ما سلكه المشهور، من لزوم الاطّلاع على القيود في العقود</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من المحتمل قويّاً، توجيه بعض مآثير الباب، الواردة في الحياكة</w:t>
      </w:r>
      <w:r>
        <w:rPr>
          <w:rStyle w:val="FootnoteAnchor"/>
          <w:rtl w:val="true"/>
        </w:rPr>
        <w:footnoteReference w:id="1230"/>
      </w:r>
      <w:r>
        <w:rPr>
          <w:rFonts w:ascii="Amiri" w:hAnsi="Amiri" w:eastAsia="Amiri" w:cs="Amiri"/>
          <w:color w:val="111111"/>
          <w:sz w:val="28"/>
          <w:sz w:val="28"/>
          <w:szCs w:val="28"/>
          <w:rtl w:val="true"/>
          <w:lang w:bidi="ar-SA"/>
        </w:rPr>
        <w:t xml:space="preserve">، إلى الحائك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ولد الحائك لا ينجب إلى سبعة أبطن</w:t>
      </w:r>
      <w:r>
        <w:rPr>
          <w:rFonts w:eastAsia="Amiri" w:cs="Amiri" w:ascii="Amiri" w:hAnsi="Amiri"/>
          <w:color w:val="111111"/>
          <w:sz w:val="28"/>
          <w:szCs w:val="28"/>
          <w:rtl w:val="true"/>
          <w:lang w:bidi="ar-SA"/>
        </w:rPr>
        <w:t>»</w:t>
      </w:r>
      <w:r>
        <w:rPr>
          <w:rStyle w:val="FootnoteAnchor"/>
          <w:rtl w:val="true"/>
        </w:rPr>
        <w:footnoteReference w:id="1231"/>
      </w:r>
      <w:r>
        <w:rPr>
          <w:rFonts w:ascii="Amiri" w:hAnsi="Amiri" w:eastAsia="Amiri" w:cs="Amiri"/>
          <w:color w:val="111111"/>
          <w:sz w:val="28"/>
          <w:sz w:val="28"/>
          <w:szCs w:val="28"/>
          <w:rtl w:val="true"/>
          <w:lang w:bidi="ar-SA"/>
        </w:rPr>
        <w:t>محمول عليه،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التكسّب بضراب الفحل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يؤاجره لذلك، مع ضبطه بالمرّة و المرّات المعيّنة، أو بالمدّة، أو بغير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بأخذ الإهداء و الإعطاء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التكسّب بضراب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خلاف معروف بين المتعرّضين؛ لما ورد به الخبر</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صحّة هذا النحو من الكسب الفاقد لشرط المعاوضة هنا، مشكلة لعدم الدليل عليه، و لا يكفي الاتّفاق المشار إليه؛ لقصوره عن الجبر</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الكسب بالفحل إمّا بالإجارة، أو بالبيع، و في الفرضين إشكال آخر، فإنّ النطفة من النجاسات، و ما ورد من الإجماعات في محلّه يشمل الفرض، إلّا أنّ قضيّة صحيحة معاوية بن عمّار</w:t>
      </w:r>
      <w:r>
        <w:rPr>
          <w:rStyle w:val="FootnoteAnchor"/>
          <w:rtl w:val="true"/>
        </w:rPr>
        <w:footnoteReference w:id="1233"/>
      </w:r>
      <w:r>
        <w:rPr>
          <w:rFonts w:ascii="Amiri" w:hAnsi="Amiri" w:eastAsia="Amiri" w:cs="Amiri"/>
          <w:color w:val="111111"/>
          <w:sz w:val="28"/>
          <w:sz w:val="28"/>
          <w:szCs w:val="28"/>
          <w:rtl w:val="true"/>
          <w:lang w:bidi="ar-SA"/>
        </w:rPr>
        <w:t>و غيرها</w:t>
      </w:r>
      <w:r>
        <w:rPr>
          <w:rStyle w:val="FootnoteAnchor"/>
          <w:rtl w:val="true"/>
        </w:rPr>
        <w:footnoteReference w:id="1234"/>
      </w:r>
      <w:r>
        <w:rPr>
          <w:rFonts w:ascii="Amiri" w:hAnsi="Amiri" w:eastAsia="Amiri" w:cs="Amiri"/>
          <w:color w:val="111111"/>
          <w:sz w:val="28"/>
          <w:sz w:val="28"/>
          <w:szCs w:val="28"/>
          <w:rtl w:val="true"/>
          <w:lang w:bidi="ar-SA"/>
        </w:rPr>
        <w:t>، هو الجواز، و قد تعرّضنا لها في محلّه و قلنا بدلالتها على أنّ المنع في سائر النجاسات، ربّما كان لأجل فقد الشرط، فتدبّر</w:t>
      </w:r>
      <w:r>
        <w:rPr>
          <w:rFonts w:eastAsia="Amiri" w:cs="Amiri" w:ascii="Amiri" w:hAnsi="Amiri"/>
          <w:color w:val="111111"/>
          <w:sz w:val="28"/>
          <w:szCs w:val="28"/>
          <w:rtl w:val="true"/>
          <w:lang w:bidi="ar-SA"/>
        </w:rPr>
        <w:t>.</w:t>
      </w:r>
      <w:bookmarkStart w:id="274" w:name="pg12366_123308"/>
    </w:p>
    <w:p>
      <w:pPr>
        <w:pStyle w:val="Heading4"/>
        <w:numPr>
          <w:ilvl w:val="3"/>
          <w:numId w:val="1"/>
        </w:numPr>
        <w:rPr/>
      </w:pPr>
      <w:bookmarkStart w:id="275" w:name="__RefHeading___Toc8896113_417432637"/>
      <w:bookmarkStart w:id="276" w:name="_Toc100"/>
      <w:bookmarkEnd w:id="274"/>
      <w:bookmarkEnd w:id="275"/>
      <w:r>
        <w:rPr>
          <w:rtl w:val="true"/>
        </w:rPr>
        <w:t>[</w:t>
      </w:r>
      <w:r>
        <w:rPr>
          <w:rtl w:val="true"/>
        </w:rPr>
        <w:t xml:space="preserve">مسألة </w:t>
      </w:r>
      <w:r>
        <w:rPr/>
        <w:t>20</w:t>
      </w:r>
      <w:r>
        <w:rPr>
          <w:rtl w:val="true"/>
        </w:rPr>
        <w:t xml:space="preserve">: </w:t>
      </w:r>
      <w:r>
        <w:rPr>
          <w:rtl w:val="true"/>
        </w:rPr>
        <w:t>لا ريب أنّ التكسّب و تحصيل المعيشة بالكدّ و التعب محبوب عند اللَّه تعالى</w:t>
      </w:r>
      <w:r>
        <w:rPr>
          <w:rtl w:val="true"/>
        </w:rPr>
        <w:t>]</w:t>
      </w:r>
      <w:bookmarkEnd w:id="27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التكسّب و تحصيل المعيشة بالكدّ و التعب محبوب عند اللَّه تعالى، و قد ورد عن النبيّ صلّى اللَّه تعالى عليه و آله،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بالحثّ و الترغيب عليه مطلقاً</w:t>
      </w:r>
      <w:r>
        <w:rPr>
          <w:rStyle w:val="FootnoteAnchor"/>
          <w:rtl w:val="true"/>
        </w:rPr>
        <w:footnoteReference w:id="1235"/>
      </w:r>
      <w:r>
        <w:rPr>
          <w:rFonts w:ascii="Amiri" w:hAnsi="Amiri" w:eastAsia="Amiri" w:cs="Amiri"/>
          <w:color w:val="111111"/>
          <w:sz w:val="28"/>
          <w:sz w:val="28"/>
          <w:szCs w:val="28"/>
          <w:rtl w:val="true"/>
          <w:lang w:bidi="ar-SA"/>
        </w:rPr>
        <w:t>، و على خصوص التجارة</w:t>
      </w:r>
      <w:r>
        <w:rPr>
          <w:rStyle w:val="FootnoteAnchor"/>
          <w:rtl w:val="true"/>
        </w:rPr>
        <w:footnoteReference w:id="1236"/>
      </w:r>
      <w:r>
        <w:rPr>
          <w:rFonts w:ascii="Amiri" w:hAnsi="Amiri" w:eastAsia="Amiri" w:cs="Amiri"/>
          <w:color w:val="111111"/>
          <w:sz w:val="28"/>
          <w:sz w:val="28"/>
          <w:szCs w:val="28"/>
          <w:rtl w:val="true"/>
          <w:lang w:bidi="ar-SA"/>
        </w:rPr>
        <w:t>، و الزراعة</w:t>
      </w:r>
      <w:r>
        <w:rPr>
          <w:rStyle w:val="FootnoteAnchor"/>
          <w:rtl w:val="true"/>
        </w:rPr>
        <w:footnoteReference w:id="1237"/>
      </w:r>
      <w:r>
        <w:rPr>
          <w:rFonts w:ascii="IRNazanin" w:hAnsi="IRNazanin" w:eastAsia="IRNazanin"/>
          <w:color w:val="111111"/>
          <w:sz w:val="28"/>
          <w:sz w:val="28"/>
          <w:szCs w:val="28"/>
          <w:rtl w:val="true"/>
          <w:lang w:bidi="fa-IR"/>
        </w:rPr>
        <w:t>، و اقتناء الأغنام، و البقر</w:t>
      </w:r>
      <w:r>
        <w:rPr>
          <w:rStyle w:val="FootnoteAnchor"/>
          <w:rtl w:val="true"/>
        </w:rPr>
        <w:footnoteReference w:id="1238"/>
      </w:r>
      <w:r>
        <w:rPr>
          <w:rFonts w:ascii="Amiri" w:hAnsi="Amiri" w:eastAsia="Amiri" w:cs="Amiri"/>
          <w:color w:val="111111"/>
          <w:sz w:val="28"/>
          <w:sz w:val="28"/>
          <w:szCs w:val="28"/>
          <w:rtl w:val="true"/>
          <w:lang w:bidi="ar-SA"/>
        </w:rPr>
        <w:t>روايات كثيرة، نعم، ورد النهي عن إكثار الإبل</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7" w:name="__RefHeading___Toc8896115_417432637"/>
      <w:bookmarkStart w:id="278" w:name="_Toc101"/>
      <w:bookmarkEnd w:id="277"/>
      <w:r>
        <w:rPr>
          <w:rtl w:val="true"/>
        </w:rPr>
        <w:t>[</w:t>
      </w:r>
      <w:r>
        <w:rPr>
          <w:rtl w:val="true"/>
        </w:rPr>
        <w:t xml:space="preserve">مسألة </w:t>
      </w:r>
      <w:r>
        <w:rPr/>
        <w:t>21</w:t>
      </w:r>
      <w:r>
        <w:rPr>
          <w:rtl w:val="true"/>
        </w:rPr>
        <w:t xml:space="preserve">: </w:t>
      </w:r>
      <w:r>
        <w:rPr>
          <w:rtl w:val="true"/>
        </w:rPr>
        <w:t>يجب على كلّ من يباشر التجارة، و سائر أنواع التكسّب، تعلّم أحكامها</w:t>
      </w:r>
      <w:r>
        <w:rPr>
          <w:rtl w:val="true"/>
        </w:rPr>
        <w:t>]</w:t>
      </w:r>
      <w:bookmarkEnd w:id="27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من يباشر التجارة، و سائر أنواع التكسّب، تعلّم أحكامها، و المسائل المتعلّقة بها، ليعرف صحيحها من فاسدها، و يسلم من الربا،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أنّه أيّ قسم من الوجوب خلاف، فعن جماعة كالأردبيليّ</w:t>
      </w:r>
      <w:r>
        <w:rPr>
          <w:rStyle w:val="FootnoteAnchor"/>
          <w:rtl w:val="true"/>
        </w:rPr>
        <w:footnoteReference w:id="1240"/>
      </w:r>
      <w:r>
        <w:rPr>
          <w:rFonts w:ascii="IRNazanin" w:hAnsi="IRNazanin" w:eastAsia="IRNazanin"/>
          <w:color w:val="111111"/>
          <w:sz w:val="28"/>
          <w:sz w:val="28"/>
          <w:szCs w:val="28"/>
          <w:rtl w:val="true"/>
          <w:lang w:bidi="fa-IR"/>
        </w:rPr>
        <w:t xml:space="preserve">، أحب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r>
        <w:rPr>
          <w:rStyle w:val="FootnoteAnchor"/>
          <w:rtl w:val="true"/>
        </w:rPr>
        <w:footnoteReference w:id="1241"/>
      </w:r>
      <w:r>
        <w:rPr>
          <w:rFonts w:ascii="Amiri" w:hAnsi="Amiri" w:eastAsia="Amiri" w:cs="Amiri"/>
          <w:color w:val="111111"/>
          <w:sz w:val="28"/>
          <w:sz w:val="28"/>
          <w:szCs w:val="28"/>
          <w:rtl w:val="true"/>
          <w:lang w:bidi="ar-SA"/>
        </w:rPr>
        <w:t>وجوبه النفسي و لو أتى بالواقع، و عن كثير وجوبه</w:t>
      </w:r>
    </w:p>
    <w:p>
      <w:pPr>
        <w:pStyle w:val="BookText"/>
        <w:rPr/>
      </w:pPr>
      <w:r>
        <w:rPr>
          <w:rFonts w:ascii="Amiri" w:hAnsi="Amiri" w:eastAsia="Amiri" w:cs="Amiri"/>
          <w:color w:val="111111"/>
          <w:sz w:val="28"/>
          <w:sz w:val="28"/>
          <w:szCs w:val="28"/>
          <w:rtl w:val="true"/>
          <w:lang w:bidi="ar-SA"/>
        </w:rPr>
        <w:t>حال تخلّف المأتي به عن الواقع</w:t>
      </w:r>
      <w:r>
        <w:rPr>
          <w:rStyle w:val="FootnoteAnchor"/>
          <w:rtl w:val="true"/>
        </w:rPr>
        <w:footnoteReference w:id="1242"/>
      </w:r>
      <w:r>
        <w:rPr>
          <w:rFonts w:ascii="Amiri" w:hAnsi="Amiri" w:eastAsia="Amiri" w:cs="Amiri"/>
          <w:color w:val="111111"/>
          <w:sz w:val="28"/>
          <w:sz w:val="28"/>
          <w:szCs w:val="28"/>
          <w:rtl w:val="true"/>
          <w:lang w:bidi="ar-SA"/>
        </w:rPr>
        <w:t>، فيعاقب مرّتين، و الحقّ عدم وجوبه، على ما تقرّر في مقامه</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يصحّ العقوبة على الواقع مع الجهل الذي ليس عذراً، و ما ورد من الترغيب إلى التعلّم</w:t>
      </w:r>
      <w:r>
        <w:rPr>
          <w:rStyle w:val="FootnoteAnchor"/>
          <w:rtl w:val="true"/>
        </w:rPr>
        <w:footnoteReference w:id="1244"/>
      </w:r>
      <w:r>
        <w:rPr>
          <w:rFonts w:ascii="Amiri" w:hAnsi="Amiri" w:eastAsia="Amiri" w:cs="Amiri"/>
          <w:color w:val="111111"/>
          <w:sz w:val="28"/>
          <w:sz w:val="28"/>
          <w:szCs w:val="28"/>
          <w:rtl w:val="true"/>
          <w:lang w:bidi="ar-SA"/>
        </w:rPr>
        <w:t>لا يدلّ على أكثر منه و إمكان الحمل على النفسي لا يكفي بعد عدم مساعدة العرف 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الاستحباب النفسي مطلقاً أو في خصوص الصورة الآتية، لا يتمّ حسب ظواهر المآثير</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المتاجر في بلد يعلم المشتري أحكام التجارة، فلا يجب عليه التعلّم إلّا إذا احتمل تخلّفه عن علمه، فالمقدار اللازم هو ما إذا احتمل وقوعه في الخلاف، فكما لا يجب على البقّال تعلّم أحكام الربا، لعدم ابتلائه به، كذلك لا يجب على العالم بعدم الابتلاء، بخلاف الواقع المنجّز المستلزم للعقاب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القدر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عالماً و لو عن 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التجارة و المعاملة التي يوقعها حين إيقاعها، بل و لو بعد إيقاعها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الشكّ في الصحّة و الفساد فقط، 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عن 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وجه له بعد إمكان الاحتياط، نعم إذا لم يمكن ذلك يجب التعلّم، و هو الأعمّ من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دعوى وجوبه مطلقاً، لما تقرّر منّا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العلم كحجيّة غيره في الحاجة إلى الإمضاء؛ لإمكان سلبها عنه</w:t>
      </w:r>
      <w:r>
        <w:rPr>
          <w:rStyle w:val="FootnoteAnchor"/>
          <w:rtl w:val="true"/>
        </w:rPr>
        <w:footnoteReference w:id="1245"/>
      </w:r>
      <w:r>
        <w:rPr>
          <w:rFonts w:ascii="Amiri" w:hAnsi="Amiri" w:eastAsia="Amiri" w:cs="Amiri"/>
          <w:color w:val="111111"/>
          <w:sz w:val="28"/>
          <w:sz w:val="28"/>
          <w:szCs w:val="28"/>
          <w:rtl w:val="true"/>
          <w:lang w:bidi="ar-SA"/>
        </w:rPr>
        <w:t>، و مقتضى إطلاق هذه المآثير عدم حجيّة العلم بعدم التورّط في الحرام،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وجوب التعلّم يختصّ بمورد يحتمل فيه الحكم الإلزامي، كما في التقليد أيضاً و لو لأجل التشريع، و قد مرّ البحث حوله في كتاب التقليد</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بعد إيقاعها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 العقل الحاكم في المسألة يرى كفاية الحجّة الشرعيّة، و منها التقليد، فالمعذّر عن احتمال مخالفة الواقع، أنحاء، و الكلّ في نظره بنسبة واحدة، فلا حاجة إلى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اشتبه حكمها من جهة الحرمة و الحليّة، لا من جهة مجرّد الصحّة و الفساد،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الاجتناب عنها ثمّ إنّه قد يشكل تجويز المعاملة مع الشكّ في أحكامها؛ لاستلزامه الإخلال بمقوّمها، و هو القصد و الإرادة الجديّة، فإنّها كيف تترشّح إلى عنوان التجارة مع الشكّ في وقوعها، و مع التزامه بعدم الوقوع لو تبيّن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صورة المعاملة بيعاً و لا إجارة، ما دام لم يكن موجوداً، و إن كان فاسداً في نظر الشرع أو العرف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اتّفق غفلته عن حاله، فإنّه حينئذٍ يتمكّن، و لكنّه خلاف المفروض في المتن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تقرّر في محلّه و أُشير إليه، فإنّ البراءات الثلاثة العقليّة، و العقلائيّة، و الشرعيّة، غير جارية، فلو أقدم على ذلك، فإن لم يتمكّن من الإنشاء الجدّي كما عرفت فتلك المعاملة غير قابلة للتصحيح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أدلّة الفضولي لا تقصر عن شمول المورد، فإنّه و إن لم يكن بيعاً إلّا أنّه يصير بيعاً بعد لحوق الإمضاء، كما يصير في الموارد الأُخر مؤثراً به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تمكّن منه، فإن تبيّن بعد المراجعة أنّه الصحيح الحلال فلا شي‌ء</w:t>
      </w:r>
    </w:p>
    <w:p>
      <w:pPr>
        <w:pStyle w:val="BookText"/>
        <w:rPr/>
      </w:pPr>
      <w:r>
        <w:rPr>
          <w:rFonts w:ascii="Amiri" w:hAnsi="Amiri" w:eastAsia="Amiri" w:cs="Amiri"/>
          <w:color w:val="111111"/>
          <w:sz w:val="28"/>
          <w:sz w:val="28"/>
          <w:szCs w:val="28"/>
          <w:rtl w:val="true"/>
          <w:lang w:bidi="ar-SA"/>
        </w:rPr>
        <w:t xml:space="preserve">كموارد الشكّ في أنّ المعاملة ربويّة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حرمة نفس المعاملة أيضاً، كما هو كذلك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إلّا التجرّي، و إن تبيّن أنّه الصحيح الحرام فلا شي‌ء عليه إلّا التوبة، و إن تبيّن أنّه الفاسد الحلال، فإن كان من موارد المقبوض المغصوب فعليه أحكامه، و إن كان من موارد المقبوض المرضي تقديراً فلا شي‌ء عليه إلّا التجرّي، و إن تبيّن أنّه الفاسد الحرام فقد علم حكمه ممّا أُشير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يبعد ظهور الكتاب</w:t>
      </w:r>
      <w:r>
        <w:rPr>
          <w:rStyle w:val="FootnoteAnchor"/>
          <w:rtl w:val="true"/>
        </w:rPr>
        <w:footnoteReference w:id="1247"/>
      </w:r>
      <w:r>
        <w:rPr>
          <w:rFonts w:ascii="Amiri" w:hAnsi="Amiri" w:eastAsia="Amiri" w:cs="Amiri"/>
          <w:color w:val="111111"/>
          <w:sz w:val="28"/>
          <w:sz w:val="28"/>
          <w:szCs w:val="28"/>
          <w:rtl w:val="true"/>
          <w:lang w:bidi="ar-SA"/>
        </w:rPr>
        <w:t>و السنّة</w:t>
      </w:r>
      <w:r>
        <w:rPr>
          <w:rStyle w:val="FootnoteAnchor"/>
          <w:rtl w:val="true"/>
        </w:rPr>
        <w:footnoteReference w:id="1248"/>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محرّم تكليفاً كالقمار، بل لو كان المحرّم فيه التصرّف في مال الغير كسائر المعاملات الفاسدة، فلا وجه لقوله تعالى فَأْذَنُوا بِحَرْبٍ مِنَ اللَّهِ </w:t>
      </w:r>
      <w:r>
        <w:rPr>
          <w:rFonts w:eastAsia="Amiri" w:cs="Amiri" w:ascii="Amiri" w:hAnsi="Amiri"/>
          <w:color w:val="111111"/>
          <w:sz w:val="28"/>
          <w:szCs w:val="28"/>
          <w:rtl w:val="true"/>
          <w:lang w:bidi="ar-SA"/>
        </w:rPr>
        <w:t>..</w:t>
      </w:r>
      <w:r>
        <w:rPr>
          <w:rStyle w:val="FootnoteAnchor"/>
          <w:rtl w:val="true"/>
        </w:rPr>
        <w:footnoteReference w:id="1249"/>
      </w:r>
      <w:r>
        <w:rPr>
          <w:rFonts w:ascii="Amiri" w:hAnsi="Amiri" w:eastAsia="Amiri" w:cs="Amiri"/>
          <w:color w:val="111111"/>
          <w:sz w:val="28"/>
          <w:sz w:val="28"/>
          <w:szCs w:val="28"/>
          <w:rtl w:val="true"/>
          <w:lang w:bidi="ar-SA"/>
        </w:rPr>
        <w:t>و لا سيما لو كان من الموارد الحاصل فيها الطيب التقديري</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المحرّم الذي لا يبعد كونه أشدّ من عشرين زنية</w:t>
      </w:r>
      <w:r>
        <w:rPr>
          <w:rStyle w:val="FootnoteAnchor"/>
          <w:rtl w:val="true"/>
        </w:rPr>
        <w:footnoteReference w:id="1250"/>
      </w:r>
      <w:r>
        <w:rPr>
          <w:rFonts w:ascii="Amiri" w:hAnsi="Amiri" w:eastAsia="Amiri" w:cs="Amiri"/>
          <w:color w:val="111111"/>
          <w:sz w:val="28"/>
          <w:sz w:val="28"/>
          <w:szCs w:val="28"/>
          <w:rtl w:val="true"/>
          <w:lang w:bidi="ar-SA"/>
        </w:rPr>
        <w:t>، بل ثلاثين زنية</w:t>
      </w:r>
      <w:r>
        <w:rPr>
          <w:rStyle w:val="FootnoteAnchor"/>
          <w:rtl w:val="true"/>
        </w:rPr>
        <w:footnoteReference w:id="1251"/>
      </w:r>
      <w:r>
        <w:rPr>
          <w:rFonts w:ascii="Amiri" w:hAnsi="Amiri" w:eastAsia="Amiri" w:cs="Amiri"/>
          <w:color w:val="111111"/>
          <w:sz w:val="28"/>
          <w:sz w:val="28"/>
          <w:szCs w:val="28"/>
          <w:rtl w:val="true"/>
          <w:lang w:bidi="ar-SA"/>
        </w:rPr>
        <w:t>كما يأتي في الكتاب، هو الربا و هو الزيادة</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بعنوانها لا بعنوان التصرّف في مال الغير، فكون نفس المعاملة الربويّة محرّمة، غير معلوم، و لا سيّما على مختار جماعة، من صحّة أصل المعاملة</w:t>
      </w:r>
      <w:r>
        <w:rPr>
          <w:rStyle w:val="FootnoteAnchor"/>
          <w:rtl w:val="true"/>
        </w:rPr>
        <w:footnoteReference w:id="1252"/>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bookmarkStart w:id="279" w:name="pg12366_123314"/>
    </w:p>
    <w:p>
      <w:pPr>
        <w:pStyle w:val="Heading4"/>
        <w:numPr>
          <w:ilvl w:val="3"/>
          <w:numId w:val="1"/>
        </w:numPr>
        <w:rPr/>
      </w:pPr>
      <w:bookmarkStart w:id="280" w:name="__RefHeading___Toc8896117_417432637"/>
      <w:bookmarkStart w:id="281" w:name="_Toc102"/>
      <w:bookmarkEnd w:id="279"/>
      <w:bookmarkEnd w:id="280"/>
      <w:r>
        <w:rPr>
          <w:rtl w:val="true"/>
        </w:rPr>
        <w:t>[</w:t>
      </w:r>
      <w:r>
        <w:rPr>
          <w:rtl w:val="true"/>
        </w:rPr>
        <w:t xml:space="preserve">مسألة </w:t>
      </w:r>
      <w:r>
        <w:rPr/>
        <w:t>22</w:t>
      </w:r>
      <w:r>
        <w:rPr>
          <w:rtl w:val="true"/>
        </w:rPr>
        <w:t xml:space="preserve">: </w:t>
      </w:r>
      <w:r>
        <w:rPr>
          <w:rtl w:val="true"/>
        </w:rPr>
        <w:t>للتجارة و التكسّب آداب مستحبّة و مكروهة</w:t>
      </w:r>
      <w:r>
        <w:rPr>
          <w:rtl w:val="true"/>
        </w:rPr>
        <w:t>]</w:t>
      </w:r>
      <w:bookmarkEnd w:id="28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للتجارة و التكسّب آداب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مستحبّة و مكروهة، أمّا المستحبّة فأهمّها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الإجمال في الطلب، و الاقتصاد فيه؛ بحيث لا يكون مضيّعاً و لا حريصاً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إقالة النادم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البيع و الشراء لو استقاله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التسوية بين المبتاعين في السعر، فلا يفرّق بين المماكس و غيره، بأن يقلّل الثمن للأوّل و يزيده للثاني، نعم لا بأس بالفرق بسبب الفضل و الدين، و نحو ذلك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يقبض لنفسه ناقصاً و يعطي راجحاً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استحباب هذه المذكورات و غيرها المزبور في المفصّلات و كراهتها شرعاً إلّا بعضاً منها،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إثباتها بأدلّة التسامح</w:t>
      </w:r>
      <w:r>
        <w:rPr>
          <w:rStyle w:val="FootnoteAnchor"/>
          <w:rtl w:val="true"/>
        </w:rPr>
        <w:footnoteReference w:id="1253"/>
      </w:r>
      <w:r>
        <w:rPr>
          <w:rFonts w:ascii="Amiri" w:hAnsi="Amiri" w:eastAsia="Amiri" w:cs="Amiri"/>
          <w:color w:val="111111"/>
          <w:sz w:val="28"/>
          <w:sz w:val="28"/>
          <w:szCs w:val="28"/>
          <w:rtl w:val="true"/>
          <w:lang w:bidi="ar-SA"/>
        </w:rPr>
        <w:t>فلا يبعد، خصوصاً على القول بشمولها لفتوى الفقيه الذي لا يكون سندها إلّا الرواية دون الفتوى المستندة إلى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إقالة النادم</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كونها من الآداب مبني على عدم كونها من المعاملات كالبيع، و مثلها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اشتراط الندامة مشكل بعد إطلاق بعض الروايات</w:t>
      </w:r>
      <w:r>
        <w:rPr>
          <w:rStyle w:val="FootnoteAnchor"/>
          <w:rtl w:val="true"/>
        </w:rPr>
        <w:footnoteReference w:id="125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تعارف القيد في الأُخرى</w:t>
      </w:r>
      <w:r>
        <w:rPr>
          <w:rStyle w:val="FootnoteAnchor"/>
          <w:rtl w:val="true"/>
        </w:rPr>
        <w:footnoteReference w:id="1255"/>
      </w:r>
      <w:r>
        <w:rPr>
          <w:rFonts w:ascii="Amiri" w:hAnsi="Amiri" w:eastAsia="Amiri" w:cs="Amiri"/>
          <w:color w:val="111111"/>
          <w:sz w:val="28"/>
          <w:sz w:val="28"/>
          <w:szCs w:val="28"/>
          <w:rtl w:val="true"/>
          <w:lang w:bidi="ar-SA"/>
        </w:rPr>
        <w:t>لا يورث التقيّد، و اختصاصها بالبيع غير معلوم بعد الإطلاق في رواية سماعة</w:t>
      </w:r>
      <w:r>
        <w:rPr>
          <w:rStyle w:val="FootnoteAnchor"/>
          <w:rtl w:val="true"/>
        </w:rPr>
        <w:footnoteReference w:id="1256"/>
      </w:r>
      <w:r>
        <w:rPr>
          <w:rFonts w:ascii="Amiri" w:hAnsi="Amiri" w:eastAsia="Amiri" w:cs="Amiri"/>
          <w:color w:val="111111"/>
          <w:sz w:val="28"/>
          <w:sz w:val="28"/>
          <w:szCs w:val="28"/>
          <w:rtl w:val="true"/>
          <w:lang w:bidi="ar-SA"/>
        </w:rPr>
        <w:t>، و تعارف القيد المذكور في الأُخرى</w:t>
      </w:r>
      <w:r>
        <w:rPr>
          <w:rStyle w:val="FootnoteAnchor"/>
          <w:rtl w:val="true"/>
        </w:rPr>
        <w:footnoteReference w:id="1257"/>
      </w:r>
      <w:r>
        <w:rPr>
          <w:rFonts w:ascii="Amiri" w:hAnsi="Amiri" w:eastAsia="Amiri" w:cs="Amiri"/>
          <w:color w:val="111111"/>
          <w:sz w:val="28"/>
          <w:sz w:val="28"/>
          <w:szCs w:val="28"/>
          <w:rtl w:val="true"/>
          <w:lang w:bidi="ar-SA"/>
        </w:rPr>
        <w:t>، و قد ذكرنا المسألة في كتاب الإجارة</w:t>
      </w:r>
      <w:r>
        <w:rPr>
          <w:rStyle w:val="FootnoteAnchor"/>
          <w:rtl w:val="true"/>
        </w:rPr>
        <w:footnoteReference w:id="1258"/>
      </w:r>
      <w:r>
        <w:rPr>
          <w:rFonts w:ascii="Amiri" w:hAnsi="Amiri" w:eastAsia="Amiri" w:cs="Amiri"/>
          <w:color w:val="111111"/>
          <w:sz w:val="28"/>
          <w:sz w:val="28"/>
          <w:szCs w:val="28"/>
          <w:rtl w:val="true"/>
          <w:lang w:bidi="ar-SA"/>
        </w:rPr>
        <w:t>، و اشتراطها بالاستقالة، لأجل أنّ الندامة لا تلازم رضاه بالإقالة؛ لأنّه خلاف شرفه و دينه، و إذا لم يكن نادماً فلا بدّ منها حتّى يتحقّق عنوان الإقالة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اعتبار كون المستقيل مسلماً أو مؤمناً، غير ثابت لما أُشير إليه، إلّا أنّ ظهور القيد هنا قويّ في التقييد، فكأنّ هذا القيد أولى بالذكر ممّا صنعه الماتن تبعاً لغيره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وجه النظر في سائر القيود المذكورة في المتون تبعاً للنصوص، على أنّ إلغاء الخصوصيّة هنا غير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المكروهة فأُمور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البائع لمتاعه،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المشتري لما يشتريه،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صادقاً على البيع و الشراء،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في موضع يستتر فيه 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الربح على المؤمن إلّا إذا كان الشراء للتجارة، أو كان اشتراؤه للمتاع أكثر من مائة درهم، فإن ربح قوت اليوم منه غير مكروه، أو للضرورة،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الربح على من وعده بالإحسان إلّا مع الضرورة،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السوم ما بين الطلوعين، 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يستتر فيه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المعروف بينهم، و من الممكن دعوى ممنوعيّته؛ لأنّه أكل للمال بالباطل، و ما ورد في خيار العيب</w:t>
      </w:r>
      <w:r>
        <w:rPr>
          <w:rStyle w:val="FootnoteAnchor"/>
          <w:rtl w:val="true"/>
        </w:rPr>
        <w:footnoteReference w:id="1259"/>
      </w:r>
      <w:r>
        <w:rPr>
          <w:rFonts w:ascii="Amiri" w:hAnsi="Amiri" w:eastAsia="Amiri" w:cs="Amiri"/>
          <w:color w:val="111111"/>
          <w:sz w:val="28"/>
          <w:sz w:val="28"/>
          <w:szCs w:val="28"/>
          <w:rtl w:val="true"/>
          <w:lang w:bidi="ar-SA"/>
        </w:rPr>
        <w:t>ربّما كان يختصّ بما إذا لم يكن المالك عامداً إلى سترة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الظاهر من رواية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باع و اشترى فليحفظ خمس خصال، و إلّا فلا يشترينّ، و لا يبيعنّ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و الحلف، و كتمان العيب، و الحمد إذا باع، و الذمّ إذا اشترى</w:t>
      </w:r>
      <w:r>
        <w:rPr>
          <w:rFonts w:eastAsia="Amiri" w:cs="Amiri" w:ascii="Amiri" w:hAnsi="Amiri"/>
          <w:color w:val="111111"/>
          <w:sz w:val="28"/>
          <w:szCs w:val="28"/>
          <w:rtl w:val="true"/>
          <w:lang w:bidi="ar-SA"/>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كون بعضها مكروهاً لا يكون قرينة بعد كون الربا محرّماً، و بعد اقتضاء القواعد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السوق أوّلًا و الخروج منه آخراً،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مبايعة الأدنين الذين لا يبالون بما قالوا و ما قيل لهم، و ما ورد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مروره على هشام بن الحكم بائع السابري في الظلال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إنّ البيع في الظلال غشّ، و الغشّ لا يحلّ</w:t>
      </w:r>
      <w:r>
        <w:rPr>
          <w:rFonts w:eastAsia="Amiri" w:cs="Amiri" w:ascii="Amiri" w:hAnsi="Amiri"/>
          <w:color w:val="111111"/>
          <w:sz w:val="28"/>
          <w:szCs w:val="28"/>
          <w:rtl w:val="true"/>
          <w:lang w:bidi="ar-SA"/>
        </w:rPr>
        <w:t>»</w:t>
      </w:r>
      <w:r>
        <w:rPr>
          <w:rStyle w:val="FootnoteAnchor"/>
          <w:rtl w:val="true"/>
        </w:rPr>
        <w:footnoteReference w:id="1261"/>
      </w:r>
      <w:r>
        <w:rPr>
          <w:rFonts w:ascii="Amiri" w:hAnsi="Amiri" w:eastAsia="Amiri" w:cs="Amiri"/>
          <w:color w:val="111111"/>
          <w:sz w:val="28"/>
          <w:sz w:val="28"/>
          <w:szCs w:val="28"/>
          <w:rtl w:val="true"/>
          <w:lang w:bidi="ar-SA"/>
        </w:rPr>
        <w:t>أيضاً يدلّ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المشتري مقدماً على المعيب لما تعلّق غرضه بالأعمّ، و يعامل معه على قيمة المعيب، فتكون المعاملة صحيحة لازمة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الدخول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بنحو التقييد، فلو كان أوّل داخل فقط فلا كراهة ظاهراً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دعوى ظهور الخبر في الحرمة</w:t>
      </w:r>
      <w:r>
        <w:rPr>
          <w:rStyle w:val="FootnoteAnchor"/>
          <w:rtl w:val="true"/>
        </w:rPr>
        <w:footnoteReference w:id="1262"/>
      </w:r>
      <w:r>
        <w:rPr>
          <w:rFonts w:ascii="Amiri" w:hAnsi="Amiri" w:eastAsia="Amiri" w:cs="Amiri"/>
          <w:color w:val="111111"/>
          <w:sz w:val="28"/>
          <w:sz w:val="28"/>
          <w:szCs w:val="28"/>
          <w:rtl w:val="true"/>
          <w:lang w:bidi="ar-SA"/>
        </w:rPr>
        <w:t>، إلّا أنّ اشتماله على خلاف ضرورة الإسلام من كون أبغض البقاع عند اللَّه الأسواق يوهنه، فلا تثبت الكراهة، و يحتمل أن يكون المراد الأسواق الخاصّة، و يكون أوّل من دخل، و آخر من خرج على الدوام عاصياً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التعرّض للكيل أو الوزن أو العدّ أو المساحة إذا لم يحسنه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الاستحطاط من الثمن 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سواء كان ذلك تبرّعاً، أو بالاستئجار من قبل المالكين، أو للإيفاء بتجارته، و الثاني هو المقصود هنا ظاهراً، و لعلّه المراد من رواية الحنّاط،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نيّته الوفاء، و هو إذا كال لم يحسن أن يكيل،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يقول الذين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ممّن لا ينبغي له أن يكيل</w:t>
      </w:r>
      <w:r>
        <w:rPr>
          <w:rFonts w:eastAsia="Amiri" w:cs="Amiri" w:ascii="Amiri" w:hAnsi="Amiri"/>
          <w:color w:val="111111"/>
          <w:sz w:val="28"/>
          <w:szCs w:val="28"/>
          <w:rtl w:val="true"/>
          <w:lang w:bidi="ar-SA"/>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الإحسان في الماليّات الموجب للاحتمال العقلائي على التضييع، خلاف الاحتياط، بل ممنوع، فعليه تحمل الرواية على الصورة الثالثة، مع القطع بالوفاء، و احتمال تضييع ماله بإعطاء الزائد، و ممّا يشهد على أنّه الاحتمال العقلائي قولهم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يوفي</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صريحة في الجواز، لاستعمالها في المحرّمات، كما في روايات الاستصحاب</w:t>
      </w:r>
      <w:r>
        <w:rPr>
          <w:rStyle w:val="FootnoteAnchor"/>
          <w:rtl w:val="true"/>
        </w:rPr>
        <w:footnoteReference w:id="1264"/>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في سوم المؤمن على الأظهر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 بالحرمة، و لا يكون منه الزيادة فيما إذا كان البيع في المزايدة،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 الركبان و القوافل، و استقبالهم للبيع عليهم، أو الشراء منهم قبل وصولهم إلى البلد، 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وفاقاً لجماعة</w:t>
      </w:r>
      <w:r>
        <w:rPr>
          <w:rStyle w:val="FootnoteAnchor"/>
          <w:rtl w:val="true"/>
        </w:rPr>
        <w:footnoteReference w:id="1265"/>
      </w:r>
      <w:r>
        <w:rPr>
          <w:rFonts w:ascii="Amiri" w:hAnsi="Amiri" w:eastAsia="Amiri" w:cs="Amiri"/>
          <w:color w:val="111111"/>
          <w:sz w:val="28"/>
          <w:sz w:val="28"/>
          <w:szCs w:val="28"/>
          <w:rtl w:val="true"/>
          <w:lang w:bidi="ar-SA"/>
        </w:rPr>
        <w:t>، و خلافاً لمثل الشيخ</w:t>
      </w:r>
      <w:r>
        <w:rPr>
          <w:rStyle w:val="FootnoteAnchor"/>
          <w:rtl w:val="true"/>
        </w:rPr>
        <w:footnoteReference w:id="126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26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268"/>
      </w:r>
      <w:r>
        <w:rPr>
          <w:rFonts w:ascii="Amiri" w:hAnsi="Amiri" w:eastAsia="Amiri" w:cs="Amiri"/>
          <w:color w:val="111111"/>
          <w:sz w:val="28"/>
          <w:sz w:val="28"/>
          <w:szCs w:val="28"/>
          <w:rtl w:val="true"/>
          <w:lang w:bidi="ar-SA"/>
        </w:rPr>
        <w:t>و المقصود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 البيع بالمداخلة في مقاولة أخيه المسلم أو المؤمن</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المراد من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يسوم الرجل على سوم أخيه</w:t>
      </w:r>
      <w:r>
        <w:rPr>
          <w:rFonts w:eastAsia="Amiri" w:cs="Amiri" w:ascii="Amiri" w:hAnsi="Amiri"/>
          <w:color w:val="111111"/>
          <w:sz w:val="28"/>
          <w:szCs w:val="28"/>
          <w:rtl w:val="true"/>
          <w:lang w:bidi="ar-SA"/>
        </w:rPr>
        <w:t>»</w:t>
      </w:r>
      <w:r>
        <w:rPr>
          <w:rStyle w:val="FootnoteAnchor"/>
          <w:rtl w:val="true"/>
        </w:rPr>
        <w:footnoteReference w:id="1269"/>
      </w:r>
      <w:r>
        <w:rPr>
          <w:rFonts w:ascii="Amiri" w:hAnsi="Amiri" w:eastAsia="Amiri" w:cs="Amiri"/>
          <w:color w:val="111111"/>
          <w:sz w:val="28"/>
          <w:sz w:val="28"/>
          <w:szCs w:val="28"/>
          <w:rtl w:val="true"/>
          <w:lang w:bidi="ar-SA"/>
        </w:rPr>
        <w:t xml:space="preserve">و من رواية الحسين بن زيد،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يدخل الرجل في سوم أخيه المسلم</w:t>
      </w:r>
      <w:r>
        <w:rPr>
          <w:rFonts w:eastAsia="Amiri" w:cs="Amiri" w:ascii="Amiri" w:hAnsi="Amiri"/>
          <w:color w:val="111111"/>
          <w:sz w:val="28"/>
          <w:szCs w:val="28"/>
          <w:rtl w:val="true"/>
          <w:lang w:bidi="ar-SA"/>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مرسلة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يسوم أحدكم على سوم أخيه</w:t>
      </w:r>
      <w:r>
        <w:rPr>
          <w:rFonts w:eastAsia="Amiri" w:cs="Amiri" w:ascii="Amiri" w:hAnsi="Amiri"/>
          <w:color w:val="111111"/>
          <w:sz w:val="28"/>
          <w:szCs w:val="28"/>
          <w:rtl w:val="true"/>
          <w:lang w:bidi="ar-SA"/>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دعوى عدم تماميّة الكراهة فضلًا عن الحرمة؛ لأنّ ضعف السند لا ينجبر بعمل بعض القدماء، خصوصاً إذا كان من المحتمل تلقّيهم الحكم من غير ما استندوا إليه كما هو كثير، و لا تكون الشهرة قويّة حتّى يكشف بها رأي المعصوم، أو الرواية التي تكون واضحة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الأشدّ منه البيع على البيع، المروي في المرسل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1272"/>
      </w:r>
      <w:r>
        <w:rPr>
          <w:rFonts w:ascii="Amiri" w:hAnsi="Amiri" w:eastAsia="Amiri" w:cs="Amiri"/>
          <w:color w:val="111111"/>
          <w:sz w:val="28"/>
          <w:sz w:val="28"/>
          <w:szCs w:val="28"/>
          <w:rtl w:val="true"/>
          <w:lang w:bidi="ar-SA"/>
        </w:rPr>
        <w:t>، لا يخلو من غرابة؛ لأنّه مضافاً إلى تحريف معنى السوم، و ما حكى عن الصحاح من اشتباهاته، و من خلط المعنى المجازي بالصحيح، أنّ تحريك البائع إلى الفسخ و الاستقالة ليس أشدّ؛ لأنّ الأقربيّة إلى اللزوم ليست مناطه،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النبويّ على السوم بمعنى البيع، و غيره على السوم بمعنى المقاولة، غير صحيح</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الدقّة في الاستعمالات، حتّى لا يلزم الخلط، فربّما يستعمل البيع مجازاً و توسّعاً في المقاولة، و ربّما ينعكس و يستعمل السوم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صحّ البيع و الشراء، و هو الأحوط، ثمّ إنّ خصوصيّة السوم في البيع و الشراء غير مصدّقة، و شرطيّة الإيمان غير مبرهنة، و لعلّ ذلك يكشف عن استنادهم إلى غير هذه الروايات، و مثل الخصوصيّة المشار إليها خصوصيّة الرجل، فإنّها ملغاة أيضاً، و احتمال كون المراد من النبويّ الأخ النسبي لا يضرّ بظهوره بعد ملاحظة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يمكن دعوى دلالة متن هذه الروايات على الكراهة، بعد الغضّ عمّا في سندها، بأنّ تعليق الحكم على الرجل إشارة إلى أنّ هذا التدخّل خلاف الرجوليّة، و هو المساعد للاعتبار و يقتضيه المناسبة بين الحكم و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 يحرم</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قول جماعة كابن الجنيد</w:t>
      </w:r>
      <w:r>
        <w:rPr>
          <w:rStyle w:val="FootnoteAnchor"/>
          <w:rtl w:val="true"/>
        </w:rPr>
        <w:footnoteReference w:id="1273"/>
      </w:r>
      <w:r>
        <w:rPr>
          <w:rFonts w:ascii="Amiri" w:hAnsi="Amiri" w:eastAsia="Amiri" w:cs="Amiri"/>
          <w:color w:val="111111"/>
          <w:sz w:val="28"/>
          <w:sz w:val="28"/>
          <w:szCs w:val="28"/>
          <w:rtl w:val="true"/>
          <w:lang w:bidi="ar-SA"/>
        </w:rPr>
        <w:t xml:space="preserve">، و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274"/>
      </w:r>
      <w:r>
        <w:rPr>
          <w:rFonts w:ascii="Amiri" w:hAnsi="Amiri" w:eastAsia="Amiri" w:cs="Amiri"/>
          <w:color w:val="111111"/>
          <w:sz w:val="28"/>
          <w:sz w:val="28"/>
          <w:szCs w:val="28"/>
          <w:rtl w:val="true"/>
          <w:lang w:bidi="ar-SA"/>
        </w:rPr>
        <w:t>و التقي</w:t>
      </w:r>
      <w:r>
        <w:rPr>
          <w:rStyle w:val="FootnoteAnchor"/>
          <w:rtl w:val="true"/>
        </w:rPr>
        <w:footnoteReference w:id="1275"/>
      </w:r>
      <w:r>
        <w:rPr>
          <w:rFonts w:ascii="Amiri" w:hAnsi="Amiri" w:eastAsia="Amiri" w:cs="Amiri"/>
          <w:color w:val="111111"/>
          <w:sz w:val="28"/>
          <w:sz w:val="28"/>
          <w:szCs w:val="28"/>
          <w:rtl w:val="true"/>
          <w:lang w:bidi="ar-SA"/>
        </w:rPr>
        <w:t>، و القاضي</w:t>
      </w:r>
      <w:r>
        <w:rPr>
          <w:rStyle w:val="FootnoteAnchor"/>
          <w:rtl w:val="true"/>
        </w:rPr>
        <w:footnoteReference w:id="127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277"/>
      </w:r>
      <w:r>
        <w:rPr>
          <w:rFonts w:ascii="Amiri" w:hAnsi="Amiri" w:eastAsia="Amiri" w:cs="Amiri"/>
          <w:color w:val="111111"/>
          <w:sz w:val="28"/>
          <w:sz w:val="28"/>
          <w:szCs w:val="28"/>
          <w:rtl w:val="true"/>
          <w:lang w:bidi="ar-SA"/>
        </w:rPr>
        <w:t>و غيرهم</w:t>
      </w:r>
      <w:r>
        <w:rPr>
          <w:rStyle w:val="FootnoteAnchor"/>
          <w:rtl w:val="true"/>
        </w:rPr>
        <w:footnoteReference w:id="1278"/>
      </w:r>
      <w:r>
        <w:rPr>
          <w:rFonts w:ascii="Amiri" w:hAnsi="Amiri" w:eastAsia="Amiri" w:cs="Amiri"/>
          <w:color w:val="111111"/>
          <w:sz w:val="28"/>
          <w:sz w:val="28"/>
          <w:szCs w:val="28"/>
          <w:rtl w:val="true"/>
          <w:lang w:bidi="ar-SA"/>
        </w:rPr>
        <w:t>، و عن الإسكافيّ، بطلانها</w:t>
      </w:r>
      <w:r>
        <w:rPr>
          <w:rStyle w:val="FootnoteAnchor"/>
          <w:rtl w:val="true"/>
        </w:rPr>
        <w:footnoteReference w:id="127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المشهور على الكراهة، و يظهر من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الإحكام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جمع إلى عدم الكراهة</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بكلٍّ وجه، و ذلك لإمكان الشبهة في السند، و عدم تماميّة الجبر، فلا كراهة، و لإمكان تصحيحه، و وجود النهي عن عنوان المعاملة و أثرها و هو جواز الأكل، في النصوص</w:t>
      </w:r>
      <w:r>
        <w:rPr>
          <w:rStyle w:val="FootnoteAnchor"/>
          <w:rtl w:val="true"/>
        </w:rPr>
        <w:footnoteReference w:id="1281"/>
      </w:r>
      <w:r>
        <w:rPr>
          <w:rFonts w:ascii="Amiri" w:hAnsi="Amiri" w:eastAsia="Amiri" w:cs="Amiri"/>
          <w:color w:val="111111"/>
          <w:sz w:val="28"/>
          <w:sz w:val="28"/>
          <w:szCs w:val="28"/>
          <w:rtl w:val="true"/>
          <w:lang w:bidi="ar-SA"/>
        </w:rPr>
        <w:t>، و لإمكان دعوى ظهور النهي في المعاملة في التكليف محضاً، و ما تعلّق بعنوان الاشتراء</w:t>
      </w:r>
      <w:r>
        <w:rPr>
          <w:rStyle w:val="FootnoteAnchor"/>
          <w:rtl w:val="true"/>
        </w:rPr>
        <w:footnoteReference w:id="1282"/>
      </w:r>
      <w:r>
        <w:rPr>
          <w:rFonts w:ascii="Amiri" w:hAnsi="Amiri" w:eastAsia="Amiri" w:cs="Amiri"/>
          <w:color w:val="111111"/>
          <w:sz w:val="28"/>
          <w:sz w:val="28"/>
          <w:szCs w:val="28"/>
          <w:rtl w:val="true"/>
          <w:lang w:bidi="ar-SA"/>
        </w:rPr>
        <w:t>ليس يفيد الفساد لتعلّقه بغير في غيره، فيكون النهي ظاهراً في الحرمة، و لوجود القرينة لا يستفاد منه البطلان، و لإمكان دعوى أنّ قضيّة الجمع بين المآثير المختلفة في الموضوعات المنهيّة، هي الكراهة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المحرّم هو عنوان تلقّي الركبان، و الاشتراء ليس محرّماً، و لكنّه فاسد، جمعاً بينها، و لك اختيار القول السادس، أو السابع، و هو حرمة التلقّي، أو الكراهة، و صحّة المعاملة، و كون البائع بالخيار بعد الاطّلاع على حدود القيم السوقيّة، فإنّ العرف ينتقل من هذه المآثير إلى أنّ النهي لأجل وقوعهم في الغبن، أو لصدق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الأظهر الكراهة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يكره بشروط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الخروج بقصد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مسمّى الخروج من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فيما زاد على الأربعة فراسخ، و فيها، فهو مكان آخر يعدّ الخارج مسافراً إلى التجارة، و جالباً لمال التجارة إلى البلد، و يختلف قيمة الأشياء بعد لحاظ هذه المسافة، التي هي تحتاج إلى المئونة الملحوظة في الأموال،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الأظهر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لتماميّة السند، لوجود أرباب الإجماع فيه و صحّته إليهم، و لذهاب الأُمّة إلى الممنوعيّة بالمعنى الأعمّ، مستندين إليها، أو ظاهرهم الاستناد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يحك من أحد نقل عدم الكراهة، و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الإحكام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لما قال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حراماً، إجماعاً</w:t>
      </w:r>
      <w:r>
        <w:rPr>
          <w:rFonts w:eastAsia="Amiri" w:cs="Amiri" w:ascii="Amiri" w:hAnsi="Amiri"/>
          <w:color w:val="111111"/>
          <w:sz w:val="28"/>
          <w:szCs w:val="28"/>
          <w:rtl w:val="true"/>
          <w:lang w:bidi="ar-SA"/>
        </w:rPr>
        <w:t>»</w:t>
      </w:r>
      <w:r>
        <w:rPr>
          <w:rStyle w:val="FootnoteAnchor"/>
          <w:rtl w:val="true"/>
        </w:rPr>
        <w:footnoteReference w:id="1283"/>
      </w:r>
      <w:r>
        <w:rPr>
          <w:rFonts w:ascii="Amiri" w:hAnsi="Amiri" w:eastAsia="Amiri" w:cs="Amiri"/>
          <w:color w:val="111111"/>
          <w:sz w:val="28"/>
          <w:sz w:val="28"/>
          <w:szCs w:val="28"/>
          <w:rtl w:val="true"/>
          <w:lang w:bidi="ar-SA"/>
        </w:rPr>
        <w:t>مع أنّك عرفت ذهاب العظام إليها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اختلاف الموضوعات المنهيّ عنها في النصوص بنحو الترتّب، شاهد قويّ على الكراهة؛ فإنّ المقنّن ليس من دأبه فرض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دون الأربعة فراسخ، فلو تلقّى في الأربعة فصاعداً لم يثبت الحكم، بل هو سفر تجارة،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تلق، و لا تشتر ما تلقى، و لا تأكل منه</w:t>
      </w:r>
      <w:r>
        <w:rPr>
          <w:rFonts w:eastAsia="Amiri" w:cs="Amiri" w:ascii="Amiri" w:hAnsi="Amiri"/>
          <w:color w:val="111111"/>
          <w:sz w:val="28"/>
          <w:szCs w:val="28"/>
          <w:rtl w:val="true"/>
          <w:lang w:bidi="ar-SA"/>
        </w:rPr>
        <w:t>»</w:t>
      </w:r>
      <w:r>
        <w:rPr>
          <w:rStyle w:val="FootnoteAnchor"/>
          <w:rtl w:val="true"/>
        </w:rPr>
        <w:footnoteReference w:id="1284"/>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تلق، و لا تشتر ما تلقى، و لا تأكل من لحم ما تلقى</w:t>
      </w:r>
      <w:r>
        <w:rPr>
          <w:rFonts w:eastAsia="Amiri" w:cs="Amiri" w:ascii="Amiri" w:hAnsi="Amiri"/>
          <w:color w:val="111111"/>
          <w:sz w:val="28"/>
          <w:szCs w:val="28"/>
          <w:rtl w:val="true"/>
          <w:lang w:bidi="ar-SA"/>
        </w:rPr>
        <w:t>»</w:t>
      </w:r>
      <w:r>
        <w:rPr>
          <w:rStyle w:val="FootnoteAnchor"/>
          <w:rtl w:val="true"/>
        </w:rPr>
        <w:footnoteReference w:id="1285"/>
      </w:r>
      <w:r>
        <w:rPr>
          <w:rFonts w:ascii="Amiri" w:hAnsi="Amiri" w:eastAsia="Amiri" w:cs="Amiri"/>
          <w:color w:val="111111"/>
          <w:sz w:val="28"/>
          <w:sz w:val="28"/>
          <w:szCs w:val="28"/>
          <w:rtl w:val="true"/>
          <w:lang w:bidi="ar-SA"/>
        </w:rPr>
        <w:t>معناه أنّه لا تلق، و إذا لقيت فلا تشتر، و إذا اشتريت فلا تأكل، و هذا يناسب الكراهة عرفاً على الأظهر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وجه الأوّل عدم صدقه بدون القصد؛ فإنّ المخاطب هو الحاضر في البلد، الخارج منه إلى ما دون المسافة، و يكون خروجه للتجارة و الارتزاق، و هو المنصرف من الروايات، و منه يعلم وجه الشرط الثاني، و يعلم انحلال الشرط الأوّل إلى شرطين، كما لا يخفى</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وجه الثالث فلما ورد في النصّ عن منهال القصّاب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تلقَ،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 التلقّي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 التلقّي؟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دون غدوة و 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الغدوة و الروحة؟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كون الركب جاهلًا بسعر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فوق ذلك فليس بتلقٍ</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ورد من الإطلاق في بعض الأحاديث</w:t>
      </w:r>
      <w:r>
        <w:rPr>
          <w:rStyle w:val="FootnoteAnchor"/>
          <w:rtl w:val="true"/>
        </w:rPr>
        <w:footnoteReference w:id="1287"/>
      </w:r>
      <w:r>
        <w:rPr>
          <w:rFonts w:ascii="Amiri" w:hAnsi="Amiri" w:eastAsia="Amiri" w:cs="Amiri"/>
          <w:color w:val="111111"/>
          <w:sz w:val="28"/>
          <w:sz w:val="28"/>
          <w:szCs w:val="28"/>
          <w:rtl w:val="true"/>
          <w:lang w:bidi="ar-SA"/>
        </w:rPr>
        <w:t>، محمول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التفسير واضح؛ لأنّ سير القوافل في اليوم ثمانية فراسخ، ففي نصفه نصفها، فإذا سار أربعة فراسخ يتحقّق السفر، و يكون بحسب النصّ جلباً، و قد مضى البحث حوله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لإطلاق النصّ،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الأحوط عدم الخروج لاستلزام الغرر، و العاقل لا يقدم على المعاملة مع الجهل بحال السعر في البلد المتوجّه إليه، و القريب منه، فلو أقدم تكون المعاوضة سفهيّة و باطلة، خصوصاً إذا أخبر الخارج كذباً عن سعر البلد</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إطلاق النصّ خصوصاً للفرض الأخير، غير تامّ، و لكنّه في غير الفرض الأخير يتمّ، فإنّ الجهالة في المبيع ترتفع، و إذا كان البائع عاقلًا فإقدامه على السعر خارج البلد، ربّما كان لأجل الجهات المرغوب فيها،</w:t>
      </w:r>
    </w:p>
    <w:p>
      <w:pPr>
        <w:pStyle w:val="BookText"/>
        <w:rPr/>
      </w:pPr>
      <w:r>
        <w:rPr>
          <w:rFonts w:ascii="Amiri" w:hAnsi="Amiri" w:eastAsia="Amiri" w:cs="Amiri"/>
          <w:color w:val="111111"/>
          <w:sz w:val="28"/>
          <w:sz w:val="28"/>
          <w:szCs w:val="28"/>
          <w:rtl w:val="true"/>
          <w:lang w:bidi="ar-SA"/>
        </w:rPr>
        <w:t>و هل يعمّ الحكم غير البيع و الشراء كالإجارة و نحوها؟ وجهان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المكث الكثير في البلد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الفرض الأخير فيشكل وضعاً؛ لأنّه أكل بالباطل، و أدلّة خيار الغبن</w:t>
      </w:r>
      <w:r>
        <w:rPr>
          <w:rStyle w:val="FootnoteAnchor"/>
          <w:rtl w:val="true"/>
        </w:rPr>
        <w:footnoteReference w:id="1288"/>
      </w:r>
      <w:r>
        <w:rPr>
          <w:rFonts w:ascii="Amiri" w:hAnsi="Amiri" w:eastAsia="Amiri" w:cs="Amiri"/>
          <w:color w:val="111111"/>
          <w:sz w:val="28"/>
          <w:sz w:val="28"/>
          <w:szCs w:val="28"/>
          <w:rtl w:val="true"/>
          <w:lang w:bidi="ar-SA"/>
        </w:rPr>
        <w:t>ناظرة إلى غير تلك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يمكن دعوى حرمته التكليفيّة، زائداً على الكذب المحرّم، للعلم بأنّ مذاق الشرع بري‌ء من هذا النحو من التكسّب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وجود النهي عن الاشتراء في الروايتين اللتين هما الأصل في المسألة</w:t>
      </w:r>
      <w:r>
        <w:rPr>
          <w:rStyle w:val="FootnoteAnchor"/>
          <w:rtl w:val="true"/>
        </w:rPr>
        <w:footnoteReference w:id="1289"/>
      </w:r>
      <w:r>
        <w:rPr>
          <w:rFonts w:ascii="Amiri" w:hAnsi="Amiri" w:eastAsia="Amiri" w:cs="Amiri"/>
          <w:color w:val="111111"/>
          <w:sz w:val="28"/>
          <w:sz w:val="28"/>
          <w:szCs w:val="28"/>
          <w:rtl w:val="true"/>
          <w:lang w:bidi="ar-SA"/>
        </w:rPr>
        <w:t>، و من إطلاق بعض مآثير الباب</w:t>
      </w:r>
      <w:r>
        <w:rPr>
          <w:rStyle w:val="FootnoteAnchor"/>
          <w:rtl w:val="true"/>
        </w:rPr>
        <w:footnoteReference w:id="1290"/>
      </w:r>
      <w:r>
        <w:rPr>
          <w:rFonts w:ascii="Amiri" w:hAnsi="Amiri" w:eastAsia="Amiri" w:cs="Amiri"/>
          <w:color w:val="111111"/>
          <w:sz w:val="28"/>
          <w:sz w:val="28"/>
          <w:szCs w:val="28"/>
          <w:rtl w:val="true"/>
          <w:lang w:bidi="ar-SA"/>
        </w:rPr>
        <w:t>، و إمكان إلغاء الخصوصيّة بحمل القيد على الغالب في خصوص المقام؛ لاقتضاء النكتة أعمّيته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دعوى التفصيل بين ما يكون مثل البيع في نقل العين، كالصلح و نحوه، و ما هو مثل الإجارة، فإنّ المآثير منصرفة عنها، خصوصاً إذا كان الركب مستأجرين و الخارج مؤجراً،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رواية عروة بن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يتلقّى أحدكم تجارة خارجاً من المصر</w:t>
      </w:r>
      <w:r>
        <w:rPr>
          <w:rFonts w:eastAsia="Amiri" w:cs="Amiri" w:ascii="Amiri" w:hAnsi="Amiri"/>
          <w:color w:val="111111"/>
          <w:sz w:val="28"/>
          <w:szCs w:val="28"/>
          <w:rtl w:val="true"/>
          <w:lang w:bidi="ar-SA"/>
        </w:rPr>
        <w:t>»</w:t>
      </w:r>
      <w:r>
        <w:rPr>
          <w:rStyle w:val="FootnoteAnchor"/>
          <w:rtl w:val="true"/>
        </w:rPr>
        <w:footnoteReference w:id="1291"/>
      </w:r>
      <w:r>
        <w:rPr>
          <w:rFonts w:ascii="Amiri" w:hAnsi="Amiri" w:eastAsia="Amiri" w:cs="Amiri"/>
          <w:color w:val="111111"/>
          <w:sz w:val="28"/>
          <w:sz w:val="28"/>
          <w:szCs w:val="28"/>
          <w:rtl w:val="true"/>
          <w:lang w:bidi="ar-SA"/>
        </w:rPr>
        <w:t>خصوصيّة التجارة و زائداً عليها، خصوص البلد و المصر، و مقتضى الإطلاقات عدمها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اختصاص الحكم بالتجارة، فإنّها الأعمّ من البيع، و أخصّ من الهبة المعوّضة أحياناً، و قضيّة الإطلاقات عدم الفرق بين كون القادم من أهالي البلد و غيره</w:t>
      </w:r>
      <w:r>
        <w:rPr>
          <w:rFonts w:eastAsia="Amiri" w:cs="Amiri" w:ascii="Amiri" w:hAnsi="Amiri"/>
          <w:color w:val="111111"/>
          <w:sz w:val="28"/>
          <w:szCs w:val="28"/>
          <w:rtl w:val="true"/>
          <w:lang w:bidi="ar-SA"/>
        </w:rPr>
        <w:t>.</w:t>
      </w:r>
      <w:bookmarkStart w:id="282" w:name="pg12366_123328"/>
    </w:p>
    <w:p>
      <w:pPr>
        <w:pStyle w:val="Heading4"/>
        <w:numPr>
          <w:ilvl w:val="3"/>
          <w:numId w:val="1"/>
        </w:numPr>
        <w:rPr/>
      </w:pPr>
      <w:bookmarkStart w:id="283" w:name="__RefHeading___Toc8896119_417432637"/>
      <w:bookmarkStart w:id="284" w:name="_Toc103"/>
      <w:bookmarkEnd w:id="282"/>
      <w:bookmarkEnd w:id="283"/>
      <w:r>
        <w:rPr>
          <w:rtl w:val="true"/>
        </w:rPr>
        <w:t>[</w:t>
      </w:r>
      <w:r>
        <w:rPr>
          <w:rtl w:val="true"/>
        </w:rPr>
        <w:t xml:space="preserve">مسألة </w:t>
      </w:r>
      <w:r>
        <w:rPr/>
        <w:t>23</w:t>
      </w:r>
      <w:r>
        <w:rPr>
          <w:rtl w:val="true"/>
        </w:rPr>
        <w:t xml:space="preserve">: </w:t>
      </w:r>
      <w:r>
        <w:rPr>
          <w:rtl w:val="true"/>
        </w:rPr>
        <w:t>يحرم الاحتكار</w:t>
      </w:r>
      <w:r>
        <w:rPr>
          <w:rtl w:val="true"/>
        </w:rPr>
        <w:t>]</w:t>
      </w:r>
      <w:bookmarkEnd w:id="28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الاحتكار،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يؤدّي الاحتكار إلى الإضرار، و إحداث الهرج، و إخلال النظام، فهو ممنوع عقلًا؛ لأنّ العناوين الأُخر المحرّمة مترتّبة عليه، فما هو محلّ البحث إمّا نفس المنع و الحبس انتظاراً للغلاء، أو هو مع استلزامه وقوعهم في المشقّة لاحتياجهم إليه، فإنّه عندئذٍ يمكن تجويزه ذاتاً، و منعه و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يظهر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لا يختلفون في حكم المسألة، إلّا في بعض الجهات الراجعة إلى حدود موضوعها، فمن قال بالكراهة يكون ناظراً إلى المعنى اللغوي للاحتكار، و من اختار الحرمة نظراً إلى الموضوع المقصود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يساعده المآثير و المناسبات</w:t>
      </w:r>
      <w:r>
        <w:rPr>
          <w:rStyle w:val="FootnoteAnchor"/>
          <w:rtl w:val="true"/>
        </w:rPr>
        <w:footnoteReference w:id="1292"/>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الحكرة ليست محرّمة، و هي بمقتضى إطلاق طائفة من النصوص</w:t>
      </w:r>
      <w:r>
        <w:rPr>
          <w:rStyle w:val="FootnoteAnchor"/>
          <w:rtl w:val="true"/>
        </w:rPr>
        <w:footnoteReference w:id="1293"/>
      </w:r>
      <w:r>
        <w:rPr>
          <w:rFonts w:ascii="Amiri" w:hAnsi="Amiri" w:eastAsia="Amiri" w:cs="Amiri"/>
          <w:color w:val="111111"/>
          <w:sz w:val="28"/>
          <w:sz w:val="28"/>
          <w:szCs w:val="28"/>
          <w:rtl w:val="true"/>
          <w:lang w:bidi="ar-SA"/>
        </w:rPr>
        <w:t>ممنوعة كراهة؛ لأنّ كلمة اللعن و أشباهه، مع بعض القرائن الأُخر، لا تدلّ إلّا على الكراهة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كانت الحكرة في موقف حاجة الناس و المسلمين، و في</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الطعام و جمعه، يتربّص به الغلاء، مع ضرورة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حاجتهم، و عدم وجود من يبذلهم قدر كفايتهم، نعم مجرّد حبس الطعام انتظاراً لعلوّ السعر، مع عدم ضرورة الناس، و وجود الباذل، ليس بحرام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موضع استلزم وقوعهم في الحرج و المشقّة، بأن لا يكون عند غيره الطعام، فالظاهر حرمته،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أن تحتكر</w:t>
      </w:r>
      <w:r>
        <w:rPr>
          <w:rFonts w:eastAsia="Amiri" w:cs="Amiri" w:ascii="Amiri" w:hAnsi="Amiri"/>
          <w:color w:val="111111"/>
          <w:sz w:val="28"/>
          <w:szCs w:val="28"/>
          <w:rtl w:val="true"/>
          <w:lang w:bidi="ar-SA"/>
        </w:rPr>
        <w:t>»</w:t>
      </w:r>
      <w:r>
        <w:rPr>
          <w:rStyle w:val="FootnoteAnchor"/>
          <w:rtl w:val="true"/>
        </w:rPr>
        <w:footnoteReference w:id="1294"/>
      </w:r>
      <w:r>
        <w:rPr>
          <w:rFonts w:ascii="Amiri" w:hAnsi="Amiri" w:eastAsia="Amiri" w:cs="Amiri"/>
          <w:color w:val="111111"/>
          <w:sz w:val="28"/>
          <w:sz w:val="28"/>
          <w:szCs w:val="28"/>
          <w:rtl w:val="true"/>
          <w:lang w:bidi="ar-SA"/>
        </w:rPr>
        <w:t xml:space="preserve">وارداً في موقف ضرورتهم، و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بالبيع و النهي عن الحبس</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توهّم كون الروايات في الفرض الأوّل قرينة على صرف هذه النواهي في الفرض الثاني، لا يخلو من 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قضيّة المآثير قاطبة</w:t>
      </w:r>
      <w:r>
        <w:rPr>
          <w:rStyle w:val="FootnoteAnchor"/>
          <w:rtl w:val="true"/>
        </w:rPr>
        <w:footnoteReference w:id="1296"/>
      </w:r>
      <w:r>
        <w:rPr>
          <w:rFonts w:ascii="Amiri" w:hAnsi="Amiri" w:eastAsia="Amiri" w:cs="Amiri"/>
          <w:color w:val="111111"/>
          <w:sz w:val="28"/>
          <w:sz w:val="28"/>
          <w:szCs w:val="28"/>
          <w:rtl w:val="true"/>
          <w:lang w:bidi="ar-SA"/>
        </w:rPr>
        <w:t>عدم الفرق بينهم و بين غيرهم، من الّذين هم في ذمّة الإسلام، أو في تعاهدهم من المحترمين أموالًا و أنفساً</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رواية حذيفة بن منصور،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المسلمين على حسب اقتضاء القضيّة الخارجيّة، لا الاشتراط و التقييد، و توهّم</w:t>
      </w:r>
    </w:p>
    <w:p>
      <w:pPr>
        <w:pStyle w:val="BookText"/>
        <w:rPr/>
      </w:pPr>
      <w:r>
        <w:rPr>
          <w:rFonts w:ascii="Amiri" w:hAnsi="Amiri" w:eastAsia="Amiri" w:cs="Amiri"/>
          <w:color w:val="111111"/>
          <w:sz w:val="28"/>
          <w:sz w:val="28"/>
          <w:szCs w:val="28"/>
          <w:rtl w:val="true"/>
          <w:lang w:bidi="ar-SA"/>
        </w:rPr>
        <w:t xml:space="preserve">و لو حبسه في زمان الغلاء لصرفه في محاويجه، لا للبيع، فلا 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لا كراهة، اقتضاء بعض الخطابات ذلك،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ممنوعيّته حتّى بالنسبة إلى غيرهم، خصوصاً أهل الذمّة، و لو كان الأمر كما توهّم لكان ذلك طريقاً إلى منافع أرباب الاحتكار، و ليس في الأخبار منه العين و الأثر، مضافاً إلى أنّه خلاف المذاق من الشريعة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لظاهر اللّغويين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الحكرة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انتظاراً للغلاء</w:t>
      </w:r>
      <w:r>
        <w:rPr>
          <w:rStyle w:val="FootnoteAnchor"/>
          <w:rtl w:val="true"/>
        </w:rPr>
        <w:footnoteReference w:id="1297"/>
      </w:r>
      <w:r>
        <w:rPr>
          <w:rFonts w:ascii="Amiri" w:hAnsi="Amiri" w:eastAsia="Amiri" w:cs="Amiri"/>
          <w:color w:val="111111"/>
          <w:sz w:val="28"/>
          <w:sz w:val="28"/>
          <w:szCs w:val="28"/>
          <w:rtl w:val="true"/>
          <w:lang w:bidi="ar-SA"/>
        </w:rPr>
        <w:t>، و لا خصوصيّة لمفهوم الحبس في موضوع الحكم، بل المنع عن التقلّبات من الشراء و غيره أيضاً، محرّم و مكروه في موضعهما المذكور و لو اقتضى كلام بعض أهل اللغة أعميّة مفهوم الحكرة</w:t>
      </w:r>
      <w:r>
        <w:rPr>
          <w:rStyle w:val="FootnoteAnchor"/>
          <w:rtl w:val="true"/>
        </w:rPr>
        <w:footnoteReference w:id="1298"/>
      </w:r>
      <w:r>
        <w:rPr>
          <w:rFonts w:ascii="Amiri" w:hAnsi="Amiri" w:eastAsia="Amiri" w:cs="Amiri"/>
          <w:color w:val="111111"/>
          <w:sz w:val="28"/>
          <w:sz w:val="28"/>
          <w:szCs w:val="28"/>
          <w:rtl w:val="true"/>
          <w:lang w:bidi="ar-SA"/>
        </w:rPr>
        <w:t>، و لكنّ الظاهر من الأخبار هو ذاك، فتأمّل</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الإطلاق المذكور يمنع فيما يؤدّي الاحتكار إلى الإخلال بالنظم، و وقوع المسلمين و المحترمين في المشقّة المؤدّية احتمالًا إلى الهلاكة، إلّا إذا كان الاحتمال المذكور سارياً في حقّ المحتكر أيضاً،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تحقّقه إلّا في الغلّات الأربع، و السمن، و الزيت، 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للنصّ، ففي معتبر غياث بن إبراهيم،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الحكرة إلّا في الحنطة، و الشعير، و التمر، و الزبيب، و السمن</w:t>
      </w:r>
      <w:r>
        <w:rPr>
          <w:rFonts w:eastAsia="Amiri" w:cs="Amiri" w:ascii="Amiri" w:hAnsi="Amiri"/>
          <w:color w:val="111111"/>
          <w:sz w:val="28"/>
          <w:szCs w:val="28"/>
          <w:rtl w:val="true"/>
          <w:lang w:bidi="ar-SA"/>
        </w:rPr>
        <w:t>»</w:t>
      </w:r>
      <w:r>
        <w:rPr>
          <w:rStyle w:val="FootnoteAnchor"/>
          <w:rtl w:val="true"/>
        </w:rPr>
        <w:footnoteReference w:id="1299"/>
      </w:r>
      <w:r>
        <w:rPr>
          <w:rFonts w:ascii="Amiri" w:hAnsi="Amiri" w:eastAsia="Amiri" w:cs="Amiri"/>
          <w:color w:val="111111"/>
          <w:sz w:val="28"/>
          <w:sz w:val="28"/>
          <w:szCs w:val="28"/>
          <w:rtl w:val="true"/>
          <w:lang w:bidi="ar-SA"/>
        </w:rPr>
        <w:t xml:space="preserve">و في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الزيت على الخمسة</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للتجاوز عنها إلى غيرها نحتاج إلى إلغاء الخصوصيّة، و هي ممنوعة جدّاً، أو إلى دعوى الإطلاق، و هي مضافاً إلى ظهور بعض كلمات بعض اللّغويّين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مادّة الاحتكار أخصّ</w:t>
      </w:r>
      <w:r>
        <w:rPr>
          <w:rStyle w:val="FootnoteAnchor"/>
          <w:rtl w:val="true"/>
        </w:rPr>
        <w:footnoteReference w:id="1301"/>
      </w:r>
      <w:r>
        <w:rPr>
          <w:rFonts w:ascii="IRNazanin" w:hAnsi="IRNazanin" w:eastAsia="IRNazanin"/>
          <w:color w:val="111111"/>
          <w:sz w:val="28"/>
          <w:sz w:val="28"/>
          <w:szCs w:val="28"/>
          <w:rtl w:val="true"/>
          <w:lang w:bidi="fa-IR"/>
        </w:rPr>
        <w:t>، خلافاً لبعضهم الآخر</w:t>
      </w:r>
      <w:r>
        <w:rPr>
          <w:rStyle w:val="FootnoteAnchor"/>
          <w:rtl w:val="true"/>
        </w:rPr>
        <w:footnoteReference w:id="1302"/>
      </w:r>
      <w:r>
        <w:rPr>
          <w:rFonts w:ascii="Amiri" w:hAnsi="Amiri" w:eastAsia="Amiri" w:cs="Amiri"/>
          <w:color w:val="111111"/>
          <w:sz w:val="28"/>
          <w:sz w:val="28"/>
          <w:szCs w:val="28"/>
          <w:rtl w:val="true"/>
          <w:lang w:bidi="ar-SA"/>
        </w:rPr>
        <w:t>، يقيّد بالمفهوم في رواية غياث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دعوى لغويّة خصوصيّتها إذا لم تكن مورد الحاجة المتعارفة، كالحنطة في طبرستان مثلًا، و لحوق غيرها بها فيما صار من الرزق الغالب بعد مراجعة النصوص في المسألة، غير بعيدة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يشكل جريانها في الزيت؛ لأنّ مقتضى ما تحرّر منّا في محلّه</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الجمع بين مفهوم الحصر و المنطوق بالتقييد، ليس من الجمع العقلائي، و عندئذٍ إذا ثبت سند القيد يحمل الحصر على الأفراد التي تشتمل على الأهميّة بالذكر، و عليه يمكن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الحكرة ممنوعة في جميع ما يحتاج إليه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لم يكن مستلزماً لوقوعهم في المشقّة المستلزمة للإخلال بالنظم، و إلّا فهو ممنوع عقلًا، كما مرّ الإيماء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أمثال هذه المسائل بيد أمير المصر، و سلطان الممالك، و عليه حفظ شؤون الملك حسب ما يراه مع رعاية مصالح المالك و الملك و الرعيّة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أن تكون المسألة من قبيل المسائل الصادرة عن النبيّ و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هما سلطان الناس، و سائس الأُمّة، و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حكمي على الأوّلين حكمي على الآخرين</w:t>
      </w:r>
      <w:r>
        <w:rPr>
          <w:rFonts w:eastAsia="Amiri" w:cs="Amiri" w:ascii="Amiri" w:hAnsi="Amiri"/>
          <w:color w:val="111111"/>
          <w:sz w:val="28"/>
          <w:szCs w:val="28"/>
          <w:rtl w:val="true"/>
          <w:lang w:bidi="ar-SA"/>
        </w:rPr>
        <w:t>»</w:t>
      </w:r>
      <w:r>
        <w:rPr>
          <w:rStyle w:val="FootnoteAnchor"/>
          <w:rtl w:val="true"/>
        </w:rPr>
        <w:footnoteReference w:id="1304"/>
      </w:r>
      <w:r>
        <w:rPr>
          <w:rFonts w:ascii="Amiri" w:hAnsi="Amiri" w:eastAsia="Amiri" w:cs="Amiri"/>
          <w:color w:val="111111"/>
          <w:sz w:val="28"/>
          <w:sz w:val="28"/>
          <w:szCs w:val="28"/>
          <w:rtl w:val="true"/>
          <w:lang w:bidi="ar-SA"/>
        </w:rPr>
        <w:t xml:space="preserve">نفوذه في عصرنا، و لزوم التبعيّة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هو أمر مرغوب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مطلق ما يحتاج إليه الناس، لكن لا يثبت لغير 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الاحتكار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أمر مرغوب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عرفت وجه ما ذكره الأصحاب وجهاً له، مضى ما فيه، 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 أجمل في بيان الحكم فيما سوى الستّة؛ لما في دليله من الإجمال،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مرغوب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الحرمة، و الكراهة، و المذموميّة الأخلاقيّة المعلومة من مذاق الشريعة، و ما يحتاج إليه الناس أعمّ من المأكولات، و المشروبات، و الملابس، و الآلات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قوله تعالى وَ يَمْنَعُونَ الْماعُونَ</w:t>
      </w:r>
      <w:r>
        <w:rPr>
          <w:rStyle w:val="FootnoteAnchor"/>
          <w:rtl w:val="true"/>
        </w:rPr>
        <w:footnoteReference w:id="1305"/>
      </w:r>
      <w:r>
        <w:rPr>
          <w:rFonts w:ascii="Amiri" w:hAnsi="Amiri" w:eastAsia="Amiri" w:cs="Amiri"/>
          <w:color w:val="111111"/>
          <w:sz w:val="28"/>
          <w:sz w:val="28"/>
          <w:szCs w:val="28"/>
          <w:rtl w:val="true"/>
          <w:lang w:bidi="ar-SA"/>
        </w:rPr>
        <w:t>من الرمز إلى هذه المسألة، فإنّ الماعون معناه المعروف، و كلّ ما ينتفع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يثبت لغير ما ذكر</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المرغوب عنه أعمّ من الحرمة كما عرفت، و أمّا إذا كان محرّماً، كما هو الظاهر من المتن بعد ملاحظة هذه العبارة، فإن كان دليله نصوص هذه المسألة بوجه مضى أو بوجوه أُخر أُشير إليها، فعندئذ تثبت أحكام الحكرة، و إن كان دليله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الضرر و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جريانهما في المقام؛ بحيث ينتج حرمة الحبس و المنع بحث، لا أظنّ التزامه به إلّا على بعض التقاريب؛ ضرورة أنّ القاعدتين تتكفّلان نفي ما يوجب الضرر و الحرج على المكلّف لا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يجبر المحتكر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مورد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نفي سلطنة المالك، إذا كان إطلاقها موجباً لوقوع الغير في الضرر،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القاعدتين عامّتان متكفّلتان لنفي الأحكام المزاحمة، و تحريم الإضرار و الإحراج، فعندئذٍ لا يجوز الاحتكار المؤدّي إلى ضرر المسلمين، و وقوعهم في المشقّة و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المباحث في القاعدتين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ناظرتان إلى نفي الضرر و الحرج عن النوع من غير النظر إلى الشخص، فلو كان الاحتكار موجباً للضرر على النوع، و نفيه موجباً للضرر على الشخص، و هكذا في جانب الحرج، يقدّم لحاظ النوع، فإنّهما منّة على الأُمّة لا على كلّ واحد واحد منهم حتّى يلزم التزاحم بين الضرر الشخصي و النوعي، و المشقّة الشخصيّة و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يحرم الاحتكار، و يمنع عنه، من غير سريان أحكامه الخاصّة الثابتة في الموارد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يجبر المحتكر</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إجماعاً محكيّاً عن غير واحد</w:t>
      </w:r>
      <w:r>
        <w:rPr>
          <w:rStyle w:val="FootnoteAnchor"/>
          <w:rtl w:val="true"/>
        </w:rPr>
        <w:footnoteReference w:id="1306"/>
      </w:r>
      <w:r>
        <w:rPr>
          <w:rFonts w:ascii="Amiri" w:hAnsi="Amiri" w:eastAsia="Amiri" w:cs="Amiri"/>
          <w:color w:val="111111"/>
          <w:sz w:val="28"/>
          <w:sz w:val="28"/>
          <w:szCs w:val="28"/>
          <w:rtl w:val="true"/>
          <w:lang w:bidi="ar-SA"/>
        </w:rPr>
        <w:t>، و هو قضيّة النصّ</w:t>
      </w:r>
      <w:r>
        <w:rPr>
          <w:rStyle w:val="FootnoteAnchor"/>
          <w:rtl w:val="true"/>
        </w:rPr>
        <w:footnoteReference w:id="1307"/>
      </w:r>
      <w:r>
        <w:rPr>
          <w:rFonts w:ascii="Amiri" w:hAnsi="Amiri" w:eastAsia="Amiri" w:cs="Amiri"/>
          <w:color w:val="111111"/>
          <w:sz w:val="28"/>
          <w:sz w:val="28"/>
          <w:szCs w:val="28"/>
          <w:rtl w:val="true"/>
          <w:lang w:bidi="ar-SA"/>
        </w:rPr>
        <w:t>، و في إطلاق</w:t>
      </w:r>
    </w:p>
    <w:p>
      <w:pPr>
        <w:pStyle w:val="BookText"/>
        <w:rPr/>
      </w:pPr>
      <w:r>
        <w:rPr>
          <w:rFonts w:ascii="Amiri" w:hAnsi="Amiri" w:eastAsia="Amiri" w:cs="Amiri"/>
          <w:color w:val="111111"/>
          <w:sz w:val="28"/>
          <w:sz w:val="28"/>
          <w:szCs w:val="28"/>
          <w:rtl w:val="true"/>
          <w:lang w:bidi="ar-SA"/>
        </w:rPr>
        <w:t xml:space="preserve">على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يعيّن عليه السعر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نظر، و لعلّه يريد صورة الاحتكار المحرّم، لا الأعمّ منه و من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في النصّ، و لكنّه محمول على المثال، فلو اجبر على التجارة فاختار القرض أو الهبة المعوّضة أو غير ذلك من الصلح و نحوه، فهو أيضاً جائز؛ لمعلوميّة الملاك، و المقصود من الإجبار، بل الإجبار على الأمر الكلّي، و اختيار المجبور أحد مصاديقه، أوفق بالاحتياط من الإجبار على خصوص البيع،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السعر على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إجماعاً محكيّاً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30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30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310"/>
      </w:r>
      <w:r>
        <w:rPr>
          <w:rFonts w:ascii="Amiri" w:hAnsi="Amiri" w:eastAsia="Amiri" w:cs="Amiri"/>
          <w:color w:val="111111"/>
          <w:sz w:val="28"/>
          <w:sz w:val="28"/>
          <w:szCs w:val="28"/>
          <w:rtl w:val="true"/>
          <w:lang w:bidi="ar-SA"/>
        </w:rPr>
        <w:t>و هو الموافق للقواعد؛ لأنّ الإجبار على خلافها، و تقتضيه النصوص</w:t>
      </w:r>
      <w:r>
        <w:rPr>
          <w:rStyle w:val="FootnoteAnchor"/>
          <w:rtl w:val="true"/>
        </w:rPr>
        <w:footnoteReference w:id="1311"/>
      </w:r>
      <w:r>
        <w:rPr>
          <w:rFonts w:ascii="Amiri" w:hAnsi="Amiri" w:eastAsia="Amiri" w:cs="Amiri"/>
          <w:color w:val="111111"/>
          <w:sz w:val="28"/>
          <w:sz w:val="28"/>
          <w:szCs w:val="28"/>
          <w:rtl w:val="true"/>
          <w:lang w:bidi="ar-SA"/>
        </w:rPr>
        <w:t xml:space="preserve">،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أخبار متواترة</w:t>
      </w:r>
      <w:r>
        <w:rPr>
          <w:rFonts w:eastAsia="Amiri" w:cs="Amiri" w:ascii="Amiri" w:hAnsi="Amiri"/>
          <w:color w:val="111111"/>
          <w:sz w:val="28"/>
          <w:szCs w:val="28"/>
          <w:rtl w:val="true"/>
          <w:lang w:bidi="ar-SA"/>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يشكل في ذلك كلّه؛ لأنّ الإجماعات معلومة السند، و القواعد</w:t>
      </w:r>
    </w:p>
    <w:p>
      <w:pPr>
        <w:pStyle w:val="BookText"/>
        <w:rPr/>
      </w:pPr>
      <w:r>
        <w:rPr>
          <w:rFonts w:ascii="Amiri" w:hAnsi="Amiri" w:eastAsia="Amiri" w:cs="Amiri"/>
          <w:color w:val="111111"/>
          <w:sz w:val="28"/>
          <w:sz w:val="28"/>
          <w:szCs w:val="28"/>
          <w:rtl w:val="true"/>
          <w:lang w:bidi="ar-SA"/>
        </w:rPr>
        <w:t xml:space="preserve">محكومة بما يقتضيه ظاهر كلام الأمير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فامنع من الاحتكار؛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منه، و ليكن البيع بيعاً سمحاً بموازين عدل، واسعاً لا يجحف بالفريقين من البائع و المبتاع</w:t>
      </w:r>
      <w:r>
        <w:rPr>
          <w:rFonts w:eastAsia="Amiri" w:cs="Amiri" w:ascii="Amiri" w:hAnsi="Amiri"/>
          <w:color w:val="111111"/>
          <w:sz w:val="28"/>
          <w:szCs w:val="28"/>
          <w:rtl w:val="true"/>
          <w:lang w:bidi="ar-SA"/>
        </w:rPr>
        <w:t>»</w:t>
      </w:r>
      <w:r>
        <w:rPr>
          <w:rStyle w:val="FootnoteAnchor"/>
          <w:rtl w:val="true"/>
        </w:rPr>
        <w:footnoteReference w:id="1313"/>
      </w:r>
      <w:r>
        <w:rPr>
          <w:rFonts w:ascii="Amiri" w:hAnsi="Amiri" w:eastAsia="Amiri" w:cs="Amiri"/>
          <w:color w:val="111111"/>
          <w:sz w:val="28"/>
          <w:sz w:val="28"/>
          <w:szCs w:val="28"/>
          <w:rtl w:val="true"/>
          <w:lang w:bidi="ar-SA"/>
        </w:rPr>
        <w:t>فإنّ الظاهر اختيار البيع بيد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رواية ضمرة</w:t>
      </w:r>
      <w:r>
        <w:rPr>
          <w:rStyle w:val="FootnoteAnchor"/>
          <w:rtl w:val="true"/>
        </w:rPr>
        <w:footnoteReference w:id="1314"/>
      </w:r>
      <w:r>
        <w:rPr>
          <w:rFonts w:ascii="Amiri" w:hAnsi="Amiri" w:eastAsia="Amiri" w:cs="Amiri"/>
          <w:color w:val="111111"/>
          <w:sz w:val="28"/>
          <w:sz w:val="28"/>
          <w:szCs w:val="28"/>
          <w:rtl w:val="true"/>
          <w:lang w:bidi="ar-SA"/>
        </w:rPr>
        <w:t xml:space="preserve">مع إجمالها، و عدم تماميّة سندها، و لا رواية حذيفة بن منصور،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بعه كيف شئت، و لا تحبسه</w:t>
      </w:r>
      <w:r>
        <w:rPr>
          <w:rFonts w:eastAsia="Amiri" w:cs="Amiri" w:ascii="Amiri" w:hAnsi="Amiri"/>
          <w:color w:val="111111"/>
          <w:sz w:val="28"/>
          <w:szCs w:val="28"/>
          <w:rtl w:val="true"/>
          <w:lang w:bidi="ar-SA"/>
        </w:rPr>
        <w:t>»</w:t>
      </w:r>
      <w:r>
        <w:rPr>
          <w:rStyle w:val="FootnoteAnchor"/>
          <w:rtl w:val="true"/>
        </w:rPr>
        <w:footnoteReference w:id="1315"/>
      </w:r>
      <w:r>
        <w:rPr>
          <w:rFonts w:ascii="Amiri" w:hAnsi="Amiri" w:eastAsia="Amiri" w:cs="Amiri"/>
          <w:color w:val="111111"/>
          <w:sz w:val="28"/>
          <w:sz w:val="28"/>
          <w:szCs w:val="28"/>
          <w:rtl w:val="true"/>
          <w:lang w:bidi="ar-SA"/>
        </w:rPr>
        <w:t>مجمل من حيث أنواع الكيف، مع أنّه غير قابل للعمل به في صورة الإجحاف، و لا دلالة فيه على المنع من التسعير</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ورد في الروايات الكثيرة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السعر بيد اللَّه عزّ و جلّ</w:t>
      </w:r>
      <w:r>
        <w:rPr>
          <w:rFonts w:eastAsia="Amiri" w:cs="Amiri" w:ascii="Amiri" w:hAnsi="Amiri"/>
          <w:color w:val="111111"/>
          <w:sz w:val="28"/>
          <w:szCs w:val="28"/>
          <w:rtl w:val="true"/>
          <w:lang w:bidi="ar-SA"/>
        </w:rPr>
        <w:t>»</w:t>
      </w:r>
      <w:r>
        <w:rPr>
          <w:rStyle w:val="FootnoteAnchor"/>
          <w:rtl w:val="true"/>
        </w:rPr>
        <w:footnoteReference w:id="1316"/>
      </w:r>
      <w:r>
        <w:rPr>
          <w:rFonts w:ascii="Amiri" w:hAnsi="Amiri" w:eastAsia="Amiri" w:cs="Amiri"/>
          <w:color w:val="111111"/>
          <w:sz w:val="28"/>
          <w:sz w:val="28"/>
          <w:szCs w:val="28"/>
          <w:rtl w:val="true"/>
          <w:lang w:bidi="ar-SA"/>
        </w:rPr>
        <w:t>غير هذا التسعير المقصود في المقام،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له أن يبيع بما شاء إلّا إذا أجحف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فيجبر على النزول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دون أن يسعّر عليه، 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إذا أجحف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مختار جماعة</w:t>
      </w:r>
      <w:r>
        <w:rPr>
          <w:rStyle w:val="FootnoteAnchor"/>
          <w:rtl w:val="true"/>
        </w:rPr>
        <w:footnoteReference w:id="1317"/>
      </w:r>
      <w:r>
        <w:rPr>
          <w:rFonts w:ascii="Amiri" w:hAnsi="Amiri" w:eastAsia="Amiri" w:cs="Amiri"/>
          <w:color w:val="111111"/>
          <w:sz w:val="28"/>
          <w:sz w:val="28"/>
          <w:szCs w:val="28"/>
          <w:rtl w:val="true"/>
          <w:lang w:bidi="ar-SA"/>
        </w:rPr>
        <w:t>، و قضيّة ما في النهج، و ضعف السند ينجبر بعملهم بعد اقتضاء القواعد بطلان المعاملة المجبور عليها،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المناسب في المقام من إرادة الحاكم رفع المشقّة و الحرج، و إحداث النظم في المصر و البلد؛ ضرورة أنّه مع الإجحاف لا يرفع ذلك، و لا يحصل المقصود من تجويز البيع بلا رضا المالك، و لا سيّما في الإجحاف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فيجبر على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رعاية للقواعد و نصوص المسألة، و حفظاً على الخروج عنها بالقدر المتيقّن، و ممّا مضى و تقدّم</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تعيين السعر عليه يختصّ على فرض الجواز بما إذا لم يرد المالك البيع بأقلّ من الثمن المتعارف، و في المسألة بعض مباحث ترجع إلى بيع المكره، فتطلب من محالّها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عدم تعيينه يعيّن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يرى المصلحة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هو المنصوب من قبله في خصوص هذه القضيّة، أو في الأمر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يرى المصلحة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العمل بموازين العدل من غير أن يجحف بالفريقين</w:t>
      </w:r>
      <w:r>
        <w:rPr>
          <w:rFonts w:eastAsia="Amiri" w:cs="Amiri" w:ascii="Amiri" w:hAnsi="Amiri"/>
          <w:color w:val="111111"/>
          <w:sz w:val="28"/>
          <w:szCs w:val="28"/>
          <w:rtl w:val="true"/>
          <w:lang w:bidi="ar-SA"/>
        </w:rPr>
        <w:t>.</w:t>
      </w:r>
      <w:bookmarkStart w:id="285" w:name="pg12366_123339"/>
    </w:p>
    <w:p>
      <w:pPr>
        <w:pStyle w:val="Heading4"/>
        <w:numPr>
          <w:ilvl w:val="3"/>
          <w:numId w:val="1"/>
        </w:numPr>
        <w:rPr/>
      </w:pPr>
      <w:bookmarkStart w:id="286" w:name="__RefHeading___Toc8896121_417432637"/>
      <w:bookmarkStart w:id="287" w:name="_Toc104"/>
      <w:bookmarkEnd w:id="285"/>
      <w:bookmarkEnd w:id="286"/>
      <w:r>
        <w:rPr>
          <w:rtl w:val="true"/>
        </w:rPr>
        <w:t>[</w:t>
      </w:r>
      <w:r>
        <w:rPr>
          <w:rtl w:val="true"/>
        </w:rPr>
        <w:t xml:space="preserve">مسألة </w:t>
      </w:r>
      <w:r>
        <w:rPr/>
        <w:t>24</w:t>
      </w:r>
      <w:r>
        <w:rPr>
          <w:rtl w:val="true"/>
        </w:rPr>
        <w:t xml:space="preserve">: </w:t>
      </w:r>
      <w:r>
        <w:rPr>
          <w:rtl w:val="true"/>
        </w:rPr>
        <w:t>لا يجوز مع الاختيار الدخول في الولايات، و المناصب، و الأشغال من قبل الجائر</w:t>
      </w:r>
      <w:r>
        <w:rPr>
          <w:rtl w:val="true"/>
        </w:rPr>
        <w:t>]</w:t>
      </w:r>
      <w:bookmarkEnd w:id="28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الاختيار الدخول في الولايات، و المناصب، و الأشغال من قبل الجائر و إن كان أصل الشغل مشروعاً، 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المشهور، بل في الفرض الثاني حرمته من الضروريّات المفروغ عنها، و ذلك إمّا لأنّها محرّمة بذاتها و بعنوان التولّي و التقلّد من قبل السلطان الجائر، كما هو ظاهر بعض النصوص</w:t>
      </w:r>
      <w:r>
        <w:rPr>
          <w:rStyle w:val="FootnoteAnchor"/>
          <w:rtl w:val="true"/>
        </w:rPr>
        <w:footnoteReference w:id="1318"/>
      </w:r>
      <w:r>
        <w:rPr>
          <w:rFonts w:ascii="Amiri" w:hAnsi="Amiri" w:eastAsia="Amiri" w:cs="Amiri"/>
          <w:color w:val="111111"/>
          <w:sz w:val="28"/>
          <w:sz w:val="28"/>
          <w:szCs w:val="28"/>
          <w:rtl w:val="true"/>
          <w:lang w:bidi="ar-SA"/>
        </w:rPr>
        <w:t>، و هذا هو الداخل في الروايات الزاجرة عن الدخول في أعوان الظلمة</w:t>
      </w:r>
      <w:r>
        <w:rPr>
          <w:rStyle w:val="FootnoteAnchor"/>
          <w:rtl w:val="true"/>
        </w:rPr>
        <w:footnoteReference w:id="1319"/>
      </w:r>
      <w:r>
        <w:rPr>
          <w:rFonts w:ascii="Amiri" w:hAnsi="Amiri" w:eastAsia="Amiri" w:cs="Amiri"/>
          <w:color w:val="111111"/>
          <w:sz w:val="28"/>
          <w:sz w:val="28"/>
          <w:szCs w:val="28"/>
          <w:rtl w:val="true"/>
          <w:lang w:bidi="ar-SA"/>
        </w:rPr>
        <w:t>، بل هم الظالمون، أو لأنّ تصدّى الخلافة الإسلاميّة، و السلطنة على الرعيّة غصب، فيكون محرّماً؛ فلا يحرم عمل العاملين من قبلهم بهذا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أيضاً غصب الولاية التي هي حقّ الشيعة و أتباع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يختلف وجه الحرمة المنطبق، فإنّ الخليفة يحرم فعله لكونه غصباً و عدواناً، و العمّال يحرم فعلهم و تصدّيهم لكونه دخولًا في سلطان الغير، أو لكونه عون الظالم أو سبباً لبقاء الظلم و ازدياد شوكته، أو لأنّ التدخّل في هذه الأُمور يستلزم المحرّمات فيكون ممنوعاً عقلًا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تقتضيه الصناعة حلّيّة العنوان المذكور بنفسه، و لا دليل على حرمة غصب الخلافة بعنوانه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قبيح عقلًا؛ لأنّه ظلم، و لا يحرم الظلم عندنا بعنوانه حتّى يلزم كون الغصب محرّماً بعنوانين، بل لا يعقل؛ لأنّ النسبة بين عنوان الظلم و العناوين الخاصّة الّتي من مصاديقه العموم المطلق، لا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المتراءى من روايات المسألة؛ لأنّ مقتضى الجمع بين ما يدلّ على حرمته بعنوانه</w:t>
      </w:r>
      <w:r>
        <w:rPr>
          <w:rStyle w:val="FootnoteAnchor"/>
          <w:rtl w:val="true"/>
        </w:rPr>
        <w:footnoteReference w:id="1320"/>
      </w:r>
      <w:r>
        <w:rPr>
          <w:rFonts w:ascii="Amiri" w:hAnsi="Amiri" w:eastAsia="Amiri" w:cs="Amiri"/>
          <w:color w:val="111111"/>
          <w:sz w:val="28"/>
          <w:sz w:val="28"/>
          <w:szCs w:val="28"/>
          <w:rtl w:val="true"/>
          <w:lang w:bidi="ar-SA"/>
        </w:rPr>
        <w:t>، و ما يدلّ على حرمته لاستلزامه المحرّم</w:t>
      </w:r>
      <w:r>
        <w:rPr>
          <w:rStyle w:val="FootnoteAnchor"/>
          <w:rtl w:val="true"/>
        </w:rPr>
        <w:footnoteReference w:id="1321"/>
      </w:r>
      <w:r>
        <w:rPr>
          <w:rFonts w:ascii="Amiri" w:hAnsi="Amiri" w:eastAsia="Amiri" w:cs="Amiri"/>
          <w:color w:val="111111"/>
          <w:sz w:val="28"/>
          <w:sz w:val="28"/>
          <w:szCs w:val="28"/>
          <w:rtl w:val="true"/>
          <w:lang w:bidi="ar-SA"/>
        </w:rPr>
        <w:t>هو الالتزام بحلّيّة العنوان المذكور ذاتاً، و حرمته عقلًا و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نتيجة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عدم ترتّب المحرّم على تقلّد الأمر و تصدّي الخلافة، لكان هذا جائزاً، بل و لمكان حفظ المسلمين عن المفاسد المرتقبة في المعيشة و دفع شرّ الكفّار عنهم، يكون مأجوراً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الصريح في رواية ابن إدريس 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الرجال</w:t>
      </w:r>
      <w:r>
        <w:rPr>
          <w:rFonts w:eastAsia="Amiri" w:cs="Amiri" w:ascii="Amiri" w:hAnsi="Amiri"/>
          <w:color w:val="111111"/>
          <w:sz w:val="28"/>
          <w:szCs w:val="28"/>
          <w:rtl w:val="true"/>
          <w:lang w:bidi="ar-SA"/>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الفرق بين العامل الكذائي و المعمول له غير تامّ، فإنّ سلطان الإسلام لو كان يدخل في أمره لدفع الشرّ عن حدود الإسلام، مريداً بسط السنّة و الكتاب، معتقداً أنّ غيره لا يتمكّن من ذلك، غير مبال بأمر الإمام</w:t>
      </w:r>
    </w:p>
    <w:p>
      <w:pPr>
        <w:pStyle w:val="BookText"/>
        <w:rPr/>
      </w:pPr>
      <w:r>
        <w:rPr>
          <w:rFonts w:ascii="Amiri" w:hAnsi="Amiri" w:eastAsia="Amiri" w:cs="Amiri"/>
          <w:color w:val="111111"/>
          <w:sz w:val="28"/>
          <w:sz w:val="28"/>
          <w:szCs w:val="28"/>
          <w:rtl w:val="true"/>
          <w:lang w:bidi="ar-SA"/>
        </w:rPr>
        <w:t>و نهيه، فإنّه مثل العامل الداخل في الأمر مريد هذه الحسنات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فيعلم من ذلك أنّ المآثير في المسألة قاصرة عن إفادة ما هو المحرّم في الشريعة قطعاً، أو تحتاج إلى التعمّق و التأمّل الشديد، و هو يعطي أنّ المآثير في المقام خمس طوائف، على ما فصّلناها في كتابنا الكبير</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نتيجة هذه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التولّي و تقلّد الأمر من أعظم المحرّمات الإلهيّة، الّتي لا تترخّص إلّا في مواقف التقيّة و الضرورة، مع لزوم جبر المفسدة الواقعة فيها بالأعمال الصالحة، و قضاء حوائج الشيعة، ف إِنَّ الْحَسَناتِ يُذْهِبْنَ السَّيِّئاتِ</w:t>
      </w:r>
      <w:r>
        <w:rPr>
          <w:rStyle w:val="FootnoteAnchor"/>
          <w:rtl w:val="true"/>
        </w:rPr>
        <w:footnoteReference w:id="1323"/>
      </w:r>
      <w:r>
        <w:rPr>
          <w:rFonts w:ascii="Amiri" w:hAnsi="Amiri" w:eastAsia="Amiri" w:cs="Amiri"/>
          <w:color w:val="111111"/>
          <w:sz w:val="28"/>
          <w:sz w:val="28"/>
          <w:szCs w:val="28"/>
          <w:rtl w:val="true"/>
          <w:lang w:bidi="ar-SA"/>
        </w:rPr>
        <w:t>كما في رواية مفضّل بن مريم</w:t>
      </w:r>
      <w:r>
        <w:rPr>
          <w:rStyle w:val="FootnoteAnchor"/>
          <w:rtl w:val="true"/>
        </w:rPr>
        <w:footnoteReference w:id="132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عمل السلطان قضاء حوائج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325"/>
      </w:r>
      <w:r>
        <w:rPr>
          <w:rFonts w:ascii="Amiri" w:hAnsi="Amiri" w:eastAsia="Amiri" w:cs="Amiri"/>
          <w:color w:val="111111"/>
          <w:sz w:val="28"/>
          <w:sz w:val="28"/>
          <w:szCs w:val="28"/>
          <w:rtl w:val="true"/>
          <w:lang w:bidi="ar-SA"/>
        </w:rPr>
        <w:t>، و ما ورد في ترخيص الدخول في ولاياتهم و مناصبهم كثيراً</w:t>
      </w:r>
      <w:r>
        <w:rPr>
          <w:rStyle w:val="FootnoteAnchor"/>
          <w:rtl w:val="true"/>
        </w:rPr>
        <w:footnoteReference w:id="1326"/>
      </w:r>
      <w:r>
        <w:rPr>
          <w:rFonts w:ascii="Amiri" w:hAnsi="Amiri" w:eastAsia="Amiri" w:cs="Amiri"/>
          <w:color w:val="111111"/>
          <w:sz w:val="28"/>
          <w:sz w:val="28"/>
          <w:szCs w:val="28"/>
          <w:rtl w:val="true"/>
          <w:lang w:bidi="ar-SA"/>
        </w:rPr>
        <w:t>على مبنى التقيّة حتّى عن مثل زرارة، كما في صحيحة الوليد بن صبيح</w:t>
      </w:r>
      <w:r>
        <w:rPr>
          <w:rStyle w:val="FootnoteAnchor"/>
          <w:rtl w:val="true"/>
        </w:rPr>
        <w:footnoteReference w:id="1327"/>
      </w:r>
      <w:r>
        <w:rPr>
          <w:rFonts w:ascii="Amiri" w:hAnsi="Amiri" w:eastAsia="Amiri" w:cs="Amiri"/>
          <w:color w:val="111111"/>
          <w:sz w:val="28"/>
          <w:sz w:val="28"/>
          <w:szCs w:val="28"/>
          <w:rtl w:val="true"/>
          <w:lang w:bidi="ar-SA"/>
        </w:rPr>
        <w:t>، و لا سيّما إنّ المسألة في نهاية</w:t>
      </w:r>
    </w:p>
    <w:p>
      <w:pPr>
        <w:pStyle w:val="BookText"/>
        <w:rPr/>
      </w:pPr>
      <w:r>
        <w:rPr>
          <w:rFonts w:ascii="Amiri" w:hAnsi="Amiri" w:eastAsia="Amiri" w:cs="Amiri"/>
          <w:color w:val="111111"/>
          <w:sz w:val="28"/>
          <w:sz w:val="28"/>
          <w:szCs w:val="28"/>
          <w:rtl w:val="true"/>
          <w:lang w:bidi="ar-SA"/>
        </w:rPr>
        <w:t>الدقّة في الحفظ على دمائهم و دماء أصحابهم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دخول مثل عليّ بن يقطين للإذن الخاصّ و لمصالح عالية مؤقّتة</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 أُمور الممالك محرّم، و الإعانة على هذا الظلم العظيم محرّم بأن يتصدّى الولايات و المناصب حتّى على الشيعة، و الاستثناء ينحصر بصورة التقيّة و الضرورة، راعياً مصالح الأُمّة حال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معنى لأن يكون المستثنى في المقام مستحبّاً لما تقرّر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الاستثناء عن العناوين المقبحة لا يعقل، إلّا فيما زاحم الملاك الأقوى البالغ حدّ الإيجاب، و السرّ كلّ السرّ أنّ الشقاوة و السعادة الدنيويّة و الأُخرويّة تنشأ عن الخلافة الصحيحة و السلطنة العادلة، و الفاسدة الظالمة، و جميع الخيرات و الشرور مربوطة بهما، و عندئذٍ يجب بحكم العقل إيجاد هذه و اقتناء ذاك و لو بالسياسة المنفيّة، الّتي هي المنساق من مآثير المسألة بعد التدبّر و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السلطان الجائر المدّعى للخلافة الإسلاميّة، الّذي هو القدر المتيقّن من الأدلّة حسب زمان صدورها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يتصدّى الممالك الإسلاميّة من غير الادّعاء المذكور، فهو</w:t>
      </w:r>
    </w:p>
    <w:p>
      <w:pPr>
        <w:pStyle w:val="BookText"/>
        <w:rPr/>
      </w:pPr>
      <w:r>
        <w:rPr>
          <w:rFonts w:ascii="Amiri" w:hAnsi="Amiri" w:eastAsia="Amiri" w:cs="Amiri"/>
          <w:color w:val="111111"/>
          <w:sz w:val="28"/>
          <w:sz w:val="28"/>
          <w:szCs w:val="28"/>
          <w:rtl w:val="true"/>
          <w:lang w:bidi="ar-SA"/>
        </w:rPr>
        <w:t>عندي أيضاً من الفساق في تقلّده؛ لما تقرّر منّا أنّه حقّ الفقهاء</w:t>
      </w:r>
      <w:r>
        <w:rPr>
          <w:rStyle w:val="FootnoteAnchor"/>
          <w:rtl w:val="true"/>
        </w:rPr>
        <w:footnoteReference w:id="1329"/>
      </w:r>
      <w:r>
        <w:rPr>
          <w:rFonts w:ascii="Amiri" w:hAnsi="Amiri" w:eastAsia="Amiri" w:cs="Amiri"/>
          <w:color w:val="111111"/>
          <w:sz w:val="28"/>
          <w:sz w:val="28"/>
          <w:szCs w:val="28"/>
          <w:rtl w:val="true"/>
          <w:lang w:bidi="ar-SA"/>
        </w:rPr>
        <w:t>، و ليس أمر الممالك مرخى و مرسل العنان من قبل الشريعة الخاتمة، للزوم الخلف فعلى الإسلام تعيين الوظيفة في جميع الأعصار، و لا يجوز عليه إيقاع المسلمين في الهرج و المرج حتّى يتكدّر منه روح كلّ أحد، و لا يميل إليه ذو مسكة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عندنا بين الإمام و المنصوب من قبله عامّاً و خاصّاً، في وجوب تصدّي الملك، و تعيين الحدود، و بسط العدل و الإسلام إلى أن يأتي قائم الأُمّة عجّل اللَّه تعالى فرجه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الأمر كما زعمه زملائنا القدماء و المتأخّرون</w:t>
      </w:r>
      <w:r>
        <w:rPr>
          <w:rStyle w:val="FootnoteAnchor"/>
          <w:rtl w:val="true"/>
        </w:rPr>
        <w:footnoteReference w:id="1330"/>
      </w:r>
      <w:r>
        <w:rPr>
          <w:rFonts w:ascii="Amiri" w:hAnsi="Amiri" w:eastAsia="Amiri" w:cs="Amiri"/>
          <w:color w:val="111111"/>
          <w:sz w:val="28"/>
          <w:sz w:val="28"/>
          <w:szCs w:val="28"/>
          <w:rtl w:val="true"/>
          <w:lang w:bidi="ar-SA"/>
        </w:rPr>
        <w:t>، لكان يجب إرسال الرسول، لاتّحاد هذه الجاهليّة مع الجاهليّة الاولى في الاقتضاء، فلا يجوز وضع اليد على اليد مدّعياً أنّ الإسلام أمر به، فإنّه إثم و بهتان عظيم، و هذا ممّا لا يحتاج فيه إلى الدليل، كما في أصل التوحيد و الرسالة، و لا ينبغي الخلط بين المانع عن التقدّم و البسط، و عدم اقتضاء الإسلام ذلك، فإنّه في الثاني نقص عليه و خذلان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قطع النظر عن تولّيه من قبله كجباية الخراج و جمع الزكاة، و تولّي المناصب الجنديّة و الأمنيّة، و حكومة البلاد و نحو ذلك، فضلًا عمّا كان غير مشروع في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كأخذ العشور و المكوس و غير ذلك من أنواع الظلم المبتدعة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مشروع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المناصب المشروعة هي المتعارفة في جميع الحكومات حتّى العادلة، و من غير المشروعة هي ما لا يتعارف في حكومة العدل، فإنّ أخذ المكوس و العشور ليس من شؤون السلطان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بعنوانه ليس من المحرّمات حتّى يكون حراماً، مع رضاء الأُمّة الراقية القائلة بلزومها لحفظ المملكة، و لذلك يمكن إحداث هذه الشؤون في الدولة الحقّة إذا كانت محتاجة إلى الإعانة في الإدارة، فيأمر السلطان العادل الرعيّة بأن يعطي كذا و كذا زائداً على الأخماس و الزكوات</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يؤسف عليه أنّ الإسلام ليس معروفاً كما هو، و لا متلقّياً من أتباعه حقّه، فهو الغريب كما بدأ غريباً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يسوغ كلّ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الجبر و الإكراه، بإلزام من يخشى من التخلّف عن إلزامه على نفسه أو عرضه أو ماله المعتدّ به، إلّا في الدماء المحترمة بل في إطلاقه بالنسبة إلى تولّي بعض أنواع الظلم كهتك أعراض طائفة من المسلمين، و نهب أموالهم، و سبي نسائهم، و إيقاعهم في الحرج، مع خوفه على عرضه ببعض مراتبه الضعيفة، أو على ماله إذا لم يقع في الحرج،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كلّ ذلك</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للعقل و النقل، ففي موثّقة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من الشيعة يدخلون في أعمال السلطان، يعملون لهم، و يجبون لهم، و يوالونهم،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هم من الشيعة، و لكنّهم من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لُعِنَ الَّذِينَ كَفَرُوا مِنْ بَنِي إِسْرائِيلَ عَلى لِسانِ داوُدَ وَ عِيسَى ابْنِ مَرْيَمَ </w:t>
      </w:r>
      <w:r>
        <w:rPr>
          <w:rFonts w:eastAsia="Amiri" w:cs="Amiri" w:ascii="Amiri" w:hAnsi="Amiri"/>
          <w:color w:val="111111"/>
          <w:sz w:val="28"/>
          <w:szCs w:val="28"/>
          <w:rtl w:val="true"/>
          <w:lang w:bidi="ar-SA"/>
        </w:rPr>
        <w:t>..</w:t>
      </w:r>
      <w:r>
        <w:rPr>
          <w:rStyle w:val="FootnoteAnchor"/>
          <w:rtl w:val="true"/>
        </w:rPr>
        <w:footnoteReference w:id="1331"/>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احتجّ اللَّه على المؤمنين الموالين للكفّار فقال تَرى كَثِيراً مِنْهُمْ يَتَوَلَّوْنَ الَّذِينَ كَفَرُوا لَبِئْسَ ما قَدَّمَتْ لَهُمْ أَنْفُسُهُمْ </w:t>
      </w:r>
      <w:r>
        <w:rPr>
          <w:rFonts w:eastAsia="Amiri" w:cs="Amiri" w:ascii="Amiri" w:hAnsi="Amiri"/>
          <w:color w:val="111111"/>
          <w:sz w:val="28"/>
          <w:szCs w:val="28"/>
          <w:rtl w:val="true"/>
          <w:lang w:bidi="ar-SA"/>
        </w:rPr>
        <w:t>..</w:t>
      </w:r>
      <w:r>
        <w:rPr>
          <w:rStyle w:val="FootnoteAnchor"/>
          <w:rtl w:val="true"/>
        </w:rPr>
        <w:footnoteReference w:id="1332"/>
      </w:r>
      <w:r>
        <w:rPr>
          <w:rFonts w:ascii="Amiri" w:hAnsi="Amiri" w:eastAsia="Amiri" w:cs="Amiri"/>
          <w:color w:val="111111"/>
          <w:sz w:val="28"/>
          <w:sz w:val="28"/>
          <w:szCs w:val="28"/>
          <w:rtl w:val="true"/>
          <w:lang w:bidi="ar-SA"/>
        </w:rPr>
        <w:t>إلى قوله تعالى وَ لكِنَّ كَثِيراً مِنْهُمْ فاسِقُونَ</w:t>
      </w:r>
      <w:r>
        <w:rPr>
          <w:rStyle w:val="FootnoteAnchor"/>
          <w:rtl w:val="true"/>
        </w:rPr>
        <w:footnoteReference w:id="1333"/>
      </w:r>
      <w:r>
        <w:rPr>
          <w:rFonts w:ascii="Amiri" w:hAnsi="Amiri" w:eastAsia="Amiri" w:cs="Amiri"/>
          <w:color w:val="111111"/>
          <w:sz w:val="28"/>
          <w:sz w:val="28"/>
          <w:szCs w:val="28"/>
          <w:rtl w:val="true"/>
          <w:lang w:bidi="ar-SA"/>
        </w:rPr>
        <w:t>فنهى اللَّه عزّ و جلّ أن يوالي المؤمن الكافر إلّا عند التقيّة</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مطلقاً في بعضها إشكال، بل منع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تشتمل على جهات شتّى دالّة على ما أفدناه، من حرمة التولّي بذاته، و من ممنوعيّة الدخول حتّى للشيعة، و من حرمة تصدّي الخلافة و السلطة بالأولويّة القطعيّة، و من أنّهم في حكم الكافر، و الشيعة بما هي شيعة لا تتصدّى أمرهم، فيعلم ممنوعيّته شديداً، و مقتضى مفهوم الحصر انحصار الدخول بحال التقيّة دون مصالح أُخر يأتي ذكرها، و من أعمّية السلطان من المدّعين للخلافة الإسلاميّة، و من كونه عامّيّاً مسلماً، و استثناء التقيّة شاهد على أنّ الموالاة هي التولّي، لا الوداد و المحبّة، و حملها على ترتيب آثار الوداد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إشكال، بل منع</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 وجه الرخصة إن كان مراعاة المقتضيات، فهي في جانب المستثنى منه أقوى، بل لا تقاوم الأموال الأعراض، فلا يجوز هتك عرض المؤمن و لو بذهاب جميع أمواله، و إن كان المآثير الخاصّة</w:t>
      </w:r>
      <w:r>
        <w:rPr>
          <w:rStyle w:val="FootnoteAnchor"/>
          <w:rtl w:val="true"/>
        </w:rPr>
        <w:footnoteReference w:id="1335"/>
      </w:r>
      <w:r>
        <w:rPr>
          <w:rFonts w:ascii="Amiri" w:hAnsi="Amiri" w:eastAsia="Amiri" w:cs="Amiri"/>
          <w:color w:val="111111"/>
          <w:sz w:val="28"/>
          <w:sz w:val="28"/>
          <w:szCs w:val="28"/>
          <w:rtl w:val="true"/>
          <w:lang w:bidi="ar-SA"/>
        </w:rPr>
        <w:t>، و عمومات التقيّة</w:t>
      </w:r>
      <w:r>
        <w:rPr>
          <w:rStyle w:val="FootnoteAnchor"/>
          <w:rtl w:val="true"/>
        </w:rPr>
        <w:footnoteReference w:id="1336"/>
      </w:r>
      <w:r>
        <w:rPr>
          <w:rFonts w:ascii="Amiri" w:hAnsi="Amiri" w:eastAsia="Amiri" w:cs="Amiri"/>
          <w:color w:val="111111"/>
          <w:sz w:val="28"/>
          <w:sz w:val="28"/>
          <w:szCs w:val="28"/>
          <w:rtl w:val="true"/>
          <w:lang w:bidi="ar-SA"/>
        </w:rPr>
        <w:t>، و حديث الرفع</w:t>
      </w:r>
      <w:r>
        <w:rPr>
          <w:rStyle w:val="FootnoteAnchor"/>
          <w:rtl w:val="true"/>
        </w:rPr>
        <w:footnoteReference w:id="1337"/>
      </w:r>
      <w:r>
        <w:rPr>
          <w:rFonts w:ascii="Amiri" w:hAnsi="Amiri" w:eastAsia="Amiri" w:cs="Amiri"/>
          <w:color w:val="111111"/>
          <w:sz w:val="28"/>
          <w:sz w:val="28"/>
          <w:szCs w:val="28"/>
          <w:rtl w:val="true"/>
          <w:lang w:bidi="ar-SA"/>
        </w:rPr>
        <w:t>، فهي منصرفة عن هذه المواقف، فإنّه كيف يجوز</w:t>
      </w:r>
    </w:p>
    <w:p>
      <w:pPr>
        <w:pStyle w:val="BookText"/>
        <w:rPr/>
      </w:pPr>
      <w:r>
        <w:rPr>
          <w:rFonts w:ascii="Amiri" w:hAnsi="Amiri" w:eastAsia="Amiri" w:cs="Amiri"/>
          <w:color w:val="111111"/>
          <w:sz w:val="28"/>
          <w:sz w:val="28"/>
          <w:szCs w:val="28"/>
          <w:rtl w:val="true"/>
          <w:lang w:bidi="ar-SA"/>
        </w:rPr>
        <w:t xml:space="preserve">و يسوّغ خصوص القسم الأوّل و هو الدخول في الولاية على أمر مشروع في نفسه القيام بمصالح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و إخوانه في الدين، بل لو كان دخوله فيها بقصد الإحسان إلى المؤمنين، و دفع الضرر عنهم كان راجحاً، الالتزام بهدم الكعبة، و ردّ الكتاب و السنّة حذاء النفس فضلًا عن المال، فيما إذا كان في هدمه و ردّه ضلالة الناس و كفرهم، و التزلزل في عقائدهم، و التفصيل يطلب من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فما سمعتم تقبّل المئات من أعاظم المؤمنين و أقارب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الجهاد لبسط الإسلام و هداية الضالّين؟ أ فما تدرك أنّ أساس التقيّة لحفظ أُصول الإسلام، و عقائد الناس، و إحداث الوحدة الإسلاميّة بين الملل قبال الملّة الكافرة؟ فلا ينبغي إجرار أذيال هذه الأدلّة إلى غير مصابّها حتّى يضلّ القاصرون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 بمصالح</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إجماعاً محكيّاً</w:t>
      </w:r>
      <w:r>
        <w:rPr>
          <w:rStyle w:val="FootnoteAnchor"/>
          <w:rtl w:val="true"/>
        </w:rPr>
        <w:footnoteReference w:id="1338"/>
      </w:r>
      <w:r>
        <w:rPr>
          <w:rFonts w:ascii="Amiri" w:hAnsi="Amiri" w:eastAsia="Amiri" w:cs="Amiri"/>
          <w:color w:val="111111"/>
          <w:sz w:val="28"/>
          <w:sz w:val="28"/>
          <w:szCs w:val="28"/>
          <w:rtl w:val="true"/>
          <w:lang w:bidi="ar-SA"/>
        </w:rPr>
        <w:t>، و هو قضيّة حكم العقل و النقل</w:t>
      </w:r>
      <w:r>
        <w:rPr>
          <w:rStyle w:val="FootnoteAnchor"/>
          <w:rtl w:val="true"/>
        </w:rPr>
        <w:footnoteReference w:id="1339"/>
      </w:r>
      <w:r>
        <w:rPr>
          <w:rFonts w:ascii="Amiri" w:hAnsi="Amiri" w:eastAsia="Amiri" w:cs="Amiri"/>
          <w:color w:val="111111"/>
          <w:sz w:val="28"/>
          <w:sz w:val="28"/>
          <w:szCs w:val="28"/>
          <w:rtl w:val="true"/>
          <w:lang w:bidi="ar-SA"/>
        </w:rPr>
        <w:t>، فإنّ ملاك الدخول يتكاسر بالمصالح العالية الإسلاميّة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المصلحة إلى حدّ الوجوب، كما لو تمكّن من حفظ الدماء المحترمة و الأعراض،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الندب، كما لو تمكّن من دفع المنكرات غير البالغة إلى حدّ</w:t>
      </w:r>
    </w:p>
    <w:p>
      <w:pPr>
        <w:pStyle w:val="BookText"/>
        <w:rPr/>
      </w:pPr>
      <w:r>
        <w:rPr>
          <w:rFonts w:ascii="Amiri" w:hAnsi="Amiri" w:eastAsia="Amiri" w:cs="Amiri"/>
          <w:color w:val="111111"/>
          <w:sz w:val="28"/>
          <w:sz w:val="28"/>
          <w:szCs w:val="28"/>
          <w:rtl w:val="true"/>
          <w:lang w:bidi="ar-SA"/>
        </w:rPr>
        <w:t>القاهريّة على ملاك مفسدة الدخول و لكنّها غالبة،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الكراهة، كما لو انكسر ملاك الحرمة بمصلحة مترتّبة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صحيحة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مسلم، و هو في ديوان هؤلاء، و هو يحبّ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يخرج مع هؤلاء في بعثهم فيُقتل تحت رايتهم،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يبعثه اللَّه على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مسكين خدمهم رجاء أن يصيب معهم شيئاً فيغنيه اللَّه به، فمات في بعثهم،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بمنزلة الأجير، إنّه إنّما يعطي اللَّه العباد على نيّاتهم</w:t>
      </w:r>
      <w:r>
        <w:rPr>
          <w:rFonts w:eastAsia="Amiri" w:cs="Amiri" w:ascii="Amiri" w:hAnsi="Amiri"/>
          <w:color w:val="111111"/>
          <w:sz w:val="28"/>
          <w:szCs w:val="28"/>
          <w:rtl w:val="true"/>
          <w:lang w:bidi="ar-SA"/>
        </w:rPr>
        <w:t>»</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خبير بقصور هذه الوجوه عن تجويز ما هو الممنوع صغرىً و كبرى، فإن الإجماع المحكي و المحصّل منه في أمثال المسألة لا يفي بشي‌ء؛ لكثرة الأدلّة و اطّلاع العقل على 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انكسار المفاسد بالمصالح لا يورث تجويز المحرّم، كما لا ينكسر ملاك المحرّم بانطباق عناوين كثيرة من المستحبّات</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حفظ الملاك الأهمّ في فرض لا يورث انقلاب الحكم المحرّم واجباً أو مستحبّاً أو مرجوحاً، على ما تقرّر منّا في الأُصول</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العامل معذور في ارتكاب المهمّ، مع أنّ الاطّلاع على هذه التكاسرات في الملاكات و المصالح غير ممكن بنحو الكلّي، و لا سيّما إذا كان اللازم القطع بترتّب المصالح على دخوله فيها و مع كونه مطابقاً للواقع، و إلّا فلا يعد معذوراً؛ لأنّ المقرّر جواز عدم كون العلم من الأعذار، و يمكن سلب اعتباره عنه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فالدليل الوحيد هو النصوص، و الذي يظهر لي بعد التعمّق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 هذه الطائفة من الأخبار لترخيص الدخول، فإنّ شدّة المنع في المستثنى منه توجب الشبهة في هذه المآثير، مع ضعف سند كثير منها و قصور دلالة الأخيرين، فإنّ خبر الحلبيّ مشعر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بعض المحاذير في العصر، و أقدم على الجواب بما هو المجمل، فإنّ من المحتمل قويّاً إرادته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يبعثه اللَّه على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ينافي ممنوعيّة فعله شرعاً، و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بمنزلة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قصّة صفوان الجمال</w:t>
      </w:r>
      <w:r>
        <w:rPr>
          <w:rStyle w:val="FootnoteAnchor"/>
          <w:rtl w:val="true"/>
        </w:rPr>
        <w:footnoteReference w:id="1342"/>
      </w:r>
      <w:r>
        <w:rPr>
          <w:rFonts w:ascii="Amiri" w:hAnsi="Amiri" w:eastAsia="Amiri" w:cs="Amiri"/>
          <w:color w:val="111111"/>
          <w:sz w:val="28"/>
          <w:sz w:val="28"/>
          <w:szCs w:val="28"/>
          <w:rtl w:val="true"/>
          <w:lang w:bidi="ar-SA"/>
        </w:rPr>
        <w:t>، الذي هو أجير هارون، المحبّ لبقائه حتّى يرد أجرته، و لو كان المقصود منها تجويز الدخول لمجرّد القصد إلى توجيه الخير إلى المسلم لا يبقى أحد إلّا و هو مسودّ السمعة في ديوانهم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لعمري إنّه كيف يمكن الركون إلى مثل رواية زياد بن أبي سلمة،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زياد، لأن أسقط من حالق فأتقطّع قطعة أحبّ إليّ من أن أتولّى لأحدٍ منهم عملًا، أو أطأ بساط رجل منهم، ألّا 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لتفريج كربة عن مؤمن، أو فكّ أسره، أو قضاء دينه </w:t>
      </w:r>
      <w:r>
        <w:rPr>
          <w:rFonts w:eastAsia="Amiri" w:cs="Amiri" w:ascii="Amiri" w:hAnsi="Amiri"/>
          <w:color w:val="111111"/>
          <w:sz w:val="28"/>
          <w:szCs w:val="28"/>
          <w:rtl w:val="true"/>
          <w:lang w:bidi="ar-SA"/>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مع ندائها بمثل ذلك في جانب يرخّص هذا الأمر العظيم و المحرّم الكبير في نهاية السهولة في قبال الأمر اليسير جدّاً، و لا سيّما أنّ الظاهر منها الرخصة في قبال القصد إليه و إن لم يتحقّق أو يكون مظنون العدم تحقّقه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إلى مثل ما رواه الكشّيّ في ترجمة محمّد بن إسماعيل بن بزيع على نقل الشيخ عنه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تعالى في أبواب الظلمة من نوّر اللَّه به البرهان، و مكّن له في البلاد ليدفع به عن أوليائه، يصلح اللَّه بهم أُمور المسلمين، إليهم ملجأ المؤمنين من الضرّ، و إليهم مرجع ذوي الحاجة من شيعتنا، بهم يؤمّن اللَّه روعة المؤمنين في دار الظلمة، أُولئك المؤمنون حقّا، أُولئك أُمناء اللَّه في أرضه، أُولئك نور اللَّه في رعيّته يوم القيامة،</w:t>
      </w:r>
    </w:p>
    <w:p>
      <w:pPr>
        <w:pStyle w:val="BookText"/>
        <w:rPr/>
      </w:pPr>
      <w:r>
        <w:rPr>
          <w:rFonts w:ascii="Amiri" w:hAnsi="Amiri" w:eastAsia="Amiri" w:cs="Amiri"/>
          <w:color w:val="111111"/>
          <w:sz w:val="28"/>
          <w:sz w:val="28"/>
          <w:szCs w:val="28"/>
          <w:rtl w:val="true"/>
          <w:lang w:bidi="ar-SA"/>
        </w:rPr>
        <w:t>و يزهر نورهم لأهل السماوات كما يزهر نور الكواكب الدرّيّة لأهل الأرض، أُولئك نورهم يوم القيامة تضي‌ء منه القيامة، خلقوا و اللَّه للجنّة، و خلقت الجنّة لهم فهنيئاً لهم، ما على أحدكم أن لو شاء لنال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معهم فيسرّنا بإدخال السرور على المؤمنين من شيعتنا، فكن منهم يا محمّد</w:t>
      </w:r>
      <w:r>
        <w:rPr>
          <w:rFonts w:eastAsia="Amiri" w:cs="Amiri" w:ascii="Amiri" w:hAnsi="Amiri"/>
          <w:color w:val="111111"/>
          <w:sz w:val="28"/>
          <w:szCs w:val="28"/>
          <w:rtl w:val="true"/>
          <w:lang w:bidi="ar-SA"/>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كيف يحصل لأحد احتمال صدق مثل هذه المآثير قبال ما ورد عن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يحتمل إرادة الجماعة الغائبين عن أعينهم، الحافظين لمنافع المؤمنين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فالخروج عن المآثير المانعة عن الدخول</w:t>
      </w:r>
      <w:r>
        <w:rPr>
          <w:rStyle w:val="FootnoteAnchor"/>
          <w:rtl w:val="true"/>
        </w:rPr>
        <w:footnoteReference w:id="1345"/>
      </w:r>
      <w:r>
        <w:rPr>
          <w:rFonts w:ascii="Amiri" w:hAnsi="Amiri" w:eastAsia="Amiri" w:cs="Amiri"/>
          <w:color w:val="111111"/>
          <w:sz w:val="28"/>
          <w:sz w:val="28"/>
          <w:szCs w:val="28"/>
          <w:rtl w:val="true"/>
          <w:lang w:bidi="ar-SA"/>
        </w:rPr>
        <w:t>بمثل هذه و أشباهها، في غاية الإشكال و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ممّا تقرّر يظهر الوجه في سائر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 و لو كان وجه الرخصة انكسار الملاك في المستثنى منه، لما كان وجه لاختصاص الترخيص بالقسم الأوّل، كما لا يخفى</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سلكه في المقام الشيخ الأعظم من تحرير المسألة حول ما</w:t>
      </w:r>
    </w:p>
    <w:p>
      <w:pPr>
        <w:pStyle w:val="BookText"/>
        <w:rPr/>
      </w:pPr>
      <w:r>
        <w:rPr>
          <w:rFonts w:ascii="Amiri" w:hAnsi="Amiri" w:eastAsia="Amiri" w:cs="Amiri"/>
          <w:color w:val="111111"/>
          <w:sz w:val="28"/>
          <w:sz w:val="28"/>
          <w:szCs w:val="28"/>
          <w:rtl w:val="true"/>
          <w:lang w:bidi="ar-SA"/>
        </w:rPr>
        <w:t xml:space="preserve">بل ربّما بلغ الدخول في بعض المناصب و الأشغال لبعض الأشخاص أحياناً إلى حدّ الوجوب، كما إذا تمكّن شخص بسببه على دفع مفسدة دينيّة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المنع عن بعض المنكرات الشرعيّة مثلًا، و مع ذلك فيها خطرات كثيرة إلّا لمن عصمه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يدركه العقل من المصالح و المفاسد</w:t>
      </w:r>
      <w:r>
        <w:rPr>
          <w:rStyle w:val="FootnoteAnchor"/>
          <w:rtl w:val="true"/>
        </w:rPr>
        <w:footnoteReference w:id="1346"/>
      </w:r>
      <w:r>
        <w:rPr>
          <w:rFonts w:ascii="Amiri" w:hAnsi="Amiri" w:eastAsia="Amiri" w:cs="Amiri"/>
          <w:color w:val="111111"/>
          <w:sz w:val="28"/>
          <w:sz w:val="28"/>
          <w:szCs w:val="28"/>
          <w:rtl w:val="true"/>
          <w:lang w:bidi="ar-SA"/>
        </w:rPr>
        <w:t>، لا يرجع إلى محصّل، و هكذا ما أفاده غيره حول الدليل اللفظي</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العجب أنّهم كانوا يرون الخطرات في هذه الأشغال و المناصب، و يؤيّدهم المآثير الناطقة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 السماء أيسر عليك من ذلك</w:t>
      </w:r>
      <w:r>
        <w:rPr>
          <w:rFonts w:eastAsia="Amiri" w:cs="Amiri" w:ascii="Amiri" w:hAnsi="Amiri"/>
          <w:color w:val="111111"/>
          <w:sz w:val="28"/>
          <w:szCs w:val="28"/>
          <w:rtl w:val="true"/>
          <w:lang w:bidi="ar-SA"/>
        </w:rPr>
        <w:t>»</w:t>
      </w:r>
      <w:r>
        <w:rPr>
          <w:rStyle w:val="FootnoteAnchor"/>
          <w:rtl w:val="true"/>
        </w:rPr>
        <w:footnoteReference w:id="1348"/>
      </w:r>
      <w:r>
        <w:rPr>
          <w:rFonts w:ascii="Amiri" w:hAnsi="Amiri" w:eastAsia="Amiri" w:cs="Amiri"/>
          <w:color w:val="111111"/>
          <w:sz w:val="28"/>
          <w:sz w:val="28"/>
          <w:szCs w:val="28"/>
          <w:rtl w:val="true"/>
          <w:lang w:bidi="ar-SA"/>
        </w:rPr>
        <w:t>أي العدل و مع ذلك كانوا يرخّصونه في حذاء احتمال الأمر اليسير، أو الظنّ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مفسدة دينيّة</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مقتضى ما تحرّر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 في كتابه الكبير</w:t>
      </w:r>
      <w:r>
        <w:rPr>
          <w:rStyle w:val="FootnoteAnchor"/>
          <w:rtl w:val="true"/>
        </w:rPr>
        <w:footnoteReference w:id="1349"/>
      </w:r>
      <w:r>
        <w:rPr>
          <w:rFonts w:ascii="Amiri" w:hAnsi="Amiri" w:eastAsia="Amiri" w:cs="Amiri"/>
          <w:color w:val="111111"/>
          <w:sz w:val="28"/>
          <w:sz w:val="28"/>
          <w:szCs w:val="28"/>
          <w:rtl w:val="true"/>
          <w:lang w:bidi="ar-SA"/>
        </w:rPr>
        <w:t>انحصار الدليل في المستثنى بالمآثير، و لو تَمَّ ذلك فيشكل إلحاق مصالح الدين بمصالح المسلمين إلّا بدعوى الأولويّة القطعيّة؛ ضرورة أنّ المسلم بما هو مسلم</w:t>
      </w:r>
    </w:p>
    <w:p>
      <w:pPr>
        <w:pStyle w:val="BookText"/>
        <w:rPr/>
      </w:pPr>
      <w:r>
        <w:rPr>
          <w:rFonts w:ascii="Amiri" w:hAnsi="Amiri" w:eastAsia="Amiri" w:cs="Amiri"/>
          <w:color w:val="111111"/>
          <w:sz w:val="28"/>
          <w:sz w:val="28"/>
          <w:szCs w:val="28"/>
          <w:rtl w:val="true"/>
          <w:lang w:bidi="ar-SA"/>
        </w:rPr>
        <w:t>محترم، فكيف لا يراعي الإسلام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إطلاقات أدلّة الأمر بالمعروف و النهي عن المنكر</w:t>
      </w:r>
      <w:r>
        <w:rPr>
          <w:rStyle w:val="FootnoteAnchor"/>
          <w:rtl w:val="true"/>
        </w:rPr>
        <w:footnoteReference w:id="1350"/>
      </w:r>
      <w:r>
        <w:rPr>
          <w:rFonts w:ascii="Amiri" w:hAnsi="Amiri" w:eastAsia="Amiri" w:cs="Amiri"/>
          <w:color w:val="111111"/>
          <w:sz w:val="28"/>
          <w:sz w:val="28"/>
          <w:szCs w:val="28"/>
          <w:rtl w:val="true"/>
          <w:lang w:bidi="ar-SA"/>
        </w:rPr>
        <w:t>يرخّص في هذه المواقف، و كون النسبة عموماً من وجه بينها و بين نصوص المسألة يؤيّد الرخصة للرجوع إلى البراءة أو قاعدة التزاحم مع أنّ دليل العقل لو لم يكن تامّاً في كثير من المواضيع لعدم الاطّلاع على الملاكات، و لكنّه هنا يتمّ إذا كان الداخل عالماً بحصول المعروف و دفع المنكر و رفعه</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المسألة من قبيل مسألة تزاحم المحرّمات و المستحبّات، فكما تكون أدلّتها قاصرة عن شمول موردها كذلك هنا</w:t>
      </w:r>
      <w:r>
        <w:rPr>
          <w:rFonts w:eastAsia="Amiri" w:cs="Amiri" w:ascii="Amiri" w:hAnsi="Amiri"/>
          <w:color w:val="111111"/>
          <w:sz w:val="28"/>
          <w:szCs w:val="28"/>
          <w:rtl w:val="true"/>
          <w:lang w:bidi="ar-SA"/>
        </w:rPr>
        <w:t>.</w:t>
      </w:r>
      <w:bookmarkStart w:id="288" w:name="pg12366_123354"/>
    </w:p>
    <w:p>
      <w:pPr>
        <w:pStyle w:val="Heading4"/>
        <w:numPr>
          <w:ilvl w:val="3"/>
          <w:numId w:val="1"/>
        </w:numPr>
        <w:rPr/>
      </w:pPr>
      <w:bookmarkStart w:id="289" w:name="__RefHeading___Toc8896123_417432637"/>
      <w:bookmarkStart w:id="290" w:name="_Toc105"/>
      <w:bookmarkEnd w:id="288"/>
      <w:bookmarkEnd w:id="289"/>
      <w:r>
        <w:rPr>
          <w:rtl w:val="true"/>
        </w:rPr>
        <w:t>[</w:t>
      </w:r>
      <w:r>
        <w:rPr>
          <w:rtl w:val="true"/>
        </w:rPr>
        <w:t xml:space="preserve">مسألة </w:t>
      </w:r>
      <w:r>
        <w:rPr/>
        <w:t>25</w:t>
      </w:r>
      <w:r>
        <w:rPr>
          <w:rtl w:val="true"/>
        </w:rPr>
        <w:t xml:space="preserve">: </w:t>
      </w:r>
      <w:r>
        <w:rPr>
          <w:rtl w:val="true"/>
        </w:rPr>
        <w:t>ما تأخذه الحكومة من الضريبة على الأراضي</w:t>
      </w:r>
      <w:r>
        <w:rPr>
          <w:rtl w:val="true"/>
        </w:rPr>
        <w:t>]</w:t>
      </w:r>
      <w:bookmarkEnd w:id="29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تأخذه الحكومة من الضريبة على الأراضي مع شرائطها جنساً أو نقداً، و على النخيل و الأشجار، يعامل 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ما يأخذه السلطان العادل، فيبرأ ذمّة الدافع عمّا كان عليه من الخراج الذي هو اجرة الأرض الخراجيّة، و يجوز لكلّ أحد شرائه، و أخذه مجاناً و بالعوض، و التصرّف فيه بأنواع التصرّف، بل لو لم تأخذه الحكومة و حوّل شخصاً على من عليه الخراج بمقدار فدفعه إلى المحال، يحلّ له، 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يعامل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 الإجماع المستفيض</w:t>
      </w:r>
      <w:r>
        <w:rPr>
          <w:rStyle w:val="FootnoteAnchor"/>
          <w:rtl w:val="true"/>
        </w:rPr>
        <w:footnoteReference w:id="1351"/>
      </w:r>
      <w:r>
        <w:rPr>
          <w:rFonts w:ascii="Amiri" w:hAnsi="Amiri" w:eastAsia="Amiri" w:cs="Amiri"/>
          <w:color w:val="111111"/>
          <w:sz w:val="28"/>
          <w:sz w:val="28"/>
          <w:szCs w:val="28"/>
          <w:rtl w:val="true"/>
          <w:lang w:bidi="ar-SA"/>
        </w:rPr>
        <w:t>ضرورة عدم استقامة تعيّش الإنسان بدون نماء الأراضي و الغرس فيها، و الفرض أنّ الجميع بأيديهم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يشبه ذلك،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لعلّ المسألة من الضروريّات، لا يحتاج في إثباتها إلى الروايات، و لعلّ وقوع البحث بين الكركيّ و القطيفيّ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رحمهما اللَّه تعالى دعا إلى التطويل في المسألة، و كم من مسألة ضروريّة صارت نظرية لسبق الشبهة</w:t>
      </w:r>
      <w:r>
        <w:rPr>
          <w:rFonts w:eastAsia="Amiri" w:cs="Amiri" w:ascii="Amiri" w:hAnsi="Amiri"/>
          <w:color w:val="111111"/>
          <w:sz w:val="28"/>
          <w:szCs w:val="28"/>
          <w:rtl w:val="true"/>
          <w:lang w:bidi="ar-SA"/>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الأراضي في زمن السلطان الجائر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للمسلمين، و إمّا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كان منها مفتوحة بأيديهم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لهم، و ما كان غير ذلك فهي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سائر الشرائط المقرّرة، و على التقديرين تصدّي</w:t>
      </w:r>
    </w:p>
    <w:p>
      <w:pPr>
        <w:pStyle w:val="BookText"/>
        <w:rPr/>
      </w:pPr>
      <w:r>
        <w:rPr>
          <w:rFonts w:ascii="Amiri" w:hAnsi="Amiri" w:eastAsia="Amiri" w:cs="Amiri"/>
          <w:color w:val="111111"/>
          <w:sz w:val="28"/>
          <w:sz w:val="28"/>
          <w:szCs w:val="28"/>
          <w:rtl w:val="true"/>
          <w:lang w:bidi="ar-SA"/>
        </w:rPr>
        <w:t>السلطان الجائر و عمّاله لها على خلاف الموازين الشرعيّة، لأنّها بيد الإمام العادل، أو المنصوب من قبله خاصّاً أو عامّاً، فتقبّلها منهم أوّلًا و تقبيلها للغير ثانياً، غير جائز على حسب الأصل الأوّلي، و التصرّف في منافعها و ثمارها حسيّا و اعتباريّاً، أيضاً ممنوع بمقتضى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أنّها لو كانت لهم فتصرّفهم فيها جائز غير تامّ؛ لأنّه على تقدير كونها لهم، على نحو كون الزكاة للفقراء، بمعنى أنّه كما يجوز للفقير أخذ الزكاة تمامها و إن كان الفقير الآخر موجوداً، فيجوز له الاستيفاء من الأرض أكثر من نصيبه، و لكنّه أيضاً غير جائز لاحتياجه إلى الإذن، فيكون تقبّله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فإن استكشفنا إمضاء الشرع لتصدّيهم فيكون الأموال عندهم كالأموال عند السلطان العادل، فيجوز جميع الاستمتاعات منها بلا فرق بين أنحائها، و ما اشتهر من ممنوعيّة مثل الإحالة لعدم كونها مقبوضة</w:t>
      </w:r>
      <w:r>
        <w:rPr>
          <w:rStyle w:val="FootnoteAnchor"/>
          <w:rtl w:val="true"/>
        </w:rPr>
        <w:footnoteReference w:id="1353"/>
      </w:r>
      <w:r>
        <w:rPr>
          <w:rFonts w:ascii="Amiri" w:hAnsi="Amiri" w:eastAsia="Amiri" w:cs="Amiri"/>
          <w:color w:val="111111"/>
          <w:sz w:val="28"/>
          <w:sz w:val="28"/>
          <w:szCs w:val="28"/>
          <w:rtl w:val="true"/>
          <w:lang w:bidi="ar-SA"/>
        </w:rPr>
        <w:t>، غير راجع إلى محصّل</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عندئذٍ لا فرق بين أنحاء الفرق الإسلاميّة، و المحترمين في الدولة الإسلاميّة، و يجب حينئذٍ مراعاة شؤون العامل المتصدّي، و لا يجوز الاستراق، و لا التخلّف عمّا تعاهدوا عليه من الثلث و الربع الخمس باسم المقاسمة، و لا من الخراج المعيّن عليه، كما أنّ العامل إذا تعدّى و أخذ</w:t>
      </w:r>
    </w:p>
    <w:p>
      <w:pPr>
        <w:pStyle w:val="BookText"/>
        <w:rPr/>
      </w:pPr>
      <w:r>
        <w:rPr>
          <w:rFonts w:ascii="Amiri" w:hAnsi="Amiri" w:eastAsia="Amiri" w:cs="Amiri"/>
          <w:color w:val="111111"/>
          <w:sz w:val="28"/>
          <w:sz w:val="28"/>
          <w:szCs w:val="28"/>
          <w:rtl w:val="true"/>
          <w:lang w:bidi="ar-SA"/>
        </w:rPr>
        <w:t>الزائد على السهم المقرّر، فإنّه لا يجوز التصرّف فيما أخذه ظلماً و عدواناً، فهؤلاء أهل الجور كأهل العدالة بعد إمضاء صاحب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قضيّة صحيحة أبي عبيدة،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الحنطة و الشعير يجيئنا القاسم، فيقسم لنا حظّنا، و يأخذ حظّه، فيعزله بكيل، فما ترى في شراء ذلك الطعام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قبضه بكيل و أنتم حضور ذلك فلا بأس بشرائه منه من غير كيل</w:t>
      </w:r>
      <w:r>
        <w:rPr>
          <w:rFonts w:eastAsia="Amiri" w:cs="Amiri" w:ascii="Amiri" w:hAnsi="Amiri"/>
          <w:color w:val="111111"/>
          <w:sz w:val="28"/>
          <w:szCs w:val="28"/>
          <w:rtl w:val="true"/>
          <w:lang w:bidi="ar-SA"/>
        </w:rPr>
        <w:t>»</w:t>
      </w:r>
      <w:r>
        <w:rPr>
          <w:rStyle w:val="FootnoteAnchor"/>
          <w:rtl w:val="true"/>
        </w:rPr>
        <w:footnoteReference w:id="1354"/>
      </w:r>
      <w:r>
        <w:rPr>
          <w:rFonts w:ascii="Amiri" w:hAnsi="Amiri" w:eastAsia="Amiri" w:cs="Amiri"/>
          <w:color w:val="111111"/>
          <w:sz w:val="28"/>
          <w:sz w:val="28"/>
          <w:szCs w:val="28"/>
          <w:rtl w:val="true"/>
          <w:lang w:bidi="ar-SA"/>
        </w:rPr>
        <w:t>هو أنّ الأخذ من العامل بغير كيل اتّكالًا على كيله بعد حضورهم جائز، و الأخذ منه إذا يأخذ ظلماً و جوراً من غير مراعاة الشرائط المقرّرة ممنوع،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احتملنا أنّ الذي وقع عليه الإمضاء ليس إلّا الانتفاعات من تلك الأموال، و للحذر عن وقوع المسلمين في الحرج و المشقّة، و خصوص الشيعة في التعب و الإعضال، أجازوا ذلك، فحينئذٍ لا يلزم مراعاة النظم، و يجوز الاستنقاذ و الفرار من إعطاء الثمن فيما إذا اشترى و لو ببذل شي‌ء إلى العامل، مثلًا يأخذ منه المقاسمة، و غير ذلك، ممّا تعارف في هذه الأعصار، و يعدونه الرشوة فراراً عن العشور و الضريبة الموظّفة من قبل الدول</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قضيّة الحرج أو لزوم الاختلال و الهرج، جواز التصرّف،</w:t>
      </w:r>
    </w:p>
    <w:p>
      <w:pPr>
        <w:pStyle w:val="BookText"/>
        <w:rPr/>
      </w:pPr>
      <w:r>
        <w:rPr>
          <w:rFonts w:ascii="Amiri" w:hAnsi="Amiri" w:eastAsia="Amiri" w:cs="Amiri"/>
          <w:color w:val="111111"/>
          <w:sz w:val="28"/>
          <w:sz w:val="28"/>
          <w:szCs w:val="28"/>
          <w:rtl w:val="true"/>
          <w:lang w:bidi="ar-SA"/>
        </w:rPr>
        <w:t>و صحّة الآثار المترتّبة عليها، من براءة الذمّة عن الخراج و المقاسمة و من عدّها من المئونة في الزكاة؛ فهو مقصور و لا يمكن توزينه، و يستلزم ذلك المشقّة و الإعضال، بل و الاختلال، فإذن ينحصر الدليل بالسيرة، و الأدلّة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قضيّة خارجيّة تقصر عن إفادة وجه الجواز، و لعلّ الوجه أُمور مختلفة في الموضوعات المتشتّتة، و للحاكم الإلهي ترخيص المسلمين في التصرّف في أموال محترمة، في مواقف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من المحتمل قويّاً كون جميع ما في أيديهم الباطلة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لكونها من الأنفال، فلا يستفاد منها إمضاء الضريبة على الأراضي الخراجيّة التي هي للمسلمين، فما يأخذ السلطان الجائر لو ينحصر بالمحرّم أو اختلط بالمحرّم، و وجه الاختلاط كما يمكن أن يكون لحلّية الخراج و المقاسمة، أو لحلّية الأنفال، أو لحلّية الأموال الأُخر الداخلة في أموالهم فرضاً، كما في عصرنا؛ فهو غير ممنوع التصرّف و التقلّب، لتلك السيرة المشاهدة بين الملل و العلماء، بل و المعروف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أنّها تكفي و تبرئ الذمّة فللإجماعات المحصّلة و المنقولة</w:t>
      </w:r>
      <w:r>
        <w:rPr>
          <w:rStyle w:val="FootnoteAnchor"/>
          <w:rtl w:val="true"/>
        </w:rPr>
        <w:footnoteReference w:id="1355"/>
      </w:r>
      <w:r>
        <w:rPr>
          <w:rFonts w:ascii="Amiri" w:hAnsi="Amiri" w:eastAsia="Amiri" w:cs="Amiri"/>
          <w:color w:val="111111"/>
          <w:sz w:val="28"/>
          <w:sz w:val="28"/>
          <w:szCs w:val="28"/>
          <w:rtl w:val="true"/>
          <w:lang w:bidi="ar-SA"/>
        </w:rPr>
        <w:t>، و لعدم معهوديّة خلافه، مع أنّه لو كان لبان؛ لابتلاء المتديّنين من أوّل الأمر بتلك الأراضي</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الأدلّة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مختلفة و متشتّتة في الكتب، و المحصّل لنا</w:t>
      </w:r>
    </w:p>
    <w:p>
      <w:pPr>
        <w:pStyle w:val="BookText"/>
        <w:rPr/>
      </w:pPr>
      <w:r>
        <w:rPr>
          <w:rFonts w:ascii="Amiri" w:hAnsi="Amiri" w:eastAsia="Amiri" w:cs="Amiri"/>
          <w:color w:val="111111"/>
          <w:sz w:val="28"/>
          <w:sz w:val="28"/>
          <w:szCs w:val="28"/>
          <w:rtl w:val="true"/>
          <w:lang w:bidi="ar-SA"/>
        </w:rPr>
        <w:t>منها ليس إلّا رفع المنع عن تلك الأموال، و لا دلالة لها على إمضاء التصدّي حتّى يترتّب عليه الحلّيّة حتّى لنفس العامل فيما يأخذه عوضاً عن عمله، أو فيما يتصرّف فيه عند ما يدخل ضيفاً عند أحد من المسلمين، فإنّ إمضاء التصدّي خلاف ما عليه الروايات الكثيرة الواردة في الذبّ عنهم</w:t>
      </w:r>
      <w:r>
        <w:rPr>
          <w:rStyle w:val="FootnoteAnchor"/>
          <w:rtl w:val="true"/>
        </w:rPr>
        <w:footnoteReference w:id="1356"/>
      </w:r>
      <w:r>
        <w:rPr>
          <w:rFonts w:ascii="Amiri" w:hAnsi="Amiri" w:eastAsia="Amiri" w:cs="Amiri"/>
          <w:color w:val="111111"/>
          <w:sz w:val="28"/>
          <w:sz w:val="28"/>
          <w:szCs w:val="28"/>
          <w:rtl w:val="true"/>
          <w:lang w:bidi="ar-SA"/>
        </w:rPr>
        <w:t>، و النهي عن التدخّل في أُمورهم</w:t>
      </w:r>
      <w:r>
        <w:rPr>
          <w:rStyle w:val="FootnoteAnchor"/>
          <w:rtl w:val="true"/>
        </w:rPr>
        <w:footnoteReference w:id="1357"/>
      </w:r>
      <w:r>
        <w:rPr>
          <w:rFonts w:ascii="Amiri" w:hAnsi="Amiri" w:eastAsia="Amiri" w:cs="Amiri"/>
          <w:color w:val="111111"/>
          <w:sz w:val="28"/>
          <w:sz w:val="28"/>
          <w:szCs w:val="28"/>
          <w:rtl w:val="true"/>
          <w:lang w:bidi="ar-SA"/>
        </w:rPr>
        <w:t>، و المشي معهم</w:t>
      </w:r>
      <w:r>
        <w:rPr>
          <w:rStyle w:val="FootnoteAnchor"/>
          <w:rtl w:val="true"/>
        </w:rPr>
        <w:footnoteReference w:id="1358"/>
      </w:r>
      <w:r>
        <w:rPr>
          <w:rFonts w:ascii="Amiri" w:hAnsi="Amiri" w:eastAsia="Amiri" w:cs="Amiri"/>
          <w:color w:val="111111"/>
          <w:sz w:val="28"/>
          <w:sz w:val="28"/>
          <w:szCs w:val="28"/>
          <w:rtl w:val="true"/>
          <w:lang w:bidi="ar-SA"/>
        </w:rPr>
        <w:t>، و المعاونة لهم</w:t>
      </w:r>
      <w:r>
        <w:rPr>
          <w:rStyle w:val="FootnoteAnchor"/>
          <w:rtl w:val="true"/>
        </w:rPr>
        <w:footnoteReference w:id="1359"/>
      </w:r>
      <w:r>
        <w:rPr>
          <w:rFonts w:ascii="Amiri" w:hAnsi="Amiri" w:eastAsia="Amiri" w:cs="Amiri"/>
          <w:color w:val="111111"/>
          <w:sz w:val="28"/>
          <w:sz w:val="28"/>
          <w:szCs w:val="28"/>
          <w:rtl w:val="true"/>
          <w:lang w:bidi="ar-SA"/>
        </w:rPr>
        <w:t>، و التسويد في ديوانهم</w:t>
      </w:r>
      <w:r>
        <w:rPr>
          <w:rStyle w:val="FootnoteAnchor"/>
          <w:rtl w:val="true"/>
        </w:rPr>
        <w:footnoteReference w:id="1360"/>
      </w:r>
      <w:r>
        <w:rPr>
          <w:rFonts w:ascii="Amiri" w:hAnsi="Amiri" w:eastAsia="Amiri" w:cs="Amiri"/>
          <w:color w:val="111111"/>
          <w:sz w:val="28"/>
          <w:sz w:val="28"/>
          <w:szCs w:val="28"/>
          <w:rtl w:val="true"/>
          <w:lang w:bidi="ar-SA"/>
        </w:rPr>
        <w:t xml:space="preserve">و هكذا، فكلّ ما كان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بالنسبة إلى الأُمّة راحة و ترخيص و إرشاد و تحليل و خلاص من المشقّة و الحرج، و بالنسبة إلى سلطانهم تضييق و تحديد و منع و عناد؛ لأنّ في تصدّيهم بقاء الأباطيل و سلطان الشيطان</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فالأمر بالاشتراء</w:t>
      </w:r>
      <w:r>
        <w:rPr>
          <w:rStyle w:val="FootnoteAnchor"/>
          <w:rtl w:val="true"/>
        </w:rPr>
        <w:footnoteReference w:id="1361"/>
      </w:r>
      <w:r>
        <w:rPr>
          <w:rFonts w:ascii="IRNazanin" w:hAnsi="IRNazanin" w:eastAsia="IRNazanin"/>
          <w:color w:val="111111"/>
          <w:sz w:val="28"/>
          <w:sz w:val="28"/>
          <w:szCs w:val="28"/>
          <w:rtl w:val="true"/>
          <w:lang w:bidi="fa-IR"/>
        </w:rPr>
        <w:t>، و ردّ سهم السلطان</w:t>
      </w:r>
      <w:r>
        <w:rPr>
          <w:rStyle w:val="FootnoteAnchor"/>
          <w:rtl w:val="true"/>
        </w:rPr>
        <w:footnoteReference w:id="1362"/>
      </w:r>
      <w:r>
        <w:rPr>
          <w:rFonts w:ascii="Amiri" w:hAnsi="Amiri" w:eastAsia="Amiri" w:cs="Amiri"/>
          <w:color w:val="111111"/>
          <w:sz w:val="28"/>
          <w:sz w:val="28"/>
          <w:szCs w:val="28"/>
          <w:rtl w:val="true"/>
          <w:lang w:bidi="ar-SA"/>
        </w:rPr>
        <w:t>، و أمثال ذلك لا يدلّ على أمر،</w:t>
      </w:r>
    </w:p>
    <w:p>
      <w:pPr>
        <w:pStyle w:val="BookText"/>
        <w:rPr/>
      </w:pPr>
      <w:r>
        <w:rPr>
          <w:rFonts w:ascii="Amiri" w:hAnsi="Amiri" w:eastAsia="Amiri" w:cs="Amiri"/>
          <w:color w:val="111111"/>
          <w:sz w:val="28"/>
          <w:sz w:val="28"/>
          <w:szCs w:val="28"/>
          <w:rtl w:val="true"/>
          <w:lang w:bidi="ar-SA"/>
        </w:rPr>
        <w:t>بعد احتمال كون كثير من الروايات الموافقة لمذاقهم محمولًا على التقيّة، و صادراً من الجهات السياسيّة، و منها التقيّة المداراتيّة حقناً لدمائهم، و صوناً لأعراضهم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فالفرار من إعطاء سهم السلطان مع الأمن من الوقوع في الهلكة، و خصوصاً مع القدرة على ردّه إلى السلطان العادل سرّاً، جائز، بل واجب و 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ضريس بن عبد الملك و أخوه من هبيرة أُرزاً بثلاثمائة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 انظر إلى خمس هذا المال فابعث به إليه و احتبس الباقي، فأبى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فأدّى المال، و قدم هؤلاء فذهب أمر بني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ذلك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مبادراً للجواب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له، هو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أدّاها، فعضّ على إصبعه</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يعلم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 بروز آثار ضعف الدولة السابقة كيف أدّى إليهم ما ليس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يستظهر منها أنّ المسألة مبنيّة على اختلاط الحرام بالحلال، و أنّه يجوز في هذه الصورة التصرّف، و الحرام هي الزكاة، و الحلال هي الضريبة حتّى يلزم مراعاة أحكام العلم الإجمالي، و مجرّد وجود بعض المآثير الظاهرة في ذلك لا يورث كون هذه المسألة على هذا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36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365"/>
      </w:r>
      <w:r>
        <w:rPr>
          <w:rFonts w:ascii="Amiri" w:hAnsi="Amiri" w:eastAsia="Amiri" w:cs="Amiri"/>
          <w:color w:val="111111"/>
          <w:sz w:val="28"/>
          <w:sz w:val="28"/>
          <w:szCs w:val="28"/>
          <w:rtl w:val="true"/>
          <w:lang w:bidi="ar-SA"/>
        </w:rPr>
        <w:t>الفحلين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عليهما، الظاهر في تحليل المحرّم، و عرفت أنّ الظاهر عدم ثبوت الإذن من قبل الأئمّة، و العادل من الأُمّة في الجهاد حتّى تكون الأراضي للمسلمين فيكون تصرّفهم فيها من التصرّف في أموالهم، و كان ذلك بحسب الحكم الوضعي حلالًا، و تصرّفاً غير غصبي، و إن يحرم ذلك لجهة أُخرى تكليفيّة محضة، مثل تصرّف الناذر في ماله إذا نذر ترك التصرّف لأمر 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Style w:val="FootnoteAnchor"/>
          <w:rtl w:val="true"/>
        </w:rPr>
        <w:footnoteReference w:id="1366"/>
      </w:r>
      <w:r>
        <w:rPr>
          <w:rFonts w:ascii="Amiri" w:hAnsi="Amiri" w:eastAsia="Amiri" w:cs="Amiri"/>
          <w:color w:val="111111"/>
          <w:sz w:val="28"/>
          <w:sz w:val="28"/>
          <w:szCs w:val="28"/>
          <w:rtl w:val="true"/>
          <w:lang w:bidi="ar-SA"/>
        </w:rPr>
        <w:t>غير تامّة سنداً، و غير قابلة للتصديق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رضاهم ببسط الإسلام لا يكفي ظاهراً؛ لكون تلك الأراضي المحياة في‌ء المسلمين، و لأجل ذلك لا بدّ من الاقتصار على القدر الخارج من الأصل، المحرّر بالدليل المعتبر</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مقتضى الأُصول العمليّة عند الشكّ في أنّ تلك الأراضي للمسلمين أو من الأنفال، كونها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ما لا يكون بخيل، و لا ركاب، و لا كذا و كذا فهو للإمام، و الاستصحاب النافي للقيد يورث شرعاً ذلك، فليتأمّل</w:t>
      </w:r>
    </w:p>
    <w:p>
      <w:pPr>
        <w:pStyle w:val="BookText"/>
        <w:rPr/>
      </w:pPr>
      <w:r>
        <w:rPr>
          <w:rFonts w:ascii="Amiri" w:hAnsi="Amiri" w:eastAsia="Amiri" w:cs="Amiri"/>
          <w:color w:val="111111"/>
          <w:sz w:val="28"/>
          <w:sz w:val="28"/>
          <w:szCs w:val="28"/>
          <w:rtl w:val="true"/>
          <w:lang w:bidi="ar-SA"/>
        </w:rPr>
        <w:t xml:space="preserve">و تبرأ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ذمّة المحال عليه عمّا عليه،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له، 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في بيت المال نصيباً</w:t>
      </w:r>
      <w:r>
        <w:rPr>
          <w:rFonts w:eastAsia="Amiri" w:cs="Amiri" w:ascii="Amiri" w:hAnsi="Amiri"/>
          <w:color w:val="111111"/>
          <w:sz w:val="28"/>
          <w:szCs w:val="28"/>
          <w:rtl w:val="true"/>
          <w:lang w:bidi="ar-SA"/>
        </w:rPr>
        <w:t>»</w:t>
      </w:r>
      <w:r>
        <w:rPr>
          <w:rStyle w:val="FootnoteAnchor"/>
          <w:rtl w:val="true"/>
        </w:rPr>
        <w:footnoteReference w:id="1367"/>
      </w:r>
      <w:r>
        <w:rPr>
          <w:rFonts w:ascii="Amiri" w:hAnsi="Amiri" w:eastAsia="Amiri" w:cs="Amiri"/>
          <w:color w:val="111111"/>
          <w:sz w:val="28"/>
          <w:sz w:val="28"/>
          <w:szCs w:val="28"/>
          <w:rtl w:val="true"/>
          <w:lang w:bidi="ar-SA"/>
        </w:rPr>
        <w:t xml:space="preserve">لا يدلّ على خلاف ذلك؛ لأنّ من المحتمل قويّاً كون الجملتين إنشائيّة أو إخباراً عن الإنشاء، و التحليل السابق، بل تجويز الأخذ من تلك الأموال من غير مراعاة النصيب المعيّن و أخذهم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كثيراً، يشهد على أنّ الأموال المأخوذة من ثمرات أملاكهم، فلاحظ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عرفت، و ما يظهر من جماعة من أنّ الحلّيّة منوطة بالأخذ و القبض</w:t>
      </w:r>
      <w:r>
        <w:rPr>
          <w:rStyle w:val="FootnoteAnchor"/>
          <w:rtl w:val="true"/>
        </w:rPr>
        <w:footnoteReference w:id="1368"/>
      </w:r>
      <w:r>
        <w:rPr>
          <w:rFonts w:ascii="Amiri" w:hAnsi="Amiri" w:eastAsia="Amiri" w:cs="Amiri"/>
          <w:color w:val="111111"/>
          <w:sz w:val="28"/>
          <w:sz w:val="28"/>
          <w:szCs w:val="28"/>
          <w:rtl w:val="true"/>
          <w:lang w:bidi="ar-SA"/>
        </w:rPr>
        <w:t>، لا يرجع إلى محصّل</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ملازمة بين الحلّيّة و الإبراء، إلّا أنّ سقوط الذمّة إجماعي، مع أنّه كان مورد الابتلاء، فلو لم يترتّب عليه تلك الآثار الواضحة لكان واضحاً عند الأصحاب، و معلوماً عند المتأخّرين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الأحوط خصوصاً في مثل هذه الأزمنة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من ينتفع بهذه الأراضي، و يتصرّف فيها في أمر خراجها، و كذلك من يصل إليه من هذه الأموال شي‌ء، إلى حاكم الشرع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في هذه المسألة كان من جهات، بيّن أكثرها، لأنّه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عن أنّ تقبّل الأرض يندرج تحت أحد العناوين المتعارفة من الصلح و الإجارة، أو يختصّ بعنوان مستقلّ آخر؟ الظاهر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يكون من جهة شبيه الضمان الاجتماعي و عقد التأمين، فإنّ الخراج يؤخذ على الأرض سواء تمكّن العامل من الاستيفاء من الأرض أم لا، و سواء حصلت الشرائط في صحّة الإجارة فيها أم لم تحصل،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تلاحظ هذه الشرائط دون المدّة لكان الأوّل أقرب، لما تقرّر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المدّة ليست من مقوّمات المنفعة</w:t>
      </w:r>
      <w:r>
        <w:rPr>
          <w:rStyle w:val="FootnoteAnchor"/>
          <w:rtl w:val="true"/>
        </w:rPr>
        <w:footnoteReference w:id="1369"/>
      </w:r>
      <w:r>
        <w:rPr>
          <w:rFonts w:ascii="Amiri" w:hAnsi="Amiri" w:eastAsia="Amiri" w:cs="Amiri"/>
          <w:color w:val="111111"/>
          <w:sz w:val="28"/>
          <w:sz w:val="28"/>
          <w:szCs w:val="28"/>
          <w:rtl w:val="true"/>
          <w:lang w:bidi="ar-SA"/>
        </w:rPr>
        <w:t>خلافاً لما توهّمه بعض المحقّقين، و لا دليل على مانعيّة الغرر في مطلق المعاملات، خصوصاً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عن تقبيل المتقبّلات من الآخرين، و سيأتي بعض الكلام فيه، و هذان البحثان يشترك فيهما العادل و الجائر</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تلك الأراضي إذا لم تكن أنفالًا، ملك المسلمين، أم هي لهم منفعة و حقّاً؟ الظاهر هو الثاني، لعدم مساعدة الاعتبار لملكيّة الذات،</w:t>
      </w:r>
    </w:p>
    <w:p>
      <w:pPr>
        <w:pStyle w:val="BookText"/>
        <w:rPr/>
      </w:pPr>
      <w:r>
        <w:rPr>
          <w:rFonts w:ascii="Amiri" w:hAnsi="Amiri" w:eastAsia="Amiri" w:cs="Amiri"/>
          <w:color w:val="111111"/>
          <w:sz w:val="28"/>
          <w:sz w:val="28"/>
          <w:szCs w:val="28"/>
          <w:rtl w:val="true"/>
          <w:lang w:bidi="ar-SA"/>
        </w:rPr>
        <w:t>مع المنع عن التصرّفات الناقلة كالبيع و غيره، و التفصيل يطلب من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الأنفال للإمام ملكاً شخصيّاً، أو للإمام أي للدولة الإسلامية بأنّه لا يرث الثاني من الأوّل حتّى يتقسّم، أو يختصّ بولد دون ولد؟ الظاهر هو الثاني، و هي الضريبة لبسط الإسلام، و ترويج الدولة الحقّة، و تشكيل المدينة الفاضلة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حلّيّة تلك الأموال الموجودة في خزائن الدول تختصّ بالدولة الإسلاميّة المدّعية 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يشترك فيها غيرهم؟</w:t>
      </w:r>
    </w:p>
    <w:p>
      <w:pPr>
        <w:pStyle w:val="BookText"/>
        <w:rPr/>
      </w:pPr>
      <w:r>
        <w:rPr>
          <w:rFonts w:ascii="Amiri" w:hAnsi="Amiri" w:eastAsia="Amiri" w:cs="Amiri"/>
          <w:color w:val="111111"/>
          <w:sz w:val="28"/>
          <w:sz w:val="28"/>
          <w:szCs w:val="28"/>
          <w:rtl w:val="true"/>
          <w:lang w:bidi="ar-SA"/>
        </w:rPr>
        <w:t>و أنّها تختصّ بالموجودين في عصر الأئمّة، كبني أُميّة و بني العباس، أو يشترك فيها غيرهم؟</w:t>
      </w:r>
    </w:p>
    <w:p>
      <w:pPr>
        <w:pStyle w:val="BookText"/>
        <w:rPr/>
      </w:pPr>
      <w:r>
        <w:rPr>
          <w:rFonts w:ascii="Amiri" w:hAnsi="Amiri" w:eastAsia="Amiri" w:cs="Amiri"/>
          <w:color w:val="111111"/>
          <w:sz w:val="28"/>
          <w:sz w:val="28"/>
          <w:szCs w:val="28"/>
          <w:rtl w:val="true"/>
          <w:lang w:bidi="ar-SA"/>
        </w:rPr>
        <w:t>و أنّها تختصّ بالدولة الإسلاميّة الجائرة أو يشترك فيها المعنونون بالإسلام، و الذاكرون له و إن كان عملهم مورثاً لكفرهم شرعاً، و هم عند علماء المذهب من الكفّار و المرتدّين، ككثير من سلاطين الدول الإسلاميّة الفعليّة، فإنّهم على حسب صنائعهم يعدّون مرتدّين عن الطريقة الحقّة، و معاندين للإسلام و لعلمائه و أبنائه؟</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الحلّيّة تختصّ بالشيعة و غيره ممنوعون، أو يشترك فيها أهل الإسلام دون العمّال و من هم في ديوانهم و من أعوانهم، أو يشترك فيها هؤلاء أيضاً إلّا إذا كان العمل الذي تصدّاه من المحرّمات الشرعيّة أو يشترك فيها أهل الذّمم أيضاً، بل الدول المعاهدة مع الدولة الإسلامية،</w:t>
      </w:r>
    </w:p>
    <w:p>
      <w:pPr>
        <w:pStyle w:val="BookText"/>
        <w:rPr/>
      </w:pPr>
      <w:r>
        <w:rPr>
          <w:rFonts w:ascii="Amiri" w:hAnsi="Amiri" w:eastAsia="Amiri" w:cs="Amiri"/>
          <w:color w:val="111111"/>
          <w:sz w:val="28"/>
          <w:sz w:val="28"/>
          <w:szCs w:val="28"/>
          <w:rtl w:val="true"/>
          <w:lang w:bidi="ar-SA"/>
        </w:rPr>
        <w:t>فلا يكون تصرّف هؤلاء فيها غصباً؟</w:t>
      </w:r>
    </w:p>
    <w:p>
      <w:pPr>
        <w:pStyle w:val="BookText"/>
        <w:rPr/>
      </w:pPr>
      <w:r>
        <w:rPr>
          <w:rFonts w:ascii="Amiri" w:hAnsi="Amiri" w:eastAsia="Amiri" w:cs="Amiri"/>
          <w:color w:val="111111"/>
          <w:sz w:val="28"/>
          <w:sz w:val="28"/>
          <w:szCs w:val="28"/>
          <w:rtl w:val="true"/>
          <w:lang w:bidi="ar-SA"/>
        </w:rPr>
        <w:t>و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في بعض أُمور لا حاجة إلى الإيماء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يظهر لي في الأمر الرابع هو أنّ قضيّة المنع الأكيد من الدخول في الولايات و المناصب، و من الإعانة و نحوها تمايلهم إلى إبطال هذه الدولة و بعث الأُمّة الإسلاميّة إلى تشكيل السلطنة الحقّة، و إليه يشير ما في بعض الأخبار</w:t>
      </w:r>
      <w:r>
        <w:rPr>
          <w:rStyle w:val="FootnoteAnchor"/>
          <w:rtl w:val="true"/>
        </w:rPr>
        <w:footnoteReference w:id="1370"/>
      </w:r>
      <w:r>
        <w:rPr>
          <w:rFonts w:ascii="Amiri" w:hAnsi="Amiri" w:eastAsia="Amiri" w:cs="Amiri"/>
          <w:color w:val="111111"/>
          <w:sz w:val="28"/>
          <w:sz w:val="28"/>
          <w:szCs w:val="28"/>
          <w:rtl w:val="true"/>
          <w:lang w:bidi="ar-SA"/>
        </w:rPr>
        <w:t>، و قد مضى أنّ مفادها إغراء المسلمين إلى السياسة الخاصّة المصطلح عليها بالسياسة المنفيّة</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الإذن عامّاً لجميع الأُمم، بل لجميع أفراد الشيعة، لاختلّ نظام تلك السياسة، بل قضيّتها منع الناس عن هذه الأراضي و ثمارها، و إيجاد المشقّة و الكلفة عليهم حتّى يتولّد منها الثورة، و يتزايد التهاجم على تلك الدول الباطلة بوجه محفوظ من إراقة الدماء، و هتك الأعراض، كما قد يشاهد ذلك في الأُمم الراقية، الّتي هي تابعة في الاعتقادات الدينيّة للرجل الديني المتضلّع، و لكنّه مع ذلك كلّه صدر الإذن للشيعة؛ لطيب مولدهم و مأكلهم و مشربهم، و إليه يشير ما ورد من فساد منابتهم، و اندراجهم في من</w:t>
      </w:r>
    </w:p>
    <w:p>
      <w:pPr>
        <w:pStyle w:val="BookText"/>
        <w:rPr/>
      </w:pPr>
      <w:r>
        <w:rPr>
          <w:rFonts w:ascii="Amiri" w:hAnsi="Amiri" w:eastAsia="Amiri" w:cs="Amiri"/>
          <w:color w:val="111111"/>
          <w:sz w:val="28"/>
          <w:sz w:val="28"/>
          <w:szCs w:val="28"/>
          <w:rtl w:val="true"/>
          <w:lang w:bidi="ar-SA"/>
        </w:rPr>
        <w:t>لا طيب لمولده، و يعدّ من أولاد الزّنا</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فالّذي هو القدر المتيقّن من الأمر الخامس هو الإذن الخاصّ، و ما يظهر من الأصحاب و من عموم تعليلاتهم، خصوصاً ما ورد في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37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374"/>
      </w:r>
      <w:r>
        <w:rPr>
          <w:rFonts w:ascii="Amiri" w:hAnsi="Amiri" w:eastAsia="Amiri" w:cs="Amiri"/>
          <w:color w:val="111111"/>
          <w:sz w:val="28"/>
          <w:sz w:val="28"/>
          <w:szCs w:val="28"/>
          <w:rtl w:val="true"/>
          <w:lang w:bidi="ar-SA"/>
        </w:rPr>
        <w:t>رحمهما اللَّه تعالى من التعليلات الراجعة إلى السيرة، و المشاهدات الخارجيّة و القضايا الجزئيّة، غير قابل للتصديق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اشتراك الحاضر و الغائب في هذا الإذن، و لا يختصّ به التابعون الأوّلون من المهاجرين و الأنصار</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دعوى لزوم الرجوع إلى الحاكم؛ لأنّ الإذن الصادر من الإمام العادل لا يكفي لحلّيّة الأموال للغيّاب، و لكنّها إذا كانت بنحو العموم الظاهر في الأعمّيّة من العصر الحاضر، تكون مستلزمة لكشف الكفاية، و إلّا لم يكن وجه لمثله،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حكم السلطان المؤالف كالمخالف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الاحتياط بالرجوع إلى الحاكم في الأوّل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كالمخالف</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عموم الإذن بالنسبة إلى الطائفة الحقّة مطلقاً، و الاحتياط بالرجوع إلى الحاكم خصوصاً في المؤالف، و لا سيّما في المؤالف الصوري، لا الواقعي، حسن جدّاً؛ لما علمت من بعض الاحتمالات في المسألة، و منها يعلم وجه الأشدّيّة أيضاً، فليتدبّر جيّداً</w:t>
      </w:r>
      <w:r>
        <w:rPr>
          <w:rFonts w:eastAsia="Amiri" w:cs="Amiri" w:ascii="Amiri" w:hAnsi="Amiri"/>
          <w:color w:val="111111"/>
          <w:sz w:val="28"/>
          <w:szCs w:val="28"/>
          <w:rtl w:val="true"/>
          <w:lang w:bidi="ar-SA"/>
        </w:rPr>
        <w:t>.</w:t>
      </w:r>
      <w:bookmarkStart w:id="291" w:name="pg12366_123367"/>
    </w:p>
    <w:p>
      <w:pPr>
        <w:pStyle w:val="Heading4"/>
        <w:numPr>
          <w:ilvl w:val="3"/>
          <w:numId w:val="1"/>
        </w:numPr>
        <w:rPr/>
      </w:pPr>
      <w:bookmarkStart w:id="292" w:name="__RefHeading___Toc8896125_417432637"/>
      <w:bookmarkStart w:id="293" w:name="_Toc106"/>
      <w:bookmarkEnd w:id="291"/>
      <w:bookmarkEnd w:id="292"/>
      <w:r>
        <w:rPr>
          <w:rtl w:val="true"/>
        </w:rPr>
        <w:t>[</w:t>
      </w:r>
      <w:r>
        <w:rPr>
          <w:rtl w:val="true"/>
        </w:rPr>
        <w:t xml:space="preserve">مسألة </w:t>
      </w:r>
      <w:r>
        <w:rPr/>
        <w:t>26</w:t>
      </w:r>
      <w:r>
        <w:rPr>
          <w:rtl w:val="true"/>
        </w:rPr>
        <w:t xml:space="preserve">: </w:t>
      </w:r>
      <w:r>
        <w:rPr>
          <w:rtl w:val="true"/>
        </w:rPr>
        <w:t>يجوز لكلّ أحد أن يتقبّل الأراضي الخراجيّة</w:t>
      </w:r>
      <w:r>
        <w:rPr>
          <w:rtl w:val="true"/>
        </w:rPr>
        <w:t>]</w:t>
      </w:r>
      <w:bookmarkEnd w:id="29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لكلّ أحد أن يتقبّل الأراضي الخراجيّة، و يضمنها من الحكومة بشي‌ء، و ينتفع بها بنفسه بزرع أو غرس أو غيره، أو يقبلها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ظاهرهم أنّه عنوان آخر مستقلّ حيال سائر العناوين، و لا يلتزمون بعدم خروجهم عن العناوين الشائعة، كما يشاهد منهم في المواضع غير العزيزة، و ما قيل من أنّ الإجماع قائم على الحصر غير مصدّق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الإنصاف شاهد على أنّ حقيقة الإجارة ليست إلّا هذا، و عدم لزوم مراعاة جميع الشرائط المعتبرة في صحّتها في غير ما نحن فيه هنا لا يورث انسلاب ماهيّتها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أن يتقبّلها بعنوان الصلح و المزارعة أيضاً، مع لزوم مراعاة الشرائط الشرعيّة فيهما؛ لأنّ القدر المتيقّن من سقوط الشرط هو ما كان التقبّل بعنوان الإجارة، و ذلك لوقوعه قهراً إجارة، بخلاف المزارعة و الصلح فإنّهما لا يقعان قهراً، فالتقبّل ليس عنواناً مستقلا، بل هو الإجارة بالحمل الشائع، و قضيّة السيرة عدم مراعاة شرائطها فيه بحيث توهّم كونه ماهيّة اخرى حذاء سائر الماهيّات الاعتباريّة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مقطوعيّة الحكم، صحيح داود بن سرحان، عن</w:t>
      </w:r>
    </w:p>
    <w:p>
      <w:pPr>
        <w:pStyle w:val="BookText"/>
        <w:rPr/>
      </w:pPr>
      <w:r>
        <w:rPr>
          <w:rFonts w:ascii="Amiri" w:hAnsi="Amiri" w:eastAsia="Amiri" w:cs="Amiri"/>
          <w:color w:val="111111"/>
          <w:sz w:val="28"/>
          <w:sz w:val="28"/>
          <w:szCs w:val="28"/>
          <w:rtl w:val="true"/>
          <w:lang w:bidi="ar-SA"/>
        </w:rPr>
        <w:t xml:space="preserve">و يضمنها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بالزيادة، على كراهية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الصورة، إلّا أن يحدث فيها حدثاً كحفر نهر أو عمل فيها بما يعين المستأجر، بل الأحوط ترك التقبيل بالزيادة إلّا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75"/>
      </w:r>
      <w:r>
        <w:rPr>
          <w:rFonts w:ascii="Amiri" w:hAnsi="Amiri" w:eastAsia="Amiri" w:cs="Amiri"/>
          <w:color w:val="111111"/>
          <w:sz w:val="28"/>
          <w:sz w:val="28"/>
          <w:szCs w:val="28"/>
          <w:rtl w:val="true"/>
          <w:lang w:bidi="ar-SA"/>
        </w:rPr>
        <w:t>و صحيح الحلبيّ</w:t>
      </w:r>
      <w:r>
        <w:rPr>
          <w:rStyle w:val="FootnoteAnchor"/>
          <w:rtl w:val="true"/>
        </w:rPr>
        <w:footnoteReference w:id="1376"/>
      </w:r>
      <w:r>
        <w:rPr>
          <w:rFonts w:ascii="Amiri" w:hAnsi="Amiri" w:eastAsia="Amiri" w:cs="Amiri"/>
          <w:color w:val="111111"/>
          <w:sz w:val="28"/>
          <w:sz w:val="28"/>
          <w:szCs w:val="28"/>
          <w:rtl w:val="true"/>
          <w:lang w:bidi="ar-SA"/>
        </w:rPr>
        <w:t>و غيرهما</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مراعاة الشرائط المحرّرة في تحويل مورد المعاوضة إلى الغير، و مع كون التقبّل الأوّل غير محدود سلطنته على مورد التقبّل، كما في سائر الكتب كالمزارعة و الإجارة و المساقاة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دعوى خصوصيّته في المقام و هو أنّ العين للمسلمين، فتحويلها إلى المستأجر الثاني غير ممنوع، فلتتأمّل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كراهية</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تقرّر في كتاب الإجارة، و قالوا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جواز الإجارة ثانياً</w:t>
      </w:r>
    </w:p>
    <w:p>
      <w:pPr>
        <w:pStyle w:val="BookText"/>
        <w:rPr/>
      </w:pPr>
      <w:r>
        <w:rPr>
          <w:rFonts w:ascii="Amiri" w:hAnsi="Amiri" w:eastAsia="Amiri" w:cs="Amiri"/>
          <w:color w:val="111111"/>
          <w:sz w:val="28"/>
          <w:sz w:val="28"/>
          <w:szCs w:val="28"/>
          <w:rtl w:val="true"/>
          <w:lang w:bidi="ar-SA"/>
        </w:rPr>
        <w:t>مع عدم الشرطين في الأرض على كراهية، و إن كان الأحوط الترك</w:t>
      </w:r>
      <w:r>
        <w:rPr>
          <w:rStyle w:val="FootnoteAnchor"/>
          <w:rtl w:val="true"/>
        </w:rPr>
        <w:footnoteReference w:id="1378"/>
      </w:r>
      <w:r>
        <w:rPr>
          <w:rFonts w:ascii="Amiri" w:hAnsi="Amiri" w:eastAsia="Amiri" w:cs="Amiri"/>
          <w:color w:val="111111"/>
          <w:sz w:val="28"/>
          <w:sz w:val="28"/>
          <w:szCs w:val="28"/>
          <w:rtl w:val="true"/>
          <w:lang w:bidi="ar-SA"/>
        </w:rPr>
        <w:t>، و قد مضى البحث حول هذه المسائل في محلّها في كتابنا الكبير</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هو الإشكال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التقبّل ليس من الإجارة المتعارفة حتّى تأتي فيها الممنوعات فيها و شرائطها، بل ظاهر جماعة أنّه عنوان آخر، فشمول أخبار تلك المسألة</w:t>
      </w:r>
      <w:r>
        <w:rPr>
          <w:rStyle w:val="FootnoteAnchor"/>
          <w:rtl w:val="true"/>
        </w:rPr>
        <w:footnoteReference w:id="1380"/>
      </w:r>
      <w:r>
        <w:rPr>
          <w:rFonts w:ascii="Amiri" w:hAnsi="Amiri" w:eastAsia="Amiri" w:cs="Amiri"/>
          <w:color w:val="111111"/>
          <w:sz w:val="28"/>
          <w:sz w:val="28"/>
          <w:szCs w:val="28"/>
          <w:rtl w:val="true"/>
          <w:lang w:bidi="ar-SA"/>
        </w:rPr>
        <w:t>لهذه الصورة محلّ بحث</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الشرطين إحداث الحدث، و كون الأُجرة في الإجارة الثانية من غير جنس الأُجرة في الإجارة الأُولى، و 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 الإشارة إلى الشرط الثاني في المتن أيضاً حتّى يستوفي المسألة من جهاتها، و لا سيّما بعد تصديقه الشرط الثاني في كتاب الإجارة على إشكال فيه</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ما أردناه في هذا المضمار، و قد تمّ بيد الفقير إلى اللَّه الغني، صباح يوم الجمعة، التاسع من شهر صفر المظفّر، من السنة السابعة، من العشر التاسع، من القرن الرابع عشر، من الهجرة النبويّة، على هاجرها آلاف الصلاة و التحيّة، في النجف الأشرف، في الأيّام الّتي كنّا فيها بحكم القضاء الإلهي مقصيين من بلادنا، و قد أخرجنا ربّنا منها إلى تركيا، ثمّ منه إلى هذه البلدة الطيّبة على مشرّفها الثناء الجميل، و نرجو منه الخير الكثير، و أن يوفّقنا لأن نقتل في سبيله بعد ما نقتل أعدائه، و الحمد للَّه أوّلًا، و آخراً، و ظاهراً، و باطناً، فإنّه خير موفّق و 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المظفر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تقريرات المجدّد الشيرازي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 لكن في ثبوت النسبة تردّد، لاحظ حاشية الوحيد البهبهاني على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التعليقة و أيضاً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مصباح الفقيه،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تحريرات في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الطهارة، الشيخ الأنصاري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 لاحظ أيضاً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ضمن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نسخة الأصل كما ذكره المجلسي في روضة المتّقين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منسوب إلى محمّد بن الحسن الشيباني، و قول الأوزاعي هو جواز التوضّي بكلّ نبيذ، لاحظ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المضاف،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زياد، أبو سعيد الآدمي الرازي كان ضعيفاً في الحديث، غير معتمد فيه، و كان أحمد بن محمّد بن عيسى يشهد عليه بالغلوّ و الكذب و أخرجه من قم إلى 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أبو جعفر بن بابويه عن ابن الوليد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تفرّد به محمّد بن عيسى من كتب يونس و حديثه لا يعتمد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المضاف،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الطهارة، الشيخ الأنصاري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الطهارة، الشيخ الأنصاري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 ضمن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حيث حكى هذا القول عن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المسائل الخلافيّة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المضاف،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المضاف،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المضاف،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النجاسات،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تمسّك بهذا الإطلاق السيّد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ضعّفه في 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 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أحكام الخلوة،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النجاسات،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الأخير، 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الطهارة، الشيخ الأنصاري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المضاف،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النجاسات، 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الأسآر،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الطهارة، الشيخ الأنصاري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دروس في فقه الشيعة، القسم الثاني من المجلّد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في فقه الشيعة، القسم الثاني من المجلّد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الشيخ الأنصاري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مدعي التواتر ابن أبي عقيل، راجع 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تحريرات في الفقه، قسم الطهارة، المبحث الثالث، الجهة الأُولى</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حبل المتين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الجزء الخامس،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اللنكراني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تحريرات في الفقه، كتاب الطهارة، المقصد الأوّل، المبحث الرابع، حول الماء الجاري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نهاية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النهاية ضمن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الغنية، ضمن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هذا التعبير في روايات محمّد بن مسلم، نعم قد ورد في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سرحان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المضاف،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ضمن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فصل الماء الجاري،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مهذّب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ضمن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الناصريّات، ضمن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النجاسات،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الطهارة، الشيخ الأنصاري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الطهارة، الشيخ الأنصاري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الشيخ الأنصاري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فصل الماء الجاري،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المقصد الأوّل، المبحث الرابع، المسألة الاولى من الخاتمة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المقصد الأوّل، المبحث الرابع، المسألة الاولى من الخاتمة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 ضمن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 ضمن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مستند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مستند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كتاب الطهارة، فصل الراكد بلا مادّة، المسألة الخامسة،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مستند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التفسير الكبير، الفخر الرازي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صلاة المسافر،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تحريرات في الفقه، كتاب الطهارة، المبحث الخامس، الأمر الثامن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الأسآر،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النجاسات،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فصل الراكد بلا مادّة،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الشيخ الأنصاري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تحريرات في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الشيخ الأنصاري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حاشية السيّد الخوئي</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فيما بأيدينا من مباحثه الأُصوليّة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الشيخ الأنصاري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تحريرات في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تحريرات في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تفصيله في مباحثه الأُصوليّة الموجودة لدينا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تحريرات في الفقه، كتاب الطهارة، المقصد الأوّل، المبحث الخامس، الأمر الثامن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تحريرات في الفقه، كتاب الطهارة، المبحث الخامس، الأمر السادس</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النجاسات،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فصل ماء المطر،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النجاسات،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النجاسات،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فيما بأيدينا من مباحثه الأُصوليّة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النجاسات،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النجاسات،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الأسآر،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النجاسات،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أبواب النجاسات، الباب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النجاسات،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تحريرات في الفقه، كتاب الطهارة، المبحث التاسع، فصل في المستعمل في الوضوء</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المضاف،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المضاف،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 ضمن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نفس المصدر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تحريرات في الفقه، كتاب الطهارة، المقصد الأوّل، المبحث التاسع،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المستعمل في الحدث الأكبر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أبواب الماء المضاف،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المضاف،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المضاف،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المضاف،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المضاف،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الروضة البهيّة في شرح اللمعة الدمشقيّة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 ضمن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المسألة الثالثة، راجع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تحريرات في الفقه، كتاب الطهارة، المقصد الأوّل، المبحث التاسع، فصل في المستعمل في رفع الخبث</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تحريرات في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تحريرات في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كتاب الطهارة، الشيخ الأنصاري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هداية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المضاف،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بتفاوتٍ في ألفاظها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اللنكراني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الشيخ الأنصاري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معجم رجال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المضاف،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النجاسات، الباب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تحريرات في الفقه، الطهارة، المبحث التاسع، فصل في المستعمل في رفع الخبث</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المضاف،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معتبر محمّد بن النعمان الأحول عن 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أستنجي ثمّ يقع ثوبي فيه و أنا جنب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المضاف،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تحريرات في الفقه، كتاب الطهارة، المبحث التاسع، فصل في ماء الاستنجاء</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أحكام الخلوة،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أحكام الخلوة،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نواقض الوضوء،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نواقض الوضوء،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الشيخ الأنصاري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النجاسات،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الشيخ الأنصاري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المضاف،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النجاسات،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أحمد بن محمّد بن أبي نصر البزنطي الواقع في طريق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المضاف،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فصل الماء المستعمل في الوضوء،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تحريرات في الفقه، كتاب الطهارة، المبحث التاسع، فصل في شروط طهارة ماء الاستنجاء</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تحرير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تحريرات في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تحريرات في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تحريرات في الفقه، كتاب الطهارة، المبحث العاشر، فصل إذا علم إجمالًا بنجاسة ماء في إحدى الإناءات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تحريرات في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الشيخ الأنصاري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قوانين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المسألة من المقدّمة الثانية من مقدّمات الصلاة في تحرير الوسيلة، ذكرها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جمعاً بين مسائل خلل الصلاة في موضع واحد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القبلة،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القبلة،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القبلة،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القبلة،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تحريرات في الفقه، الخلل في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 ضمن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الغنية، ضمن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القبلة،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القبلة،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القبلة،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القبلة،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القبلة،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لاحظ مصباح الفقيه،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القبلة،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كتاب الصلاة،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صلاة الجماعة،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تحريرات في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القبلة،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القبلة،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الوضوء،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التيمّم، المسألة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التيمّم،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تحريرات في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مابعدها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أحكام الخلوة،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تحريرات في الفقه، الخلل في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نهاية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الخلل في الصلاة، للمحقّق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الخلل في الصلاة،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تحريرات في الفقه، الخلل في الصلاة،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الخلل الواقع في الصلاة،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تحريرات في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في الخلل الواقع في الصلاة، المسألة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مستند 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مصباح الفقيه،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تحريرات في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قواطع الصلاة،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الخلل الواقع في الصلاة،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الخلل الواقع في الصلاة،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الخلل الواقع في الصلاة،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الخلل الواقع في الصلاة،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المنتهي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أفعال الصلاة،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الخلل الواقع في الصلاة،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الخلل الواقع في الصلاة،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الخلل الواقع في الصلاة،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الركوع،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في الصلاة،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الركوع،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الركوع،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الركوع،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جامع أحاديث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الركوع،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الخلل الواقع في الصلاة،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كتاب الصلاة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الخلوة،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القيام،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في رسالة لا تعاد و هي مفقودة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تحريرات في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تحريرات في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مهذّب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تحريرات في الفقه، كتاب الصوم، الجهة الثانية من المقدّمة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تحريرات في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 ضمن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القصد من نيّة التعيين تمييز أحد الفعلين أو أحد وجهي الفعل الواحد عن الآخر، و لا يتحقّق التعدّد هنا؛ فإنّه لا يقع في رمضان غيره، فأشبه ردّ الوديعة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مهذّب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كتاب الصوم، أبواب وجوب الصوم و نيّته،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من يصحّ منه الصوم،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وجوب الصوم و نيّته،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مستند العروة الوثقى، كتاب الصوم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كتاب الطهارة، في غايات الوضوء، التعليقة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كتاب الطهارة،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تحريرات في الفقه، كتاب الصوم، الفصل الثالث من الموقف الأوّل</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كتاب الصوم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فصل في النيّة،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النهاية،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من يصحّ منه الصوم،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من يصحّ منه الصوم،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تحريرات في الفقه، كتاب الصوم، الفصل الرابع من الموقف الأوّل</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من يصح منه الصوم،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من يصحّ منه الصوم،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تحريرات في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في الصفحة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مهذّب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لاحظ 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الساباطي عن 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يكون عليه أيّام من شهر رمضان و يريد أن يقضيها، متى يريد أن ينوي الصيام؟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بالخيار إلى أن تزول الشمس، فإذا زالت الشمس فإن كان نوى الصوم فليصم، و إن كان ينوي الإفطار فليفطر، 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نوى الإفطار يستقيم أن ينوي الصوم بعد ما زالت الشمس؟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صيام لمن لا يبيّت الصيام من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كتاب الصيام، أبواب وجوب الصوم و نيّته،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تحريرات في الفقه، كتاب الصوم، الفصل الثاني عشر من الموقف الأوّل</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تحريرات في الفقه، كتاب الصوم، الجهة الثانية من المقدّمة، و الجهة الاولى من الفصل الحادي عشر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ليلة الشكّ أصبح الناس فجاء أعرابي فشهد برؤية الهلال، فأمر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منادياً ينادي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يأكل فليصم، و من أكل فليمسك</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كتاب الصوم، أبواب وجوب الصوم و نيّته،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كتاب الصوم، أبواب وجوب الصوم و نيّته،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بكير، عن 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رجل طلعت عليه الشمس و هو جنب ثمّ أراد الصيام بعد ما اغتسل و مضى ما مضى من النهار؟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يصوم إن شاء، و هو بالخيار إلى نصف النهار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كتاب الصوم، أبواب وجوب الصوم و نيّته،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كتاب الصوم،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كتاب الصوم، أبواب وجوب الصوم و نيّته،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وجوب الصوم و نيّته،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الساباطي، عن 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يكون عليه أيّام من شهر رمضان و يريد أن يقضيها، متى يريد أن ينوي الصيام؟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بالخيار إلى أن تزول الشمس، فإذا زالت الشمس فإن كان نوى الصوم فليصم، و إن كان ينوي الإفطار فليفطر، 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نوى الإفطار يستقيم أن ينوي الصوم بعد ما زالت الشمس؟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من يصحّ منه الصوم،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من يصح منه الصوم،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وجوب الصوم و نيّته،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الغنية، ضمن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حكاه عن الإسكافي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كتاب الصوم، أبواب وجوب الصوم و نيّته،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كتاب الصوم، أبواب وجوب الصوم و نيّته، الباب،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الصائم المتطوّع تعرض له الحاجة؟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بالخيار ما بينه و بين العصر، و إن مكث حتى العصر ثمّ بدا له أن يصوم و إن لم يكن نوى ذلك فله أن يصوم ذلك اليوم إن شاء</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كتاب الصوم، أبواب وجوب الصوم و نيّته،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ما يمسك عنه الصائم،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الفقه على 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كتاب الصوم، أبواب وجوب الصوم و نيّته،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وجوب الصوم و نيّته،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كتاب الصوم، أبواب وجوب الصوم و نيّته،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كتاب الصوم، أبواب وجوب الصوم و نيّته،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كتاب الصوم، أبواب وجوب الصوم و نيّته،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كتاب الصوم، الشيخ الأنصاري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كتاب الصوم، أبواب وجوب الصوم و نيّته،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كتاب الصوم، أبواب وجوب الصوم،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تحريرات في الفقه، كتاب الصوم، الفصل الثالث عشر، الجهة الخامسة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حكاه عن العماني و اختاره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الشيخ الأنصاري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كتاب الصوم، أبواب وجوب الصوم و نيّته،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كتاب الصوم، أبواب وجوب الصوم و نيّته،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كتاب الصوم، أبواب وجوب الصوم و نيّته،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وجوب الصوم و نيّته،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الصوم، أبواب وجوب الصوم و نيّته،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كتاب الصوم، أبواب وجوب الصوم و نيّته،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كتاب الصوم، أبواب وجوب الصوم و نيّته،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تحريرات في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كتاب الصوم، الشيخ الأنصاري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مسافر دخل أهله قبل زوال الشمس و قد أكل؟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ينبغي له أن يأكل يومه ذلك شيئاً، و لا يواقع في شهر رمضان إن كان له أهل</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الرجل كيف يصنع إذا أراد السفر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قدم بعد زوال الشمس أفطر و لا يأكل ظاهراً و إن قدم من سفره قبل زوال الشمس فعليه صيام ذلك اليوم إن شاء</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يقدم من سفر بعد العصر في شهر رمضان فيصيب امرأته حين طهرت من الحيض، أ يواقعها؟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تحريرات في الفقه، الواجبات في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كتاب الصوم، الفصل الأوّل، المسألة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مستند العروة الوثقى، كتاب الصوم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مهذّب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في صلاة الجماعة،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في نيّة الصلاة،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كتاب الصوم، الفصل الأوّل،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كتاب الصوم، أبواب وجوب الصوم و نيّته،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في نيّة الصوم،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تحريرات في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تحريرات في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ما يمسك عنه الصائم،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ما يمسك عنه الصائم،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الغنية، ضمن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 ضمن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الأخير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كتاب الصوم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ما يمسك عنه الصائم،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الشيخ الأنصاري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مستند العروة الوثقى، كتاب الصوم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ما يمسك عنه الصائم،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ما يمسك عنه الصائم،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فصل فيما يجب الإمساك عنه في الصوم، 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ما يمسك عنه الصائم،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ما يمسك عنه الصائم،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ما يمسك عنه الصائم،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ما يمسك عنه الصائم،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ما يمسك عنه الصائم،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كتاب الصوم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ما يمسك عنه الصائم،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تحريرات في الفقه، كتاب الصوم، الثالث من المفطرات</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 ضمن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كتاب الصوم، الشيخ الأنصاري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مستدرك الوسائل كتاب الصوم، أبواب ما يمسك عنه الصائم،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ما يمسك عنه الصائم،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ما يمسك عنه الصائم،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الجنابة،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ما يمسك عنه الصائم،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الجنابة،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الغنية، ضمن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ما يمسك عنه الصائم،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الحجّاج،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يعبث بأهله في شهر رمضان حتّى يمني؟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من الكفّارة مثل ما على الّذي يجامع</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ما يمسك عنه الصائم،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ما يمسك عنه الصائم،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ما يمسك عنه الصائم،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ما يمسك عنه الصائم،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ما يمسك عنه الصائم،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ما يمسك عنه الصائم،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ما يمسك عنه الصائم،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ما يمسك عنه الصائم،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تحريرات في الفقه، كتاب الصوم، الرابع من المفطرات</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غسل الجنابة،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 هنا عدة مسائل، و ما عثرنا عليه بعد ذلك هو السادس من المفطرات</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الغنية، ضمن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العمّاني في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كتاب الصوم، الفصل الثاني في المفطرات، المسألة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جامع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ما يمسك عنه الصائم،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ما يمسك عنه الصائم،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ما يمسك عنه الصائم،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ما يمسك عنه الصائم،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ما يمسك عنه الصائم،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ما يمسك عنه الصائم،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كتاب 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ما يمسك عنه الصائم،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ما يمسك عنه الصائم،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تحريرات في الفقه، كتاب الصوم، الخامس من المفطرات</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ما يمسك عنه الصائم،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كتاب الصوم، في المفطرات، 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الأخير، 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الغنية، ضمن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المغني و 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ما يمسك عنه الصائم،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ما يمسك عنه الصائم،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ما يمسك عنه الصائم،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صائم ارتمس في الماء متعمّداً، عليه قضاء ذلك اليوم؟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عليه قضاؤه و لا يعودن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السابع من المفطرات، وسيلة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فصل فيما يجب الإمساك عنه،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ما يمسك عنه الصائم،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تحريرات في الفقه، كتاب الصوم، السابع من المفطرات</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ما يمسك عنه الصائم،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تحريرات في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فصل فيما يجب الإمساك عنه في الصوم، المسألة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في الغسل الارتماسي</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تحريرات في الفقه، كتاب الصوم، السابع من المفطرات</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تحريرات في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فصل، المسألة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فصل،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تحريرات في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 ضمن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الغنية، ضمن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نهج الحق و 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كتاب الصوم، الشيخ الأنصاري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مصباح المتهجّد،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المبسوط، السرخسي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ما يمسك عنه الصائم،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به في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المسألة التاسعة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سليمان بن جعفر المروزي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تمضمض الصائم في شهر رمضان أو استنشق متعمّداً أو شمّ رائحة غليظة أو كنس بيتاً فدخل في أنفه و حلقه غبار فعليه صوم شهرين متتابعين، فإنّ ذلك له مفطر مثل الأكل و الشرب و النكاح</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يضرّ الصائم ما صنع إذا اجتنب ثلاث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و الشراب، و النساء، و الارتماس في الماء</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الشيخ الأنصاري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تحريرات في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سعيد، عن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الصائم يتدخّن بعود أو بغير ذلك فتدخل الدخنة في حلقه؟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جائز، لا بأس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سألته عن الصائم يدخل الغبار في حلقه؟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من أوّل كتاب المتاجر إلى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وسيلة النجاة و أضفنا إليه تعاليق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عضادتين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الغنية، ضمن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تفسير التجارات، في جميع البيوع و وجوه الحلال من وجه التجارات التي يجوز للبائع أن يبيع ممّا لا يجوز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المشتري الذي يجوز له شراؤه ممّا لا يجوز له فكلّ مأمور به ممّا هو غذاء للعباد و قوامهم به في أُمورهم في وجوه الصلاح الذي لا يقيمهم غيره ممّا يأكلون و يشربون و يلبسون و ينكحون و يملكون و يستعملون من جهة ملكهم و يجوز لهم الاستعمال له من جميع جهات المنافع التي لا يقيمهم غيرها من كلّ شي‌ء يكون لهم فيه الصلاح من جهة من الجهات فهذا كلّه حلال بيعه و شراؤه و إمساكه و استعماله وهبته و عاريته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يرحمك اللَّه أنّ كلّ مأمور به ممّا هو صلاح للعباد، و قوام لهم في أُمورهم، من وجوه الصلاح الّذي لا يقيمهم غيره ممّا يأكلون و يشربون و يلبسون و ينكحون و يملكون و يستعملون فهذا كلّه حلال بيعه و شراؤه وهبته و عاريته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الشرح الكبير، في ذيل المغني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يخلو عمومه من إشكال، لكن لا يترك الاحتياط</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حَرَّمَ عَلَيْكُمُ الْمَيْتَةَ وَ الدَّمَ وَ لَحْمَ الْخِنْزِيرِ وَ ما أُهِلَّ بِهِ لِغَيْرِ اللَّهِ فَمَنِ اضْطُرَّ غَيْرَ باغٍ وَ لا عادٍ فَلا إِثْمَ عَلَيْهِ إِنَّ اللَّهَ غَفُورٌ رَحِيمٌ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مصباح الفقاهة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فصل في الأواني، المسألة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كتاب الحجّ، الفصل الثاني، المسألة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الفقاهة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ما يكتسب به،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من تحريرات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 بن مهران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رجل أبا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حاضر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رجل أبيع العذرة فما تقول؟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بيعها و ثمنها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ببيع العذرة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الشرح الكبير، في ذيل المغني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فاعتبر بما ترى من ضروب المآرب، في صغير الكلب و كبيره، و بما له قيمة و ما لا قيمة له، و أخس من هذا و أحقره الزبل و العذرة، الّتي اجتمعت فيها الخساسة و النجاسة معاً، و موقعها من الزروع و البقول و الخضر أجمع الموقع، الذي لا يعدله شي‌ء، حتّى أنّ كلّ شي‌ء من الخضر لا يصلح و لا يزكو إلّا بالزبل و السماد، الّذي يستقذره الناس و يكرهون الدنو منه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روينا عن جعفر بن محمّد عن أبيه عن آبائه عن عليّ أنّ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عن بيع الأحرار، و عن بيع الميتة و الدّم و الخنزير و الأصنام و عن عسب الفحل و عن ثمن الخمر، و عن بيع العذرة، و قال هي ميتة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يسير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حَرَّمَ عَلَيْكُمُ الْمَيْتَةَ وَ الدَّمَ وَ لَحْمَ الْخِنْزِيرِ وَ ما أُهِلَّ بِهِ لِغَيْرِ اللَّهِ فَمَنِ اضْطُرَّ غَيْرَ باغٍ وَ لا عادٍ فَلا إِثْمَ عَلَيْهِ إِنَّ اللَّهَ غَفُورٌ رَحِيمٌ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يحيى الواسطي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بالقصّابين، فنهاهم عن بيع سبعة أشياء من الشاة، نهاهم عن 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 و الغدد، و آذان الفؤاد، و الطحال، و النخاع، و الخصي، و القضيب، فقال له بعض القصّابين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الطحال و الكبد إلّا سواء،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 يا لكع ايتني بتورين من ماء، أُنبّئك بخلاف ما بينهما، فاتي بكبد و طحال و تورين من ماء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شقّوا الكبد من وسطه، و الطحال من وسطه، ثمّ أمر فمرسا في الماء جميعاً، فابيضّت الكبد، و لم ينقص منها شي‌ء، و لم يبيّض الطحال، و خرج ما فيه كلّه، و صار دماً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 جلد و عروق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خلاف ما بينهما، هذا لحم، و هذا دم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في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يسير</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المكاسب المحرّمة،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القاسم الصيقل و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كتبوا إلى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جعلنا اللَّه فداك إنّا قوم نعمل السيوف ليست لنا معيشة و لا تجارة غيرها و نحن مضطرّون إليها، و إنّما علاجنا جلود الميتة و البغال و الحمير الأهلية لا يجوز في أعمالنا غيرها، فيحلّ لنا عملها و شراؤها و بيعها و مسّها بأيدينا و ثيابنا، و نحن نصلّي في ثيابنا، و نحن محتاجون إلى جوابك في هذه المسألة يا سيّدنا لضرورتنا؟ فكتب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 ثوباً للصلاة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باب بيع العصير و الخمر</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أبي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الخمر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غارسها و حارسها و عاصرها و شاربها و ساقيها و حاملها و المحمولة إليه و بائعها و مشتريها و آكل ثمنها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و الأشربة، أبواب الأشربة المحرّمة،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كتاب الأطعمة و الأشربة، أبواب الأشربة المحرّمة،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كتاب الأطعمة و الأشربة، أبواب الأشربة المحرّمة،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حاشية المكاسب، السيّد اليزدي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فصل في الأواني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المكاسب المحرّمة،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مصباح الفقاهة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المكاسب المحرّمة من كتابه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الربا،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كتاب التجارة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كتاب الأطعمة و الأشربة المحرّمة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المكاسب المحرّمة من كتابه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بيع الحيوان،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الأقوى‌</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فيما بأيدينا من كتبه، و لعلّه في كتاب الإجارة المفقودة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كتاب الصيد و الذبائح، أبواب الذبائح،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البيوع، مجمع الفائدة و 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المكاسب المحرّمة،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كتاب الأطعمة و الأشربة، أبواب الأطعمة المباحة، الباب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يثبت أنّها من ذوات أنفس سائلات‌</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و عبد الرحمن بن أبي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ثمن الكلب الّذي لا يصيد سحت،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بأس بثمن الهرّة</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كتاب الذباحة، مجمع الفائدة و البرهان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كتاب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المكاسب المحرّمة من كتابه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إِنَّمَا الْخَمْرُ وَ الْمَيْسِرُ وَ الْأَنْصابُ وَ الْأَزْلامُ رِجْسٌ مِنْ عَمَلِ الشَّيْطانِ فَاجْتَنِبُوهُ لَعَلَّكُمْ تُفْلِحُونَ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الإجارة، للمؤلّف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تبصرة المتعلمين للمحقّق العراقي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راجع مصباح الفقاهة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يستظهر من المكاسب المحرّمة للإمام الخميني قدّس سرّه الشريف و إن لم يصرّح بالرواية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العلاء بن رزين، عن زيد الصانع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كنت في قرية من قرى خراسان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بخارى، فرأيت فيها دراهم تعمل ثلث فضّة، و ثلث مسا و ثلث رصاصاً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كنت تجوز عندهم و كانت أعملها و أنفقها،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بذلك إذا كان تجوز عندهم،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رأيت إن حال عليها الحول و هي عندي و فيها ما يجب عليّ فيه الزكاة، أُزكيها؟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إنّما هو مالك،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أخرجتها إلى بلدة لا ينفق فيها مثلها فبقيت عندي حتّى حال عليها الحول، أُزكّيها؟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 تعرف أنّ فيها من الفضّة الخالصة ما يجب عليك فيه الزكاة فزكّ ما كان لك فيها من الفضّة الخالصة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 ما سوى ذلك من الخبيث،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كنت لا أعلم ما فيها من الفضّة الخالصة إلّا أنّي أعلم أنّ فيها ما تجب فيه الزكاة؟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فاسبكها حتّى تخلص الفضّة و يحترق الخبيث ثمّ تزكّي ما خلص من الفضّة لسنة واحدة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الصرف،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السيّد اليزدي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حريث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التوت أبيعه يصنع للصليب و الصنم؟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ما يكتسب به،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الإجارة،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أبي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الخمر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غارسها و حارسها و عاصرها و شاربها و ساقيها و حاملها و المحمولة إليه و بائعها و مشتريها و آكل ثمنها</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بكر الحضرمي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دخلنا على 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حكم السراج ما تقول فيمن يحمل إلى الشام السروج و أداتها؟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أنتم اليوم بمنزلة أصحاب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إنّكم في هدنة، فإذا كانت المباينة حرم عليكم أن تحملوا إليهم السروج و السلاح</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المكاسب المحرّمة من تحريرات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أحكام المساكن،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لباس المصلّي،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مكان المصلّي،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أحكام المساكن،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أحكام المساكن،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مكان المصلّي،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لباس المصلّي،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أحكام المساكن،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مكان المصلّي،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أحكام المساكن،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لباس المصلّي،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المكاسب المحرّمة،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أحكام المساكن،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أحكام المساكن،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أحكام المساكن،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تحريرات في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مابعدها</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لباس المصلّي،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المكاسب المحرّمة للمؤلّف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أحكام المساكن،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لباس المصلّي،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مكان المصلّي،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المكاسب المحرّمة من تحريرات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تحريرات في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الرسالة غير مطبوعة و نقل عنه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المكاسب المحرّمة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قراءة القرآن،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مع تفاوت يسير</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قراءة القرآن،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قراءة القرآن،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قراءة القرآن،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ما يكتسب به،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قراءة القرآن،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قراءة القرآن،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مع تفاوت يسير</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صلاة الجماعة، الباب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الحجّ، أبواب أحكام العشرة،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التحرير عند تعرّض المصنّف عدم جواز الدخول في الولايات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تحريرات في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كتاب الحجّ، أبواب آداب السفر،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ساحر المسلمين يقتل و ساحر الكفّار لا يقتل،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لِمَ لا يقتل ساحر الكفّار؟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الشرك أعظم من السحر، لأنّ السحر و الشرك مقرونان</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كتاب الأمر بالمعروف و النهي عن المنكر، أبواب الأمر و النهي،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كتاب الحجّ، أبواب آداب السفر،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كتاب الحجّ، أبواب أحكام العشرة، الباب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المكاسب المحرّمة، من تحريرات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كتاب الحجّ، أبواب آداب السفر،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ما يكتسب به،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يؤسف له فقدان هذه المباحث من مؤلّفات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الإجارة،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كتاب الوصايا، الباب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كتاب الأمر بالمعروف و النهي عن المنكر، أبواب الأمر و النهي،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آداب القاضي،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كتاب الحجّ، أبواب النيابة في الحجّ،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الأذان و الإقامة، 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قراءة القرآن،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كتاب الأمر بالمعروف و النهي عن المنكر، أبواب الأمر و النهي،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تحريرات في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الإجارة، من تحريرات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كتاب الإجارة،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تحريرات في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المكاسب المحرّمة، من تحريرات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فيما بأيدينا من مباحث كتاب الصلاة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تحريرات في الفقه</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 الحلبيّ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 تفاوت</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للمؤلّف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هذه الرواية في المعاجم الروائية و لكن نقلها عدة من الفحول في كتبهم لاحظ مجمع الفائدة و 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مقدّماتها،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مقدّماتها،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مقدّماتها،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كتاب المزارعة و المساقاة،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كتاب الحجّ، أبواب أحكام الدواب،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كتاب الحجّ، أبواب أحكام الدواب،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و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 أيضاً انّ سبب بطلان الصلاة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تحريرات في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تحريرات في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آداب التجارة،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تحريرات في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الاجتهاد و التقليد من مستند تحرير الوسيلة مفقودة</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الربا،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الربا،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الربا،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مقدّمة العبادات،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آداب التجارة،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آداب التجارة،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آداب التجارة،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آداب التجارة،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الإجارة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آداب التجارة،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آداب التجارة، الباب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آداب التجارة، الباب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آداب التجارة،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النجاسات،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 ضمن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غير موجودة في الجوامع الروائية الإماميّة و إن كانت موجودة في كتبهم الفقهيّة، راجع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آداب التجارة، 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عقد البيع و شروطه،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آداب التجارة، 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آداب التجارة، 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آداب التجارة، 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آداب التجارة، 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آداب التجارة، 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آداب التجارة، 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آداب التجارة، 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آداب التجارة، 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آداب التجارة،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آداب التجارة، 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آداب التجارة،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آداب التجارة،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آداب التجارة،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آداب التجارة، 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تحريرات في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مابعدها</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هذه الرواية في مجامعنا الروائيّة و كذا في كتب العامّة و يقرب منه ما ورد في الكافي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حكم اللَّه في الأوّلين و الآخرين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ما في 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حكمي على الواحد حكمي على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أيضاً العناوين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القواعد الفقهية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آداب التجارة،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آداب التجارة،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حكى عنه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آداب التجارة، 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آداب التجارة،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تخريجها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آداب التجارة،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ثلاث رسائل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ولاية الفقيه</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كتاب الأمر بالمعروف و النهي عن المنكر، أبواب الأمر و النهي،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النفس و ما يناسبه،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الراونديّ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انظر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تحريرات في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الشيخ الأعظم الرواية عن رجال الكشّي راجع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لكنّ الرواية ليست موجودةً في رجال الكشّي بل رواها النجاشيّ في رجاله، 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الإيروانيّ على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الإمام الخمينيّ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مابعدها</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كتاب الأمر بالمعروف و النهي عن المنكر، أبواب الأمر و النهي،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مجمع الفائدة و 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كتاب الزكاة، أبواب زكاة الغلّات،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كتاب المزارعة و المساقاة،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مجمع الفائدة و 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فيما بأيدينا من كتبه و لعلّه في كتاب الإجارة المفقودة</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كتاب الإمامة،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تاريخ أمير المؤمنين،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النوادر،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كتاب المزارعة و المساقاة،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كتاب المزارعة و المساقاة،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كتاب المزارعة و المساقاة،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كتاب المزارعة و المساقاة،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كتاب الإجارة، الفصل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الإجارة من تحريرات في الفقه مفقود</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كتاب الإجارة،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كتاب الإجارة، المسألة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image" Target="media/image2.jpeg"/><Relationship Id="rId518" Type="http://schemas.openxmlformats.org/officeDocument/2006/relationships/image" Target="media/image2.jpeg"/><Relationship Id="rId519" Type="http://schemas.openxmlformats.org/officeDocument/2006/relationships/footer" Target="footer512.xml"/><Relationship Id="rId520" Type="http://schemas.openxmlformats.org/officeDocument/2006/relationships/footnotes" Target="footnotes.xml"/><Relationship Id="rId521" Type="http://schemas.openxmlformats.org/officeDocument/2006/relationships/numbering" Target="numbering.xml"/><Relationship Id="rId522" Type="http://schemas.openxmlformats.org/officeDocument/2006/relationships/fontTable" Target="fontTable.xml"/><Relationship Id="rId523" Type="http://schemas.openxmlformats.org/officeDocument/2006/relationships/settings" Target="settings.xml"/><Relationship Id="rId5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517</Pages>
  <Words>68846</Words>
  <Characters>290944</Characters>
  <CharactersWithSpaces>357126</CharactersWithSpaces>
  <Paragraphs>2667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2026-08-23T14:25:43Z</dcterms:created>
  <dc:creator>ghaemiyeh.com</dc:creator>
  <dc:description/>
  <dc:language>en-US</dc:language>
  <cp:lastModifiedBy/>
  <dcterms:modified xsi:type="dcterms:W3CDTF">2026-08-23T17:55:58Z</dcterms:modified>
  <cp:revision>1</cp:revision>
  <dc:subject/>
  <dc:title>مستند تحریر الوسیلة جلد 1</dc:title>
</cp:coreProperties>
</file>

<file path=docProps/custom.xml><?xml version="1.0" encoding="utf-8"?>
<Properties xmlns="http://schemas.openxmlformats.org/officeDocument/2006/custom-properties" xmlns:vt="http://schemas.openxmlformats.org/officeDocument/2006/docPropsVTypes"/>
</file>