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w:t>
      </w:r>
      <w:r>
        <w:rPr>
          <w:rtl w:val="true"/>
        </w:rPr>
        <w:t xml:space="preserve"> </w:t>
      </w:r>
      <w:r>
        <w:rPr>
          <w:rtl w:val="true"/>
        </w:rPr>
        <w:t xml:space="preserve">و </w:t>
      </w:r>
      <w:r>
        <w:rPr/>
        <w:t>4</w:t>
      </w:r>
      <w:r>
        <w:rPr>
          <w:rtl w:val="true"/>
        </w:rPr>
        <w:t xml:space="preserve"> </w:t>
      </w:r>
      <w:r>
        <w:rPr>
          <w:rtl w:val="true"/>
        </w:rPr>
        <w:t xml:space="preserve">انوار الهدایة فی التعلیقة علی الکفایة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2560_41743263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352562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52564_417432637">
            <w:r>
              <w:rPr>
                <w:webHidden/>
                <w:rStyle w:val="IndexLink"/>
                <w:rtl w:val="true"/>
              </w:rPr>
              <w:t>المقصد السابع في الاُصول العملية</w:t>
            </w:r>
            <w:r>
              <w:rPr>
                <w:rStyle w:val="IndexLink"/>
                <w:rtl w:val="true"/>
              </w:rPr>
              <w:tab/>
            </w:r>
            <w:r>
              <w:rPr>
                <w:rStyle w:val="IndexLink"/>
              </w:rPr>
              <w:t>15</w:t>
            </w:r>
          </w:hyperlink>
        </w:p>
        <w:p>
          <w:pPr>
            <w:pStyle w:val="Contents2"/>
            <w:tabs>
              <w:tab w:val="clear" w:pos="8743"/>
              <w:tab w:val="right" w:pos="9026" w:leader="dot"/>
            </w:tabs>
            <w:rPr/>
          </w:pPr>
          <w:hyperlink w:anchor="__RefHeading___Toc3352566_417432637">
            <w:r>
              <w:rPr>
                <w:webHidden/>
                <w:rStyle w:val="IndexLink"/>
                <w:rtl w:val="true"/>
              </w:rPr>
              <w:t>الاُصول العملية</w:t>
            </w:r>
            <w:r>
              <w:rPr>
                <w:rStyle w:val="IndexLink"/>
                <w:rtl w:val="true"/>
              </w:rPr>
              <w:tab/>
            </w:r>
            <w:r>
              <w:rPr>
                <w:rStyle w:val="IndexLink"/>
              </w:rPr>
              <w:t>17</w:t>
            </w:r>
          </w:hyperlink>
        </w:p>
        <w:p>
          <w:pPr>
            <w:pStyle w:val="Contents2"/>
            <w:tabs>
              <w:tab w:val="clear" w:pos="8743"/>
              <w:tab w:val="right" w:pos="9026" w:leader="dot"/>
            </w:tabs>
            <w:rPr/>
          </w:pPr>
          <w:hyperlink w:anchor="__RefHeading___Toc3352568_417432637">
            <w:r>
              <w:rPr>
                <w:webHidden/>
                <w:rStyle w:val="IndexLink"/>
                <w:rtl w:val="true"/>
              </w:rPr>
              <w:t xml:space="preserve">الأمر الأوّل </w:t>
            </w:r>
            <w:r>
              <w:rPr>
                <w:rStyle w:val="IndexLink"/>
                <w:rtl w:val="true"/>
              </w:rPr>
              <w:t>:</w:t>
            </w:r>
            <w:r>
              <w:rPr>
                <w:rStyle w:val="IndexLink"/>
                <w:rtl w:val="true"/>
              </w:rPr>
              <w:t>في بيان حالات المكلّف وذكر مجاري الاُصول</w:t>
            </w:r>
            <w:r>
              <w:rPr>
                <w:rStyle w:val="IndexLink"/>
                <w:rtl w:val="true"/>
              </w:rPr>
              <w:tab/>
            </w:r>
            <w:r>
              <w:rPr>
                <w:rStyle w:val="IndexLink"/>
              </w:rPr>
              <w:t>17</w:t>
            </w:r>
          </w:hyperlink>
        </w:p>
        <w:p>
          <w:pPr>
            <w:pStyle w:val="Contents2"/>
            <w:tabs>
              <w:tab w:val="clear" w:pos="8743"/>
              <w:tab w:val="right" w:pos="9026" w:leader="dot"/>
            </w:tabs>
            <w:rPr/>
          </w:pPr>
          <w:hyperlink w:anchor="__RefHeading___Toc3352570_417432637">
            <w:r>
              <w:rPr>
                <w:webHidden/>
                <w:rStyle w:val="IndexLink"/>
                <w:rtl w:val="true"/>
              </w:rPr>
              <w:t xml:space="preserve">الأمر الثاني </w:t>
            </w:r>
            <w:r>
              <w:rPr>
                <w:rStyle w:val="IndexLink"/>
                <w:rtl w:val="true"/>
              </w:rPr>
              <w:t xml:space="preserve">: </w:t>
            </w:r>
            <w:r>
              <w:rPr>
                <w:rStyle w:val="IndexLink"/>
                <w:rtl w:val="true"/>
              </w:rPr>
              <w:t>في وجه تقديم الأمارات على الاُصول</w:t>
            </w:r>
            <w:r>
              <w:rPr>
                <w:rStyle w:val="IndexLink"/>
                <w:rtl w:val="true"/>
              </w:rPr>
              <w:tab/>
            </w:r>
            <w:r>
              <w:rPr>
                <w:rStyle w:val="IndexLink"/>
              </w:rPr>
              <w:t>20</w:t>
            </w:r>
          </w:hyperlink>
        </w:p>
        <w:p>
          <w:pPr>
            <w:pStyle w:val="Contents2"/>
            <w:tabs>
              <w:tab w:val="clear" w:pos="8743"/>
              <w:tab w:val="right" w:pos="9026" w:leader="dot"/>
            </w:tabs>
            <w:rPr/>
          </w:pPr>
          <w:hyperlink w:anchor="__RefHeading___Toc3352572_417432637">
            <w:r>
              <w:rPr>
                <w:webHidden/>
                <w:rStyle w:val="IndexLink"/>
                <w:rtl w:val="true"/>
              </w:rPr>
              <w:t xml:space="preserve">الأمر الثالث </w:t>
            </w:r>
            <w:r>
              <w:rPr>
                <w:rStyle w:val="IndexLink"/>
                <w:rtl w:val="true"/>
              </w:rPr>
              <w:t xml:space="preserve">: </w:t>
            </w:r>
            <w:r>
              <w:rPr>
                <w:rStyle w:val="IndexLink"/>
                <w:rtl w:val="true"/>
              </w:rPr>
              <w:t>في وحدة مناط البحث في جميع أقسام الشبهات</w:t>
            </w:r>
            <w:r>
              <w:rPr>
                <w:rStyle w:val="IndexLink"/>
                <w:rtl w:val="true"/>
              </w:rPr>
              <w:tab/>
            </w:r>
            <w:r>
              <w:rPr>
                <w:rStyle w:val="IndexLink"/>
              </w:rPr>
              <w:t>24</w:t>
            </w:r>
          </w:hyperlink>
        </w:p>
        <w:p>
          <w:pPr>
            <w:pStyle w:val="Contents2"/>
            <w:tabs>
              <w:tab w:val="clear" w:pos="8743"/>
              <w:tab w:val="right" w:pos="9026" w:leader="dot"/>
            </w:tabs>
            <w:rPr/>
          </w:pPr>
          <w:hyperlink w:anchor="__RefHeading___Toc3352574_417432637">
            <w:r>
              <w:rPr>
                <w:webHidden/>
                <w:rStyle w:val="IndexLink"/>
                <w:rtl w:val="true"/>
              </w:rPr>
              <w:t>حول استدلال الاُصوليّين على البراءة</w:t>
            </w:r>
            <w:r>
              <w:rPr>
                <w:rStyle w:val="IndexLink"/>
                <w:rtl w:val="true"/>
              </w:rPr>
              <w:tab/>
            </w:r>
            <w:r>
              <w:rPr>
                <w:rStyle w:val="IndexLink"/>
              </w:rPr>
              <w:t>25</w:t>
            </w:r>
          </w:hyperlink>
        </w:p>
        <w:p>
          <w:pPr>
            <w:pStyle w:val="Contents2"/>
            <w:tabs>
              <w:tab w:val="clear" w:pos="8743"/>
              <w:tab w:val="right" w:pos="9026" w:leader="dot"/>
            </w:tabs>
            <w:rPr/>
          </w:pPr>
          <w:hyperlink w:anchor="__RefHeading___Toc3352576_417432637">
            <w:r>
              <w:rPr>
                <w:webHidden/>
                <w:rStyle w:val="IndexLink"/>
                <w:rtl w:val="true"/>
              </w:rPr>
              <w:t>الاستدلال بالكتاب</w:t>
            </w:r>
            <w:r>
              <w:rPr>
                <w:rStyle w:val="IndexLink"/>
                <w:rtl w:val="true"/>
              </w:rPr>
              <w:tab/>
            </w:r>
            <w:r>
              <w:rPr>
                <w:rStyle w:val="IndexLink"/>
              </w:rPr>
              <w:t>25</w:t>
            </w:r>
          </w:hyperlink>
        </w:p>
        <w:p>
          <w:pPr>
            <w:pStyle w:val="Contents2"/>
            <w:tabs>
              <w:tab w:val="clear" w:pos="8743"/>
              <w:tab w:val="right" w:pos="9026" w:leader="dot"/>
            </w:tabs>
            <w:rPr/>
          </w:pPr>
          <w:hyperlink w:anchor="__RefHeading___Toc3352578_417432637">
            <w:r>
              <w:rPr>
                <w:webHidden/>
                <w:rStyle w:val="IndexLink"/>
                <w:rtl w:val="true"/>
              </w:rPr>
              <w:t>كلام المحقّق النائيني في المقام</w:t>
            </w:r>
            <w:r>
              <w:rPr>
                <w:rStyle w:val="IndexLink"/>
                <w:rtl w:val="true"/>
              </w:rPr>
              <w:tab/>
            </w:r>
            <w:r>
              <w:rPr>
                <w:rStyle w:val="IndexLink"/>
              </w:rPr>
              <w:t>34</w:t>
            </w:r>
          </w:hyperlink>
        </w:p>
        <w:p>
          <w:pPr>
            <w:pStyle w:val="Contents2"/>
            <w:tabs>
              <w:tab w:val="clear" w:pos="8743"/>
              <w:tab w:val="right" w:pos="9026" w:leader="dot"/>
            </w:tabs>
            <w:rPr/>
          </w:pPr>
          <w:hyperlink w:anchor="__RefHeading___Toc3352580_417432637">
            <w:r>
              <w:rPr>
                <w:webHidden/>
                <w:rStyle w:val="IndexLink"/>
                <w:rtl w:val="true"/>
              </w:rPr>
              <w:t>الاستدلال بالسنّة على البراءة</w:t>
            </w:r>
            <w:r>
              <w:rPr>
                <w:rStyle w:val="IndexLink"/>
                <w:rtl w:val="true"/>
              </w:rPr>
              <w:tab/>
            </w:r>
            <w:r>
              <w:rPr>
                <w:rStyle w:val="IndexLink"/>
              </w:rPr>
              <w:t>36</w:t>
            </w:r>
          </w:hyperlink>
        </w:p>
        <w:p>
          <w:pPr>
            <w:pStyle w:val="Contents2"/>
            <w:tabs>
              <w:tab w:val="clear" w:pos="8743"/>
              <w:tab w:val="right" w:pos="9026" w:leader="dot"/>
            </w:tabs>
            <w:rPr/>
          </w:pPr>
          <w:hyperlink w:anchor="__RefHeading___Toc3352582_417432637">
            <w:r>
              <w:rPr>
                <w:webHidden/>
                <w:rStyle w:val="IndexLink"/>
                <w:rtl w:val="true"/>
              </w:rPr>
              <w:t>حديث الرفع</w:t>
            </w:r>
            <w:r>
              <w:rPr>
                <w:rStyle w:val="IndexLink"/>
                <w:rtl w:val="true"/>
              </w:rPr>
              <w:tab/>
            </w:r>
            <w:r>
              <w:rPr>
                <w:rStyle w:val="IndexLink"/>
              </w:rPr>
              <w:t>36</w:t>
            </w:r>
          </w:hyperlink>
        </w:p>
        <w:p>
          <w:pPr>
            <w:pStyle w:val="Contents2"/>
            <w:tabs>
              <w:tab w:val="clear" w:pos="8743"/>
              <w:tab w:val="right" w:pos="9026" w:leader="dot"/>
            </w:tabs>
            <w:rPr/>
          </w:pPr>
          <w:hyperlink w:anchor="__RefHeading___Toc3352584_417432637">
            <w:r>
              <w:rPr>
                <w:webHidden/>
                <w:rStyle w:val="IndexLink"/>
                <w:rtl w:val="true"/>
              </w:rPr>
              <w:t xml:space="preserve">الأمر الأوّل </w:t>
            </w:r>
            <w:r>
              <w:rPr>
                <w:rStyle w:val="IndexLink"/>
                <w:rtl w:val="true"/>
              </w:rPr>
              <w:t xml:space="preserve">: </w:t>
            </w:r>
            <w:r>
              <w:rPr>
                <w:rStyle w:val="IndexLink"/>
                <w:rtl w:val="true"/>
              </w:rPr>
              <w:t>في شمول الحديث للشبهات الحكمية</w:t>
            </w:r>
            <w:r>
              <w:rPr>
                <w:rStyle w:val="IndexLink"/>
                <w:rtl w:val="true"/>
              </w:rPr>
              <w:tab/>
            </w:r>
            <w:r>
              <w:rPr>
                <w:rStyle w:val="IndexLink"/>
              </w:rPr>
              <w:t>36</w:t>
            </w:r>
          </w:hyperlink>
        </w:p>
        <w:p>
          <w:pPr>
            <w:pStyle w:val="Contents2"/>
            <w:tabs>
              <w:tab w:val="clear" w:pos="8743"/>
              <w:tab w:val="right" w:pos="9026" w:leader="dot"/>
            </w:tabs>
            <w:rPr/>
          </w:pPr>
          <w:hyperlink w:anchor="__RefHeading___Toc3352586_417432637">
            <w:r>
              <w:rPr>
                <w:webHidden/>
                <w:rStyle w:val="IndexLink"/>
                <w:rtl w:val="true"/>
              </w:rPr>
              <w:t xml:space="preserve">الأمر الثاني </w:t>
            </w:r>
            <w:r>
              <w:rPr>
                <w:rStyle w:val="IndexLink"/>
                <w:rtl w:val="true"/>
              </w:rPr>
              <w:t xml:space="preserve">: </w:t>
            </w:r>
            <w:r>
              <w:rPr>
                <w:rStyle w:val="IndexLink"/>
                <w:rtl w:val="true"/>
              </w:rPr>
              <w:t>في معنى الرفع في الحديث</w:t>
            </w:r>
            <w:r>
              <w:rPr>
                <w:rStyle w:val="IndexLink"/>
                <w:rtl w:val="true"/>
              </w:rPr>
              <w:tab/>
            </w:r>
            <w:r>
              <w:rPr>
                <w:rStyle w:val="IndexLink"/>
              </w:rPr>
              <w:t>44</w:t>
            </w:r>
          </w:hyperlink>
        </w:p>
        <w:p>
          <w:pPr>
            <w:pStyle w:val="Contents2"/>
            <w:tabs>
              <w:tab w:val="clear" w:pos="8743"/>
              <w:tab w:val="right" w:pos="9026" w:leader="dot"/>
            </w:tabs>
            <w:rPr/>
          </w:pPr>
          <w:hyperlink w:anchor="__RefHeading___Toc3352588_417432637">
            <w:r>
              <w:rPr>
                <w:webHidden/>
                <w:rStyle w:val="IndexLink"/>
                <w:rtl w:val="true"/>
              </w:rPr>
              <w:t xml:space="preserve">الأمر الثالث </w:t>
            </w:r>
            <w:r>
              <w:rPr>
                <w:rStyle w:val="IndexLink"/>
                <w:rtl w:val="true"/>
              </w:rPr>
              <w:t xml:space="preserve">: </w:t>
            </w:r>
            <w:r>
              <w:rPr>
                <w:rStyle w:val="IndexLink"/>
                <w:rtl w:val="true"/>
              </w:rPr>
              <w:t>في كيفية حكومة حديث الرفع</w:t>
            </w:r>
            <w:r>
              <w:rPr>
                <w:rStyle w:val="IndexLink"/>
                <w:rtl w:val="true"/>
              </w:rPr>
              <w:tab/>
            </w:r>
            <w:r>
              <w:rPr>
                <w:rStyle w:val="IndexLink"/>
              </w:rPr>
              <w:t>49</w:t>
            </w:r>
          </w:hyperlink>
        </w:p>
        <w:p>
          <w:pPr>
            <w:pStyle w:val="Contents2"/>
            <w:tabs>
              <w:tab w:val="clear" w:pos="8743"/>
              <w:tab w:val="right" w:pos="9026" w:leader="dot"/>
            </w:tabs>
            <w:rPr/>
          </w:pPr>
          <w:hyperlink w:anchor="__RefHeading___Toc3352590_417432637">
            <w:r>
              <w:rPr>
                <w:webHidden/>
                <w:rStyle w:val="IndexLink"/>
                <w:rtl w:val="true"/>
              </w:rPr>
              <w:t xml:space="preserve">الأمر الرابع </w:t>
            </w:r>
            <w:r>
              <w:rPr>
                <w:rStyle w:val="IndexLink"/>
                <w:rtl w:val="true"/>
              </w:rPr>
              <w:t xml:space="preserve">: </w:t>
            </w:r>
            <w:r>
              <w:rPr>
                <w:rStyle w:val="IndexLink"/>
                <w:rtl w:val="true"/>
              </w:rPr>
              <w:t>في مصحّح نسبة الرفع إلى العناوين المأخوذة في الحديث</w:t>
            </w:r>
            <w:r>
              <w:rPr>
                <w:rStyle w:val="IndexLink"/>
                <w:rtl w:val="true"/>
              </w:rPr>
              <w:tab/>
            </w:r>
            <w:r>
              <w:rPr>
                <w:rStyle w:val="IndexLink"/>
              </w:rPr>
              <w:t>51</w:t>
            </w:r>
          </w:hyperlink>
        </w:p>
        <w:p>
          <w:pPr>
            <w:pStyle w:val="Contents2"/>
            <w:tabs>
              <w:tab w:val="clear" w:pos="8743"/>
              <w:tab w:val="right" w:pos="9026" w:leader="dot"/>
            </w:tabs>
            <w:rPr/>
          </w:pPr>
          <w:hyperlink w:anchor="__RefHeading___Toc3352592_417432637">
            <w:r>
              <w:rPr>
                <w:webHidden/>
                <w:rStyle w:val="IndexLink"/>
                <w:rtl w:val="true"/>
              </w:rPr>
              <w:t xml:space="preserve">الأمر الخامس </w:t>
            </w:r>
            <w:r>
              <w:rPr>
                <w:rStyle w:val="IndexLink"/>
                <w:rtl w:val="true"/>
              </w:rPr>
              <w:t xml:space="preserve">: </w:t>
            </w:r>
            <w:r>
              <w:rPr>
                <w:rStyle w:val="IndexLink"/>
                <w:rtl w:val="true"/>
              </w:rPr>
              <w:t>في شمول الحديث للاُمور العدمية</w:t>
            </w:r>
            <w:r>
              <w:rPr>
                <w:rStyle w:val="IndexLink"/>
                <w:rtl w:val="true"/>
              </w:rPr>
              <w:tab/>
            </w:r>
            <w:r>
              <w:rPr>
                <w:rStyle w:val="IndexLink"/>
              </w:rPr>
              <w:t>55</w:t>
            </w:r>
          </w:hyperlink>
        </w:p>
        <w:p>
          <w:pPr>
            <w:pStyle w:val="Contents2"/>
            <w:tabs>
              <w:tab w:val="clear" w:pos="8743"/>
              <w:tab w:val="right" w:pos="9026" w:leader="dot"/>
            </w:tabs>
            <w:rPr/>
          </w:pPr>
          <w:hyperlink w:anchor="__RefHeading___Toc3352594_417432637">
            <w:r>
              <w:rPr>
                <w:webHidden/>
                <w:rStyle w:val="IndexLink"/>
                <w:rtl w:val="true"/>
              </w:rPr>
              <w:t xml:space="preserve">الأمر السادس </w:t>
            </w:r>
            <w:r>
              <w:rPr>
                <w:rStyle w:val="IndexLink"/>
                <w:rtl w:val="true"/>
              </w:rPr>
              <w:t xml:space="preserve">: </w:t>
            </w:r>
            <w:r>
              <w:rPr>
                <w:rStyle w:val="IndexLink"/>
                <w:rtl w:val="true"/>
              </w:rPr>
              <w:t>في تصحيح العبادة المنسيّ منها جزء أو شرط بالحديث</w:t>
            </w:r>
            <w:r>
              <w:rPr>
                <w:rStyle w:val="IndexLink"/>
                <w:rtl w:val="true"/>
              </w:rPr>
              <w:tab/>
            </w:r>
            <w:r>
              <w:rPr>
                <w:rStyle w:val="IndexLink"/>
              </w:rPr>
              <w:t>57</w:t>
            </w:r>
          </w:hyperlink>
        </w:p>
        <w:p>
          <w:pPr>
            <w:pStyle w:val="Contents2"/>
            <w:tabs>
              <w:tab w:val="clear" w:pos="8743"/>
              <w:tab w:val="right" w:pos="9026" w:leader="dot"/>
            </w:tabs>
            <w:rPr/>
          </w:pPr>
          <w:hyperlink w:anchor="__RefHeading___Toc3352596_417432637">
            <w:r>
              <w:rPr>
                <w:webHidden/>
                <w:rStyle w:val="IndexLink"/>
                <w:rtl w:val="true"/>
              </w:rPr>
              <w:t xml:space="preserve">القول </w:t>
            </w:r>
            <w:r>
              <w:rPr>
                <w:rStyle w:val="IndexLink"/>
                <w:rtl w:val="true"/>
              </w:rPr>
              <w:t xml:space="preserve">: </w:t>
            </w:r>
            <w:r>
              <w:rPr>
                <w:rStyle w:val="IndexLink"/>
                <w:rtl w:val="true"/>
              </w:rPr>
              <w:t>في شمول الحديث للأسباب والمسبّبات</w:t>
            </w:r>
            <w:r>
              <w:rPr>
                <w:rStyle w:val="IndexLink"/>
                <w:rtl w:val="true"/>
              </w:rPr>
              <w:tab/>
            </w:r>
            <w:r>
              <w:rPr>
                <w:rStyle w:val="IndexLink"/>
              </w:rPr>
              <w:t>65</w:t>
            </w:r>
          </w:hyperlink>
        </w:p>
        <w:p>
          <w:pPr>
            <w:pStyle w:val="Contents2"/>
            <w:tabs>
              <w:tab w:val="clear" w:pos="8743"/>
              <w:tab w:val="right" w:pos="9026" w:leader="dot"/>
            </w:tabs>
            <w:rPr/>
          </w:pPr>
          <w:hyperlink w:anchor="__RefHeading___Toc3352598_417432637">
            <w:r>
              <w:rPr>
                <w:webHidden/>
                <w:rStyle w:val="IndexLink"/>
                <w:rtl w:val="true"/>
              </w:rPr>
              <w:t xml:space="preserve">الأمر السابع </w:t>
            </w:r>
            <w:r>
              <w:rPr>
                <w:rStyle w:val="IndexLink"/>
                <w:rtl w:val="true"/>
              </w:rPr>
              <w:t xml:space="preserve">: </w:t>
            </w:r>
            <w:r>
              <w:rPr>
                <w:rStyle w:val="IndexLink"/>
                <w:rtl w:val="true"/>
              </w:rPr>
              <w:t>تصحيح العبادة بالحديث عند الشكّ في المانعية</w:t>
            </w:r>
            <w:r>
              <w:rPr>
                <w:rStyle w:val="IndexLink"/>
                <w:rtl w:val="true"/>
              </w:rPr>
              <w:tab/>
            </w:r>
            <w:r>
              <w:rPr>
                <w:rStyle w:val="IndexLink"/>
              </w:rPr>
              <w:t>74</w:t>
            </w:r>
          </w:hyperlink>
        </w:p>
        <w:p>
          <w:pPr>
            <w:pStyle w:val="Contents2"/>
            <w:tabs>
              <w:tab w:val="clear" w:pos="8743"/>
              <w:tab w:val="right" w:pos="9026" w:leader="dot"/>
            </w:tabs>
            <w:rPr/>
          </w:pPr>
          <w:hyperlink w:anchor="__RefHeading___Toc3352600_417432637">
            <w:r>
              <w:rPr>
                <w:webHidden/>
                <w:rStyle w:val="IndexLink"/>
                <w:rtl w:val="true"/>
              </w:rPr>
              <w:t>حديث الحجب</w:t>
            </w:r>
            <w:r>
              <w:rPr>
                <w:rStyle w:val="IndexLink"/>
                <w:rtl w:val="true"/>
              </w:rPr>
              <w:tab/>
            </w:r>
            <w:r>
              <w:rPr>
                <w:rStyle w:val="IndexLink"/>
              </w:rPr>
              <w:t>75</w:t>
            </w:r>
          </w:hyperlink>
        </w:p>
        <w:p>
          <w:pPr>
            <w:pStyle w:val="Contents2"/>
            <w:tabs>
              <w:tab w:val="clear" w:pos="8743"/>
              <w:tab w:val="right" w:pos="9026" w:leader="dot"/>
            </w:tabs>
            <w:rPr/>
          </w:pPr>
          <w:hyperlink w:anchor="__RefHeading___Toc3352602_417432637">
            <w:r>
              <w:rPr>
                <w:webHidden/>
                <w:rStyle w:val="IndexLink"/>
                <w:rtl w:val="true"/>
              </w:rPr>
              <w:t>حديث الحلّية</w:t>
            </w:r>
            <w:r>
              <w:rPr>
                <w:rStyle w:val="IndexLink"/>
                <w:rtl w:val="true"/>
              </w:rPr>
              <w:tab/>
            </w:r>
            <w:r>
              <w:rPr>
                <w:rStyle w:val="IndexLink"/>
              </w:rPr>
              <w:t>77</w:t>
            </w:r>
          </w:hyperlink>
        </w:p>
        <w:p>
          <w:pPr>
            <w:pStyle w:val="Contents2"/>
            <w:tabs>
              <w:tab w:val="clear" w:pos="8743"/>
              <w:tab w:val="right" w:pos="9026" w:leader="dot"/>
            </w:tabs>
            <w:rPr/>
          </w:pPr>
          <w:hyperlink w:anchor="__RefHeading___Toc3352604_417432637">
            <w:r>
              <w:rPr>
                <w:webHidden/>
                <w:rStyle w:val="IndexLink"/>
                <w:rtl w:val="true"/>
              </w:rPr>
              <w:t xml:space="preserve">حول </w:t>
            </w:r>
            <w:r>
              <w:rPr>
                <w:rStyle w:val="IndexLink"/>
                <w:rtl w:val="true"/>
              </w:rPr>
              <w:t xml:space="preserve">: </w:t>
            </w:r>
            <w:r>
              <w:rPr>
                <w:rStyle w:val="IndexLink"/>
                <w:rtl w:val="true"/>
              </w:rPr>
              <w:t>استدلال الأخباريّين على وجوب الاحتياط</w:t>
            </w:r>
            <w:r>
              <w:rPr>
                <w:rStyle w:val="IndexLink"/>
                <w:rtl w:val="true"/>
              </w:rPr>
              <w:tab/>
            </w:r>
            <w:r>
              <w:rPr>
                <w:rStyle w:val="IndexLink"/>
              </w:rPr>
              <w:t>113</w:t>
            </w:r>
          </w:hyperlink>
        </w:p>
        <w:p>
          <w:pPr>
            <w:pStyle w:val="Contents2"/>
            <w:tabs>
              <w:tab w:val="clear" w:pos="8743"/>
              <w:tab w:val="right" w:pos="9026" w:leader="dot"/>
            </w:tabs>
            <w:rPr/>
          </w:pPr>
          <w:hyperlink w:anchor="__RefHeading___Toc3352606_417432637">
            <w:r>
              <w:rPr>
                <w:webHidden/>
                <w:rStyle w:val="IndexLink"/>
                <w:rtl w:val="true"/>
              </w:rPr>
              <w:t>الاستدلال بالكتاب</w:t>
            </w:r>
            <w:r>
              <w:rPr>
                <w:rStyle w:val="IndexLink"/>
                <w:rtl w:val="true"/>
              </w:rPr>
              <w:tab/>
            </w:r>
            <w:r>
              <w:rPr>
                <w:rStyle w:val="IndexLink"/>
              </w:rPr>
              <w:t>113</w:t>
            </w:r>
          </w:hyperlink>
        </w:p>
        <w:p>
          <w:pPr>
            <w:pStyle w:val="Contents2"/>
            <w:tabs>
              <w:tab w:val="clear" w:pos="8743"/>
              <w:tab w:val="right" w:pos="9026" w:leader="dot"/>
            </w:tabs>
            <w:rPr/>
          </w:pPr>
          <w:hyperlink w:anchor="__RefHeading___Toc3352608_417432637">
            <w:r>
              <w:rPr>
                <w:webHidden/>
                <w:rStyle w:val="IndexLink"/>
                <w:rtl w:val="true"/>
              </w:rPr>
              <w:t>الاستدلال على وجوب الاحتياط بالسنّة</w:t>
            </w:r>
            <w:r>
              <w:rPr>
                <w:rStyle w:val="IndexLink"/>
                <w:rtl w:val="true"/>
              </w:rPr>
              <w:tab/>
            </w:r>
            <w:r>
              <w:rPr>
                <w:rStyle w:val="IndexLink"/>
              </w:rPr>
              <w:t>115</w:t>
            </w:r>
          </w:hyperlink>
        </w:p>
        <w:p>
          <w:pPr>
            <w:pStyle w:val="Contents2"/>
            <w:tabs>
              <w:tab w:val="clear" w:pos="8743"/>
              <w:tab w:val="right" w:pos="9026" w:leader="dot"/>
            </w:tabs>
            <w:rPr/>
          </w:pPr>
          <w:hyperlink w:anchor="__RefHeading___Toc3352610_417432637">
            <w:r>
              <w:rPr>
                <w:webHidden/>
                <w:rStyle w:val="IndexLink"/>
                <w:rtl w:val="true"/>
              </w:rPr>
              <w:t>الاستدلال على وجوب الاحتياط بالدليل العقلي</w:t>
            </w:r>
            <w:r>
              <w:rPr>
                <w:rStyle w:val="IndexLink"/>
                <w:rtl w:val="true"/>
              </w:rPr>
              <w:tab/>
            </w:r>
            <w:r>
              <w:rPr>
                <w:rStyle w:val="IndexLink"/>
              </w:rPr>
              <w:t>117</w:t>
            </w:r>
          </w:hyperlink>
        </w:p>
        <w:p>
          <w:pPr>
            <w:pStyle w:val="Contents2"/>
            <w:tabs>
              <w:tab w:val="clear" w:pos="8743"/>
              <w:tab w:val="right" w:pos="9026" w:leader="dot"/>
            </w:tabs>
            <w:rPr/>
          </w:pPr>
          <w:hyperlink w:anchor="__RefHeading___Toc3352612_417432637">
            <w:r>
              <w:rPr>
                <w:webHidden/>
                <w:rStyle w:val="IndexLink"/>
                <w:rtl w:val="true"/>
              </w:rPr>
              <w:t>فيما اُجيب عن استدلال الأخباريّين بالدليل العقلي</w:t>
            </w:r>
            <w:r>
              <w:rPr>
                <w:rStyle w:val="IndexLink"/>
                <w:rtl w:val="true"/>
              </w:rPr>
              <w:tab/>
            </w:r>
            <w:r>
              <w:rPr>
                <w:rStyle w:val="IndexLink"/>
              </w:rPr>
              <w:t>119</w:t>
            </w:r>
          </w:hyperlink>
        </w:p>
        <w:p>
          <w:pPr>
            <w:pStyle w:val="Contents2"/>
            <w:tabs>
              <w:tab w:val="clear" w:pos="8743"/>
              <w:tab w:val="right" w:pos="9026" w:leader="dot"/>
            </w:tabs>
            <w:rPr/>
          </w:pPr>
          <w:hyperlink w:anchor="__RefHeading___Toc3352614_417432637">
            <w:r>
              <w:rPr>
                <w:webHidden/>
                <w:rStyle w:val="IndexLink"/>
                <w:rtl w:val="true"/>
              </w:rPr>
              <w:t>تنبيهات البراءة</w:t>
            </w:r>
            <w:r>
              <w:rPr>
                <w:rStyle w:val="IndexLink"/>
                <w:rtl w:val="true"/>
              </w:rPr>
              <w:t>:</w:t>
              <w:tab/>
            </w:r>
            <w:r>
              <w:rPr>
                <w:rStyle w:val="IndexLink"/>
              </w:rPr>
              <w:t>124</w:t>
            </w:r>
          </w:hyperlink>
        </w:p>
        <w:p>
          <w:pPr>
            <w:pStyle w:val="Contents2"/>
            <w:tabs>
              <w:tab w:val="clear" w:pos="8743"/>
              <w:tab w:val="right" w:pos="9026" w:leader="dot"/>
            </w:tabs>
            <w:rPr/>
          </w:pPr>
          <w:hyperlink w:anchor="__RefHeading___Toc3352616_417432637">
            <w:r>
              <w:rPr>
                <w:webHidden/>
                <w:rStyle w:val="IndexLink"/>
                <w:rtl w:val="true"/>
              </w:rPr>
              <w:t xml:space="preserve">التنبيه الأوّل </w:t>
            </w:r>
            <w:r>
              <w:rPr>
                <w:rStyle w:val="IndexLink"/>
                <w:rtl w:val="true"/>
              </w:rPr>
              <w:t xml:space="preserve">: </w:t>
            </w:r>
            <w:r>
              <w:rPr>
                <w:rStyle w:val="IndexLink"/>
                <w:rtl w:val="true"/>
              </w:rPr>
              <w:t>في اشتراط جريان البراءة بعدم وجود أصل موضوعي</w:t>
            </w:r>
            <w:r>
              <w:rPr>
                <w:rStyle w:val="IndexLink"/>
                <w:rtl w:val="true"/>
              </w:rPr>
              <w:tab/>
            </w:r>
            <w:r>
              <w:rPr>
                <w:rStyle w:val="IndexLink"/>
              </w:rPr>
              <w:t>124</w:t>
            </w:r>
          </w:hyperlink>
        </w:p>
        <w:p>
          <w:pPr>
            <w:pStyle w:val="Contents2"/>
            <w:tabs>
              <w:tab w:val="clear" w:pos="8743"/>
              <w:tab w:val="right" w:pos="9026" w:leader="dot"/>
            </w:tabs>
            <w:rPr/>
          </w:pPr>
          <w:hyperlink w:anchor="__RefHeading___Toc3352618_417432637">
            <w:r>
              <w:rPr>
                <w:webHidden/>
                <w:rStyle w:val="IndexLink"/>
                <w:rtl w:val="true"/>
              </w:rPr>
              <w:t>حول أصالة عدم التذكية</w:t>
            </w:r>
            <w:r>
              <w:rPr>
                <w:rStyle w:val="IndexLink"/>
                <w:rtl w:val="true"/>
              </w:rPr>
              <w:tab/>
            </w:r>
            <w:r>
              <w:rPr>
                <w:rStyle w:val="IndexLink"/>
              </w:rPr>
              <w:t>125</w:t>
            </w:r>
          </w:hyperlink>
        </w:p>
        <w:p>
          <w:pPr>
            <w:pStyle w:val="Contents2"/>
            <w:tabs>
              <w:tab w:val="clear" w:pos="8743"/>
              <w:tab w:val="right" w:pos="9026" w:leader="dot"/>
            </w:tabs>
            <w:rPr/>
          </w:pPr>
          <w:hyperlink w:anchor="__RefHeading___Toc3352620_417432637">
            <w:r>
              <w:rPr>
                <w:webHidden/>
                <w:rStyle w:val="IndexLink"/>
                <w:rtl w:val="true"/>
              </w:rPr>
              <w:t>في بيان اعتبارات القضايا</w:t>
            </w:r>
            <w:r>
              <w:rPr>
                <w:rStyle w:val="IndexLink"/>
                <w:rtl w:val="true"/>
              </w:rPr>
              <w:tab/>
            </w:r>
            <w:r>
              <w:rPr>
                <w:rStyle w:val="IndexLink"/>
              </w:rPr>
              <w:t>128</w:t>
            </w:r>
          </w:hyperlink>
        </w:p>
        <w:p>
          <w:pPr>
            <w:pStyle w:val="Contents2"/>
            <w:tabs>
              <w:tab w:val="clear" w:pos="8743"/>
              <w:tab w:val="right" w:pos="9026" w:leader="dot"/>
            </w:tabs>
            <w:rPr/>
          </w:pPr>
          <w:hyperlink w:anchor="__RefHeading___Toc3352622_417432637">
            <w:r>
              <w:rPr>
                <w:webHidden/>
                <w:rStyle w:val="IndexLink"/>
                <w:rtl w:val="true"/>
              </w:rPr>
              <w:t>التحقيق في جريان أصالة عدم التذكية في المحتملات</w:t>
            </w:r>
            <w:r>
              <w:rPr>
                <w:rStyle w:val="IndexLink"/>
                <w:rtl w:val="true"/>
              </w:rPr>
              <w:tab/>
            </w:r>
            <w:r>
              <w:rPr>
                <w:rStyle w:val="IndexLink"/>
              </w:rPr>
              <w:t>133</w:t>
            </w:r>
          </w:hyperlink>
        </w:p>
        <w:p>
          <w:pPr>
            <w:pStyle w:val="Contents2"/>
            <w:tabs>
              <w:tab w:val="clear" w:pos="8743"/>
              <w:tab w:val="right" w:pos="9026" w:leader="dot"/>
            </w:tabs>
            <w:rPr/>
          </w:pPr>
          <w:hyperlink w:anchor="__RefHeading___Toc3352624_417432637">
            <w:r>
              <w:rPr>
                <w:webHidden/>
                <w:rStyle w:val="IndexLink"/>
                <w:rtl w:val="true"/>
              </w:rPr>
              <w:t>أصالة عدم التذكية في الشبهة الموضوعية</w:t>
            </w:r>
            <w:r>
              <w:rPr>
                <w:rStyle w:val="IndexLink"/>
                <w:rtl w:val="true"/>
              </w:rPr>
              <w:tab/>
            </w:r>
            <w:r>
              <w:rPr>
                <w:rStyle w:val="IndexLink"/>
              </w:rPr>
              <w:t>139</w:t>
            </w:r>
          </w:hyperlink>
        </w:p>
        <w:p>
          <w:pPr>
            <w:pStyle w:val="Contents2"/>
            <w:tabs>
              <w:tab w:val="clear" w:pos="8743"/>
              <w:tab w:val="right" w:pos="9026" w:leader="dot"/>
            </w:tabs>
            <w:rPr/>
          </w:pPr>
          <w:hyperlink w:anchor="__RefHeading___Toc3352626_417432637">
            <w:r>
              <w:rPr>
                <w:webHidden/>
                <w:rStyle w:val="IndexLink"/>
                <w:rtl w:val="true"/>
              </w:rPr>
              <w:t>تتمّة</w:t>
            </w:r>
            <w:r>
              <w:rPr>
                <w:rStyle w:val="IndexLink"/>
                <w:rtl w:val="true"/>
              </w:rPr>
              <w:t xml:space="preserve">: </w:t>
            </w:r>
            <w:r>
              <w:rPr>
                <w:rStyle w:val="IndexLink"/>
                <w:rtl w:val="true"/>
              </w:rPr>
              <w:t>في التفصيل بين الطهارة والحلّية</w:t>
            </w:r>
            <w:r>
              <w:rPr>
                <w:rStyle w:val="IndexLink"/>
                <w:rtl w:val="true"/>
              </w:rPr>
              <w:tab/>
            </w:r>
            <w:r>
              <w:rPr>
                <w:rStyle w:val="IndexLink"/>
              </w:rPr>
              <w:t>142</w:t>
            </w:r>
          </w:hyperlink>
        </w:p>
        <w:p>
          <w:pPr>
            <w:pStyle w:val="Contents2"/>
            <w:tabs>
              <w:tab w:val="clear" w:pos="8743"/>
              <w:tab w:val="right" w:pos="9026" w:leader="dot"/>
            </w:tabs>
            <w:rPr/>
          </w:pPr>
          <w:hyperlink w:anchor="__RefHeading___Toc3352628_417432637">
            <w:r>
              <w:rPr>
                <w:webHidden/>
                <w:rStyle w:val="IndexLink"/>
                <w:rtl w:val="true"/>
              </w:rPr>
              <w:t xml:space="preserve">التنبيه الثاني </w:t>
            </w:r>
            <w:r>
              <w:rPr>
                <w:rStyle w:val="IndexLink"/>
                <w:rtl w:val="true"/>
              </w:rPr>
              <w:t xml:space="preserve">: </w:t>
            </w:r>
            <w:r>
              <w:rPr>
                <w:rStyle w:val="IndexLink"/>
                <w:rtl w:val="true"/>
              </w:rPr>
              <w:t>في حسن الاحتياط</w:t>
            </w:r>
            <w:r>
              <w:rPr>
                <w:rStyle w:val="IndexLink"/>
                <w:rtl w:val="true"/>
              </w:rPr>
              <w:tab/>
            </w:r>
            <w:r>
              <w:rPr>
                <w:rStyle w:val="IndexLink"/>
              </w:rPr>
              <w:t>150</w:t>
            </w:r>
          </w:hyperlink>
        </w:p>
        <w:p>
          <w:pPr>
            <w:pStyle w:val="Contents2"/>
            <w:tabs>
              <w:tab w:val="clear" w:pos="8743"/>
              <w:tab w:val="right" w:pos="9026" w:leader="dot"/>
            </w:tabs>
            <w:rPr/>
          </w:pPr>
          <w:hyperlink w:anchor="__RefHeading___Toc3352630_417432637">
            <w:r>
              <w:rPr>
                <w:webHidden/>
                <w:rStyle w:val="IndexLink"/>
                <w:rtl w:val="true"/>
              </w:rPr>
              <w:t>تقرير إشكال الاحتياط في العبادة</w:t>
            </w:r>
            <w:r>
              <w:rPr>
                <w:rStyle w:val="IndexLink"/>
                <w:rtl w:val="true"/>
              </w:rPr>
              <w:tab/>
            </w:r>
            <w:r>
              <w:rPr>
                <w:rStyle w:val="IndexLink"/>
              </w:rPr>
              <w:t>150</w:t>
            </w:r>
          </w:hyperlink>
        </w:p>
        <w:p>
          <w:pPr>
            <w:pStyle w:val="Contents2"/>
            <w:tabs>
              <w:tab w:val="clear" w:pos="8743"/>
              <w:tab w:val="right" w:pos="9026" w:leader="dot"/>
            </w:tabs>
            <w:rPr/>
          </w:pPr>
          <w:hyperlink w:anchor="__RefHeading___Toc3352632_417432637">
            <w:r>
              <w:rPr>
                <w:webHidden/>
                <w:rStyle w:val="IndexLink"/>
                <w:rtl w:val="true"/>
              </w:rPr>
              <w:t>تصحيح عبادية الشيء بأوامر الاحتياط</w:t>
            </w:r>
            <w:r>
              <w:rPr>
                <w:rStyle w:val="IndexLink"/>
                <w:rtl w:val="true"/>
              </w:rPr>
              <w:tab/>
            </w:r>
            <w:r>
              <w:rPr>
                <w:rStyle w:val="IndexLink"/>
              </w:rPr>
              <w:t>152</w:t>
            </w:r>
          </w:hyperlink>
        </w:p>
        <w:p>
          <w:pPr>
            <w:pStyle w:val="Contents2"/>
            <w:tabs>
              <w:tab w:val="clear" w:pos="8743"/>
              <w:tab w:val="right" w:pos="9026" w:leader="dot"/>
            </w:tabs>
            <w:rPr/>
          </w:pPr>
          <w:hyperlink w:anchor="__RefHeading___Toc3352634_417432637">
            <w:r>
              <w:rPr>
                <w:webHidden/>
                <w:rStyle w:val="IndexLink"/>
                <w:rtl w:val="true"/>
              </w:rPr>
              <w:t xml:space="preserve">الاستدلال لإمكان الاحتياط بأخبار </w:t>
            </w:r>
            <w:r>
              <w:rPr>
                <w:rStyle w:val="IndexLink"/>
                <w:rtl w:val="true"/>
              </w:rPr>
              <w:t>«</w:t>
            </w:r>
            <w:r>
              <w:rPr>
                <w:rStyle w:val="IndexLink"/>
                <w:rtl w:val="true"/>
              </w:rPr>
              <w:t>من بلغ</w:t>
            </w:r>
            <w:r>
              <w:rPr>
                <w:rStyle w:val="IndexLink"/>
                <w:rtl w:val="true"/>
              </w:rPr>
              <w:t>»</w:t>
              <w:tab/>
            </w:r>
            <w:r>
              <w:rPr>
                <w:rStyle w:val="IndexLink"/>
              </w:rPr>
              <w:t>156</w:t>
            </w:r>
          </w:hyperlink>
        </w:p>
        <w:p>
          <w:pPr>
            <w:pStyle w:val="Contents2"/>
            <w:tabs>
              <w:tab w:val="clear" w:pos="8743"/>
              <w:tab w:val="right" w:pos="9026" w:leader="dot"/>
            </w:tabs>
            <w:rPr/>
          </w:pPr>
          <w:hyperlink w:anchor="__RefHeading___Toc3352636_417432637">
            <w:r>
              <w:rPr>
                <w:webHidden/>
                <w:rStyle w:val="IndexLink"/>
                <w:rtl w:val="true"/>
              </w:rPr>
              <w:t xml:space="preserve">البحث عن أخبار </w:t>
            </w:r>
            <w:r>
              <w:rPr>
                <w:rStyle w:val="IndexLink"/>
                <w:rtl w:val="true"/>
              </w:rPr>
              <w:t>«</w:t>
            </w:r>
            <w:r>
              <w:rPr>
                <w:rStyle w:val="IndexLink"/>
                <w:rtl w:val="true"/>
              </w:rPr>
              <w:t>من بلغ</w:t>
            </w:r>
            <w:r>
              <w:rPr>
                <w:rStyle w:val="IndexLink"/>
                <w:rtl w:val="true"/>
              </w:rPr>
              <w:t>»</w:t>
              <w:tab/>
            </w:r>
            <w:r>
              <w:rPr>
                <w:rStyle w:val="IndexLink"/>
              </w:rPr>
              <w:t>156</w:t>
            </w:r>
          </w:hyperlink>
        </w:p>
        <w:p>
          <w:pPr>
            <w:pStyle w:val="Contents2"/>
            <w:tabs>
              <w:tab w:val="clear" w:pos="8743"/>
              <w:tab w:val="right" w:pos="9026" w:leader="dot"/>
            </w:tabs>
            <w:rPr/>
          </w:pPr>
          <w:hyperlink w:anchor="__RefHeading___Toc3352638_417432637">
            <w:r>
              <w:rPr>
                <w:webHidden/>
                <w:rStyle w:val="IndexLink"/>
                <w:rtl w:val="true"/>
              </w:rPr>
              <w:t xml:space="preserve">التنبيه الثالث </w:t>
            </w:r>
            <w:r>
              <w:rPr>
                <w:rStyle w:val="IndexLink"/>
                <w:rtl w:val="true"/>
              </w:rPr>
              <w:t xml:space="preserve">: </w:t>
            </w:r>
            <w:r>
              <w:rPr>
                <w:rStyle w:val="IndexLink"/>
                <w:rtl w:val="true"/>
              </w:rPr>
              <w:t>في أنحاء متعلّق الأمر والنهي</w:t>
            </w:r>
            <w:r>
              <w:rPr>
                <w:rStyle w:val="IndexLink"/>
                <w:rtl w:val="true"/>
              </w:rPr>
              <w:tab/>
            </w:r>
            <w:r>
              <w:rPr>
                <w:rStyle w:val="IndexLink"/>
              </w:rPr>
              <w:t>162</w:t>
            </w:r>
          </w:hyperlink>
        </w:p>
        <w:p>
          <w:pPr>
            <w:pStyle w:val="Contents2"/>
            <w:tabs>
              <w:tab w:val="clear" w:pos="8743"/>
              <w:tab w:val="right" w:pos="9026" w:leader="dot"/>
            </w:tabs>
            <w:rPr/>
          </w:pPr>
          <w:hyperlink w:anchor="__RefHeading___Toc3352640_417432637">
            <w:r>
              <w:rPr>
                <w:webHidden/>
                <w:rStyle w:val="IndexLink"/>
                <w:rtl w:val="true"/>
              </w:rPr>
              <w:t>اختلاف الاُصول العملية باختلاف متعلّقات الأحكام</w:t>
            </w:r>
            <w:r>
              <w:rPr>
                <w:rStyle w:val="IndexLink"/>
                <w:rtl w:val="true"/>
              </w:rPr>
              <w:tab/>
            </w:r>
            <w:r>
              <w:rPr>
                <w:rStyle w:val="IndexLink"/>
              </w:rPr>
              <w:t>165</w:t>
            </w:r>
          </w:hyperlink>
        </w:p>
        <w:p>
          <w:pPr>
            <w:pStyle w:val="Contents2"/>
            <w:tabs>
              <w:tab w:val="clear" w:pos="8743"/>
              <w:tab w:val="right" w:pos="9026" w:leader="dot"/>
            </w:tabs>
            <w:rPr/>
          </w:pPr>
          <w:hyperlink w:anchor="__RefHeading___Toc3352642_417432637">
            <w:r>
              <w:rPr>
                <w:webHidden/>
                <w:rStyle w:val="IndexLink"/>
                <w:rtl w:val="true"/>
              </w:rPr>
              <w:t xml:space="preserve">المسألة الاُولى </w:t>
            </w:r>
            <w:r>
              <w:rPr>
                <w:rStyle w:val="IndexLink"/>
                <w:rtl w:val="true"/>
              </w:rPr>
              <w:t xml:space="preserve">: </w:t>
            </w:r>
            <w:r>
              <w:rPr>
                <w:rStyle w:val="IndexLink"/>
                <w:rtl w:val="true"/>
              </w:rPr>
              <w:t>في دوران الأمر بين التعيين</w:t>
            </w:r>
            <w:r>
              <w:rPr>
                <w:rStyle w:val="IndexLink"/>
                <w:rtl w:val="true"/>
              </w:rPr>
              <w:tab/>
            </w:r>
            <w:r>
              <w:rPr>
                <w:rStyle w:val="IndexLink"/>
              </w:rPr>
              <w:t>173</w:t>
            </w:r>
          </w:hyperlink>
        </w:p>
        <w:p>
          <w:pPr>
            <w:pStyle w:val="Contents2"/>
            <w:tabs>
              <w:tab w:val="clear" w:pos="8743"/>
              <w:tab w:val="right" w:pos="9026" w:leader="dot"/>
            </w:tabs>
            <w:rPr/>
          </w:pPr>
          <w:hyperlink w:anchor="__RefHeading___Toc3352644_417432637">
            <w:r>
              <w:rPr>
                <w:webHidden/>
                <w:rStyle w:val="IndexLink"/>
                <w:rtl w:val="true"/>
              </w:rPr>
              <w:t xml:space="preserve">الأمر الأوّل </w:t>
            </w:r>
            <w:r>
              <w:rPr>
                <w:rStyle w:val="IndexLink"/>
                <w:rtl w:val="true"/>
              </w:rPr>
              <w:t xml:space="preserve">: </w:t>
            </w:r>
            <w:r>
              <w:rPr>
                <w:rStyle w:val="IndexLink"/>
                <w:rtl w:val="true"/>
              </w:rPr>
              <w:t>حقيقة الواجب التخييري</w:t>
            </w:r>
            <w:r>
              <w:rPr>
                <w:rStyle w:val="IndexLink"/>
                <w:rtl w:val="true"/>
              </w:rPr>
              <w:tab/>
            </w:r>
            <w:r>
              <w:rPr>
                <w:rStyle w:val="IndexLink"/>
              </w:rPr>
              <w:t>173</w:t>
            </w:r>
          </w:hyperlink>
        </w:p>
        <w:p>
          <w:pPr>
            <w:pStyle w:val="Contents2"/>
            <w:tabs>
              <w:tab w:val="clear" w:pos="8743"/>
              <w:tab w:val="right" w:pos="9026" w:leader="dot"/>
            </w:tabs>
            <w:rPr/>
          </w:pPr>
          <w:hyperlink w:anchor="__RefHeading___Toc3352646_417432637">
            <w:r>
              <w:rPr>
                <w:webHidden/>
                <w:rStyle w:val="IndexLink"/>
                <w:rtl w:val="true"/>
              </w:rPr>
              <w:t xml:space="preserve">الأمر الثاني </w:t>
            </w:r>
            <w:r>
              <w:rPr>
                <w:rStyle w:val="IndexLink"/>
                <w:rtl w:val="true"/>
              </w:rPr>
              <w:t xml:space="preserve">: </w:t>
            </w:r>
            <w:r>
              <w:rPr>
                <w:rStyle w:val="IndexLink"/>
                <w:rtl w:val="true"/>
              </w:rPr>
              <w:t>أقسام الواجب التخييري</w:t>
            </w:r>
            <w:r>
              <w:rPr>
                <w:rStyle w:val="IndexLink"/>
                <w:rtl w:val="true"/>
              </w:rPr>
              <w:tab/>
            </w:r>
            <w:r>
              <w:rPr>
                <w:rStyle w:val="IndexLink"/>
              </w:rPr>
              <w:t>174</w:t>
            </w:r>
          </w:hyperlink>
        </w:p>
        <w:p>
          <w:pPr>
            <w:pStyle w:val="Contents2"/>
            <w:tabs>
              <w:tab w:val="clear" w:pos="8743"/>
              <w:tab w:val="right" w:pos="9026" w:leader="dot"/>
            </w:tabs>
            <w:rPr/>
          </w:pPr>
          <w:hyperlink w:anchor="__RefHeading___Toc3352648_417432637">
            <w:r>
              <w:rPr>
                <w:webHidden/>
                <w:rStyle w:val="IndexLink"/>
                <w:rtl w:val="true"/>
              </w:rPr>
              <w:t xml:space="preserve">الأمر الثالث </w:t>
            </w:r>
            <w:r>
              <w:rPr>
                <w:rStyle w:val="IndexLink"/>
                <w:rtl w:val="true"/>
              </w:rPr>
              <w:t xml:space="preserve">: </w:t>
            </w:r>
            <w:r>
              <w:rPr>
                <w:rStyle w:val="IndexLink"/>
                <w:rtl w:val="true"/>
              </w:rPr>
              <w:t>حكم الشكّ في اشتراط التكليف في مرحلة البقاء</w:t>
            </w:r>
            <w:r>
              <w:rPr>
                <w:rStyle w:val="IndexLink"/>
                <w:rtl w:val="true"/>
              </w:rPr>
              <w:tab/>
            </w:r>
            <w:r>
              <w:rPr>
                <w:rStyle w:val="IndexLink"/>
              </w:rPr>
              <w:t>177</w:t>
            </w:r>
          </w:hyperlink>
        </w:p>
        <w:p>
          <w:pPr>
            <w:pStyle w:val="Contents2"/>
            <w:tabs>
              <w:tab w:val="clear" w:pos="8743"/>
              <w:tab w:val="right" w:pos="9026" w:leader="dot"/>
            </w:tabs>
            <w:rPr/>
          </w:pPr>
          <w:hyperlink w:anchor="__RefHeading___Toc3352650_417432637">
            <w:r>
              <w:rPr>
                <w:webHidden/>
                <w:rStyle w:val="IndexLink"/>
                <w:rtl w:val="true"/>
              </w:rPr>
              <w:t xml:space="preserve">الأمر الرابع </w:t>
            </w:r>
            <w:r>
              <w:rPr>
                <w:rStyle w:val="IndexLink"/>
                <w:rtl w:val="true"/>
              </w:rPr>
              <w:t xml:space="preserve">: </w:t>
            </w:r>
            <w:r>
              <w:rPr>
                <w:rStyle w:val="IndexLink"/>
                <w:rtl w:val="true"/>
              </w:rPr>
              <w:t>في أنحاء الشكّ في التعيين والتخيير</w:t>
            </w:r>
            <w:r>
              <w:rPr>
                <w:rStyle w:val="IndexLink"/>
                <w:rtl w:val="true"/>
              </w:rPr>
              <w:tab/>
            </w:r>
            <w:r>
              <w:rPr>
                <w:rStyle w:val="IndexLink"/>
              </w:rPr>
              <w:t>179</w:t>
            </w:r>
          </w:hyperlink>
        </w:p>
        <w:p>
          <w:pPr>
            <w:pStyle w:val="Contents2"/>
            <w:tabs>
              <w:tab w:val="clear" w:pos="8743"/>
              <w:tab w:val="right" w:pos="9026" w:leader="dot"/>
            </w:tabs>
            <w:rPr/>
          </w:pPr>
          <w:hyperlink w:anchor="__RefHeading___Toc3352652_417432637">
            <w:r>
              <w:rPr>
                <w:webHidden/>
                <w:rStyle w:val="IndexLink"/>
                <w:rtl w:val="true"/>
              </w:rPr>
              <w:t>في مقتضى الأصل في الأنحاء الثلاثة</w:t>
            </w:r>
            <w:r>
              <w:rPr>
                <w:rStyle w:val="IndexLink"/>
                <w:rtl w:val="true"/>
              </w:rPr>
              <w:tab/>
            </w:r>
            <w:r>
              <w:rPr>
                <w:rStyle w:val="IndexLink"/>
              </w:rPr>
              <w:t>180</w:t>
            </w:r>
          </w:hyperlink>
        </w:p>
        <w:p>
          <w:pPr>
            <w:pStyle w:val="Contents2"/>
            <w:tabs>
              <w:tab w:val="clear" w:pos="8743"/>
              <w:tab w:val="right" w:pos="9026" w:leader="dot"/>
            </w:tabs>
            <w:rPr/>
          </w:pPr>
          <w:hyperlink w:anchor="__RefHeading___Toc3352654_417432637">
            <w:r>
              <w:rPr>
                <w:webHidden/>
                <w:rStyle w:val="IndexLink"/>
                <w:rtl w:val="true"/>
              </w:rPr>
              <w:t xml:space="preserve">المسألة الثانية </w:t>
            </w:r>
            <w:r>
              <w:rPr>
                <w:rStyle w:val="IndexLink"/>
                <w:rtl w:val="true"/>
              </w:rPr>
              <w:t xml:space="preserve">: </w:t>
            </w:r>
            <w:r>
              <w:rPr>
                <w:rStyle w:val="IndexLink"/>
                <w:rtl w:val="true"/>
              </w:rPr>
              <w:t>في دوران الأمر بين الواجب العيني والكفائي</w:t>
            </w:r>
            <w:r>
              <w:rPr>
                <w:rStyle w:val="IndexLink"/>
                <w:rtl w:val="true"/>
              </w:rPr>
              <w:tab/>
            </w:r>
            <w:r>
              <w:rPr>
                <w:rStyle w:val="IndexLink"/>
              </w:rPr>
              <w:t>189</w:t>
            </w:r>
          </w:hyperlink>
        </w:p>
        <w:p>
          <w:pPr>
            <w:pStyle w:val="Contents2"/>
            <w:tabs>
              <w:tab w:val="clear" w:pos="8743"/>
              <w:tab w:val="right" w:pos="9026" w:leader="dot"/>
            </w:tabs>
            <w:rPr/>
          </w:pPr>
          <w:hyperlink w:anchor="__RefHeading___Toc3352656_417432637">
            <w:r>
              <w:rPr>
                <w:webHidden/>
                <w:rStyle w:val="IndexLink"/>
                <w:rtl w:val="true"/>
              </w:rPr>
              <w:t>في تصويرات الواجب الكفائي</w:t>
            </w:r>
            <w:r>
              <w:rPr>
                <w:rStyle w:val="IndexLink"/>
                <w:rtl w:val="true"/>
              </w:rPr>
              <w:tab/>
            </w:r>
            <w:r>
              <w:rPr>
                <w:rStyle w:val="IndexLink"/>
              </w:rPr>
              <w:t>189</w:t>
            </w:r>
          </w:hyperlink>
        </w:p>
        <w:p>
          <w:pPr>
            <w:pStyle w:val="Contents2"/>
            <w:tabs>
              <w:tab w:val="clear" w:pos="8743"/>
              <w:tab w:val="right" w:pos="9026" w:leader="dot"/>
            </w:tabs>
            <w:rPr/>
          </w:pPr>
          <w:hyperlink w:anchor="__RefHeading___Toc3352658_417432637">
            <w:r>
              <w:rPr>
                <w:webHidden/>
                <w:rStyle w:val="IndexLink"/>
                <w:rtl w:val="true"/>
              </w:rPr>
              <w:t>اختلاف الأصل باختلاف الوجوه في الكفائي</w:t>
            </w:r>
            <w:r>
              <w:rPr>
                <w:rStyle w:val="IndexLink"/>
                <w:rtl w:val="true"/>
              </w:rPr>
              <w:tab/>
            </w:r>
            <w:r>
              <w:rPr>
                <w:rStyle w:val="IndexLink"/>
              </w:rPr>
              <w:t>191</w:t>
            </w:r>
          </w:hyperlink>
        </w:p>
        <w:p>
          <w:pPr>
            <w:pStyle w:val="Contents2"/>
            <w:tabs>
              <w:tab w:val="clear" w:pos="8743"/>
              <w:tab w:val="right" w:pos="9026" w:leader="dot"/>
            </w:tabs>
            <w:rPr/>
          </w:pPr>
          <w:hyperlink w:anchor="__RefHeading___Toc3352660_417432637">
            <w:r>
              <w:rPr>
                <w:webHidden/>
                <w:rStyle w:val="IndexLink"/>
                <w:rtl w:val="true"/>
              </w:rPr>
              <w:t>دوران الأمر بين المحذورين</w:t>
            </w:r>
            <w:r>
              <w:rPr>
                <w:rStyle w:val="IndexLink"/>
                <w:rtl w:val="true"/>
              </w:rPr>
              <w:tab/>
            </w:r>
            <w:r>
              <w:rPr>
                <w:rStyle w:val="IndexLink"/>
              </w:rPr>
              <w:t>193</w:t>
            </w:r>
          </w:hyperlink>
        </w:p>
        <w:p>
          <w:pPr>
            <w:pStyle w:val="Contents2"/>
            <w:tabs>
              <w:tab w:val="clear" w:pos="8743"/>
              <w:tab w:val="right" w:pos="9026" w:leader="dot"/>
            </w:tabs>
            <w:rPr/>
          </w:pPr>
          <w:hyperlink w:anchor="__RefHeading___Toc3352662_417432637">
            <w:r>
              <w:rPr>
                <w:webHidden/>
                <w:rStyle w:val="IndexLink"/>
                <w:rtl w:val="true"/>
              </w:rPr>
              <w:t>نقد كلام المحقّق النائيني في عدم جريان الاُصول في المقام</w:t>
            </w:r>
            <w:r>
              <w:rPr>
                <w:rStyle w:val="IndexLink"/>
                <w:rtl w:val="true"/>
              </w:rPr>
              <w:tab/>
            </w:r>
            <w:r>
              <w:rPr>
                <w:rStyle w:val="IndexLink"/>
              </w:rPr>
              <w:t>193</w:t>
            </w:r>
          </w:hyperlink>
        </w:p>
        <w:p>
          <w:pPr>
            <w:pStyle w:val="Contents2"/>
            <w:tabs>
              <w:tab w:val="clear" w:pos="8743"/>
              <w:tab w:val="right" w:pos="9026" w:leader="dot"/>
            </w:tabs>
            <w:rPr/>
          </w:pPr>
          <w:hyperlink w:anchor="__RefHeading___Toc3352664_417432637">
            <w:r>
              <w:rPr>
                <w:webHidden/>
                <w:rStyle w:val="IndexLink"/>
                <w:rtl w:val="true"/>
              </w:rPr>
              <w:t xml:space="preserve">تنبيه </w:t>
            </w:r>
            <w:r>
              <w:rPr>
                <w:rStyle w:val="IndexLink"/>
                <w:rtl w:val="true"/>
              </w:rPr>
              <w:t xml:space="preserve">: </w:t>
            </w:r>
            <w:r>
              <w:rPr>
                <w:rStyle w:val="IndexLink"/>
                <w:rtl w:val="true"/>
              </w:rPr>
              <w:t>فيما لو كان لأحد الحكمين مزيّة</w:t>
            </w:r>
            <w:r>
              <w:rPr>
                <w:rStyle w:val="IndexLink"/>
                <w:rtl w:val="true"/>
              </w:rPr>
              <w:tab/>
            </w:r>
            <w:r>
              <w:rPr>
                <w:rStyle w:val="IndexLink"/>
              </w:rPr>
              <w:t>201</w:t>
            </w:r>
          </w:hyperlink>
        </w:p>
        <w:p>
          <w:pPr>
            <w:pStyle w:val="Contents2"/>
            <w:tabs>
              <w:tab w:val="clear" w:pos="8743"/>
              <w:tab w:val="right" w:pos="9026" w:leader="dot"/>
            </w:tabs>
            <w:rPr/>
          </w:pPr>
          <w:hyperlink w:anchor="__RefHeading___Toc3352666_417432637">
            <w:r>
              <w:rPr>
                <w:webHidden/>
                <w:rStyle w:val="IndexLink"/>
                <w:rtl w:val="true"/>
              </w:rPr>
              <w:t xml:space="preserve">تتميم </w:t>
            </w:r>
            <w:r>
              <w:rPr>
                <w:rStyle w:val="IndexLink"/>
                <w:rtl w:val="true"/>
              </w:rPr>
              <w:t xml:space="preserve">: </w:t>
            </w:r>
            <w:r>
              <w:rPr>
                <w:rStyle w:val="IndexLink"/>
                <w:rtl w:val="true"/>
              </w:rPr>
              <w:t>في كون التخيير استمرارياً</w:t>
            </w:r>
            <w:r>
              <w:rPr>
                <w:rStyle w:val="IndexLink"/>
                <w:rtl w:val="true"/>
              </w:rPr>
              <w:tab/>
            </w:r>
            <w:r>
              <w:rPr>
                <w:rStyle w:val="IndexLink"/>
              </w:rPr>
              <w:t>202</w:t>
            </w:r>
          </w:hyperlink>
        </w:p>
        <w:p>
          <w:pPr>
            <w:pStyle w:val="Contents2"/>
            <w:tabs>
              <w:tab w:val="clear" w:pos="8743"/>
              <w:tab w:val="right" w:pos="9026" w:leader="dot"/>
            </w:tabs>
            <w:rPr/>
          </w:pPr>
          <w:hyperlink w:anchor="__RefHeading___Toc3352668_417432637">
            <w:r>
              <w:rPr>
                <w:webHidden/>
                <w:rStyle w:val="IndexLink"/>
                <w:rtl w:val="true"/>
              </w:rPr>
              <w:t xml:space="preserve">المقام الأوّل </w:t>
            </w:r>
            <w:r>
              <w:rPr>
                <w:rStyle w:val="IndexLink"/>
                <w:rtl w:val="true"/>
              </w:rPr>
              <w:t xml:space="preserve">: </w:t>
            </w:r>
            <w:r>
              <w:rPr>
                <w:rStyle w:val="IndexLink"/>
                <w:rtl w:val="true"/>
              </w:rPr>
              <w:t>دوران الأمر بين المتباينين</w:t>
            </w:r>
            <w:r>
              <w:rPr>
                <w:rStyle w:val="IndexLink"/>
                <w:rtl w:val="true"/>
              </w:rPr>
              <w:tab/>
            </w:r>
            <w:r>
              <w:rPr>
                <w:rStyle w:val="IndexLink"/>
              </w:rPr>
              <w:t>204</w:t>
            </w:r>
          </w:hyperlink>
        </w:p>
        <w:p>
          <w:pPr>
            <w:pStyle w:val="Contents2"/>
            <w:tabs>
              <w:tab w:val="clear" w:pos="8743"/>
              <w:tab w:val="right" w:pos="9026" w:leader="dot"/>
            </w:tabs>
            <w:rPr/>
          </w:pPr>
          <w:hyperlink w:anchor="__RefHeading___Toc3352670_417432637">
            <w:r>
              <w:rPr>
                <w:webHidden/>
                <w:rStyle w:val="IndexLink"/>
                <w:rtl w:val="true"/>
              </w:rPr>
              <w:t>في مراتب الحكم</w:t>
            </w:r>
            <w:r>
              <w:rPr>
                <w:rStyle w:val="IndexLink"/>
                <w:rtl w:val="true"/>
              </w:rPr>
              <w:tab/>
            </w:r>
            <w:r>
              <w:rPr>
                <w:rStyle w:val="IndexLink"/>
              </w:rPr>
              <w:t>204</w:t>
            </w:r>
          </w:hyperlink>
        </w:p>
        <w:p>
          <w:pPr>
            <w:pStyle w:val="Contents2"/>
            <w:tabs>
              <w:tab w:val="clear" w:pos="8743"/>
              <w:tab w:val="right" w:pos="9026" w:leader="dot"/>
            </w:tabs>
            <w:rPr/>
          </w:pPr>
          <w:hyperlink w:anchor="__RefHeading___Toc3352672_417432637">
            <w:r>
              <w:rPr>
                <w:webHidden/>
                <w:rStyle w:val="IndexLink"/>
                <w:rtl w:val="true"/>
              </w:rPr>
              <w:t>حرمة المخالفة القطعية للعلم الإجمالي</w:t>
            </w:r>
            <w:r>
              <w:rPr>
                <w:rStyle w:val="IndexLink"/>
                <w:rtl w:val="true"/>
              </w:rPr>
              <w:tab/>
            </w:r>
            <w:r>
              <w:rPr>
                <w:rStyle w:val="IndexLink"/>
              </w:rPr>
              <w:t>206</w:t>
            </w:r>
          </w:hyperlink>
        </w:p>
        <w:p>
          <w:pPr>
            <w:pStyle w:val="Contents2"/>
            <w:tabs>
              <w:tab w:val="clear" w:pos="8743"/>
              <w:tab w:val="right" w:pos="9026" w:leader="dot"/>
            </w:tabs>
            <w:rPr/>
          </w:pPr>
          <w:hyperlink w:anchor="__RefHeading___Toc3352674_417432637">
            <w:r>
              <w:rPr>
                <w:webHidden/>
                <w:rStyle w:val="IndexLink"/>
                <w:rtl w:val="true"/>
              </w:rPr>
              <w:t>تفصيل بعض الأعاظم</w:t>
            </w:r>
            <w:r>
              <w:rPr>
                <w:rStyle w:val="IndexLink"/>
                <w:rtl w:val="true"/>
              </w:rPr>
              <w:tab/>
            </w:r>
            <w:r>
              <w:rPr>
                <w:rStyle w:val="IndexLink"/>
              </w:rPr>
              <w:t>212</w:t>
            </w:r>
          </w:hyperlink>
        </w:p>
        <w:p>
          <w:pPr>
            <w:pStyle w:val="Contents2"/>
            <w:tabs>
              <w:tab w:val="clear" w:pos="8743"/>
              <w:tab w:val="right" w:pos="9026" w:leader="dot"/>
            </w:tabs>
            <w:rPr/>
          </w:pPr>
          <w:hyperlink w:anchor="__RefHeading___Toc3352676_417432637">
            <w:r>
              <w:rPr>
                <w:webHidden/>
                <w:rStyle w:val="IndexLink"/>
                <w:rtl w:val="true"/>
              </w:rPr>
              <w:t>وجوب الموافقة القطعية</w:t>
            </w:r>
            <w:r>
              <w:rPr>
                <w:rStyle w:val="IndexLink"/>
                <w:rtl w:val="true"/>
              </w:rPr>
              <w:tab/>
            </w:r>
            <w:r>
              <w:rPr>
                <w:rStyle w:val="IndexLink"/>
              </w:rPr>
              <w:t>217</w:t>
            </w:r>
          </w:hyperlink>
        </w:p>
        <w:p>
          <w:pPr>
            <w:pStyle w:val="Contents2"/>
            <w:tabs>
              <w:tab w:val="clear" w:pos="8743"/>
              <w:tab w:val="right" w:pos="9026" w:leader="dot"/>
            </w:tabs>
            <w:rPr/>
          </w:pPr>
          <w:hyperlink w:anchor="__RefHeading___Toc3352678_417432637">
            <w:r>
              <w:rPr>
                <w:webHidden/>
                <w:rStyle w:val="IndexLink"/>
                <w:rtl w:val="true"/>
              </w:rPr>
              <w:t>استفادة الترخيص في بعض الأطراف من الأدلّة العامّة</w:t>
            </w:r>
            <w:r>
              <w:rPr>
                <w:rStyle w:val="IndexLink"/>
                <w:rtl w:val="true"/>
              </w:rPr>
              <w:tab/>
            </w:r>
            <w:r>
              <w:rPr>
                <w:rStyle w:val="IndexLink"/>
              </w:rPr>
              <w:t>217</w:t>
            </w:r>
          </w:hyperlink>
        </w:p>
        <w:p>
          <w:pPr>
            <w:pStyle w:val="Contents2"/>
            <w:tabs>
              <w:tab w:val="clear" w:pos="8743"/>
              <w:tab w:val="right" w:pos="9026" w:leader="dot"/>
            </w:tabs>
            <w:rPr/>
          </w:pPr>
          <w:hyperlink w:anchor="__RefHeading___Toc3352680_417432637">
            <w:r>
              <w:rPr>
                <w:webHidden/>
                <w:rStyle w:val="IndexLink"/>
                <w:rtl w:val="true"/>
              </w:rPr>
              <w:t>حول رجوع الترخيص في البعض إلى جعل البدلية</w:t>
            </w:r>
            <w:r>
              <w:rPr>
                <w:rStyle w:val="IndexLink"/>
                <w:rtl w:val="true"/>
              </w:rPr>
              <w:tab/>
            </w:r>
            <w:r>
              <w:rPr>
                <w:rStyle w:val="IndexLink"/>
              </w:rPr>
              <w:t>225</w:t>
            </w:r>
          </w:hyperlink>
        </w:p>
        <w:p>
          <w:pPr>
            <w:pStyle w:val="Contents2"/>
            <w:tabs>
              <w:tab w:val="clear" w:pos="8743"/>
              <w:tab w:val="right" w:pos="9026" w:leader="dot"/>
            </w:tabs>
            <w:rPr/>
          </w:pPr>
          <w:hyperlink w:anchor="__RefHeading___Toc3352682_417432637">
            <w:r>
              <w:rPr>
                <w:webHidden/>
                <w:rStyle w:val="IndexLink"/>
                <w:rtl w:val="true"/>
              </w:rPr>
              <w:t xml:space="preserve">التنبيه الأوّل </w:t>
            </w:r>
            <w:r>
              <w:rPr>
                <w:rStyle w:val="IndexLink"/>
                <w:rtl w:val="true"/>
              </w:rPr>
              <w:t xml:space="preserve">: </w:t>
            </w:r>
            <w:r>
              <w:rPr>
                <w:rStyle w:val="IndexLink"/>
                <w:rtl w:val="true"/>
              </w:rPr>
              <w:t>في الاضطرار إلى بعض أطراف المعلوم بالإجمال</w:t>
            </w:r>
            <w:r>
              <w:rPr>
                <w:rStyle w:val="IndexLink"/>
                <w:rtl w:val="true"/>
              </w:rPr>
              <w:tab/>
            </w:r>
            <w:r>
              <w:rPr>
                <w:rStyle w:val="IndexLink"/>
              </w:rPr>
              <w:t>227</w:t>
            </w:r>
          </w:hyperlink>
        </w:p>
        <w:p>
          <w:pPr>
            <w:pStyle w:val="Contents2"/>
            <w:tabs>
              <w:tab w:val="clear" w:pos="8743"/>
              <w:tab w:val="right" w:pos="9026" w:leader="dot"/>
            </w:tabs>
            <w:rPr/>
          </w:pPr>
          <w:hyperlink w:anchor="__RefHeading___Toc3352684_417432637">
            <w:r>
              <w:rPr>
                <w:webHidden/>
                <w:rStyle w:val="IndexLink"/>
                <w:rtl w:val="true"/>
              </w:rPr>
              <w:t>ردّ على المحقّق الخراساني</w:t>
            </w:r>
            <w:r>
              <w:rPr>
                <w:rStyle w:val="IndexLink"/>
                <w:rtl w:val="true"/>
              </w:rPr>
              <w:tab/>
            </w:r>
            <w:r>
              <w:rPr>
                <w:rStyle w:val="IndexLink"/>
              </w:rPr>
              <w:t>231</w:t>
            </w:r>
          </w:hyperlink>
        </w:p>
        <w:p>
          <w:pPr>
            <w:pStyle w:val="Contents2"/>
            <w:tabs>
              <w:tab w:val="clear" w:pos="8743"/>
              <w:tab w:val="right" w:pos="9026" w:leader="dot"/>
            </w:tabs>
            <w:rPr/>
          </w:pPr>
          <w:hyperlink w:anchor="__RefHeading___Toc3352686_417432637">
            <w:r>
              <w:rPr>
                <w:webHidden/>
                <w:rStyle w:val="IndexLink"/>
                <w:rtl w:val="true"/>
              </w:rPr>
              <w:t xml:space="preserve">التنبيه الثاني </w:t>
            </w:r>
            <w:r>
              <w:rPr>
                <w:rStyle w:val="IndexLink"/>
                <w:rtl w:val="true"/>
              </w:rPr>
              <w:t xml:space="preserve">: </w:t>
            </w:r>
            <w:r>
              <w:rPr>
                <w:rStyle w:val="IndexLink"/>
                <w:rtl w:val="true"/>
              </w:rPr>
              <w:t>في اشتراط الابتلاء بتمام الأطراف لتنجيز العلم الإجمالي</w:t>
            </w:r>
            <w:r>
              <w:rPr>
                <w:rStyle w:val="IndexLink"/>
                <w:rtl w:val="true"/>
              </w:rPr>
              <w:tab/>
            </w:r>
            <w:r>
              <w:rPr>
                <w:rStyle w:val="IndexLink"/>
              </w:rPr>
              <w:t>234</w:t>
            </w:r>
          </w:hyperlink>
        </w:p>
        <w:p>
          <w:pPr>
            <w:pStyle w:val="Contents2"/>
            <w:tabs>
              <w:tab w:val="clear" w:pos="8743"/>
              <w:tab w:val="right" w:pos="9026" w:leader="dot"/>
            </w:tabs>
            <w:rPr/>
          </w:pPr>
          <w:hyperlink w:anchor="__RefHeading___Toc3352688_417432637">
            <w:r>
              <w:rPr>
                <w:webHidden/>
                <w:rStyle w:val="IndexLink"/>
                <w:rtl w:val="true"/>
              </w:rPr>
              <w:t>الخلط بين الخطابات القانونية والشخصية</w:t>
            </w:r>
            <w:r>
              <w:rPr>
                <w:rStyle w:val="IndexLink"/>
                <w:rtl w:val="true"/>
              </w:rPr>
              <w:tab/>
            </w:r>
            <w:r>
              <w:rPr>
                <w:rStyle w:val="IndexLink"/>
              </w:rPr>
              <w:t>235</w:t>
            </w:r>
          </w:hyperlink>
        </w:p>
        <w:p>
          <w:pPr>
            <w:pStyle w:val="Contents2"/>
            <w:tabs>
              <w:tab w:val="clear" w:pos="8743"/>
              <w:tab w:val="right" w:pos="9026" w:leader="dot"/>
            </w:tabs>
            <w:rPr/>
          </w:pPr>
          <w:hyperlink w:anchor="__RefHeading___Toc3352690_417432637">
            <w:r>
              <w:rPr>
                <w:webHidden/>
                <w:rStyle w:val="IndexLink"/>
                <w:rtl w:val="true"/>
              </w:rPr>
              <w:t>الأصل عند الشكّ في الخروج عن محلّ الابتلاء</w:t>
            </w:r>
            <w:r>
              <w:rPr>
                <w:rStyle w:val="IndexLink"/>
                <w:rtl w:val="true"/>
              </w:rPr>
              <w:tab/>
            </w:r>
            <w:r>
              <w:rPr>
                <w:rStyle w:val="IndexLink"/>
              </w:rPr>
              <w:t>240</w:t>
            </w:r>
          </w:hyperlink>
        </w:p>
        <w:p>
          <w:pPr>
            <w:pStyle w:val="Contents2"/>
            <w:tabs>
              <w:tab w:val="clear" w:pos="8743"/>
              <w:tab w:val="right" w:pos="9026" w:leader="dot"/>
            </w:tabs>
            <w:rPr/>
          </w:pPr>
          <w:hyperlink w:anchor="__RefHeading___Toc3352692_417432637">
            <w:r>
              <w:rPr>
                <w:webHidden/>
                <w:rStyle w:val="IndexLink"/>
                <w:rtl w:val="true"/>
              </w:rPr>
              <w:t>استدلال المحقّق الحائري لوجوب الاحتياط</w:t>
            </w:r>
            <w:r>
              <w:rPr>
                <w:rStyle w:val="IndexLink"/>
                <w:rtl w:val="true"/>
              </w:rPr>
              <w:tab/>
            </w:r>
            <w:r>
              <w:rPr>
                <w:rStyle w:val="IndexLink"/>
              </w:rPr>
              <w:t>241</w:t>
            </w:r>
          </w:hyperlink>
        </w:p>
        <w:p>
          <w:pPr>
            <w:pStyle w:val="Contents2"/>
            <w:tabs>
              <w:tab w:val="clear" w:pos="8743"/>
              <w:tab w:val="right" w:pos="9026" w:leader="dot"/>
            </w:tabs>
            <w:rPr/>
          </w:pPr>
          <w:hyperlink w:anchor="__RefHeading___Toc3352694_417432637">
            <w:r>
              <w:rPr>
                <w:webHidden/>
                <w:rStyle w:val="IndexLink"/>
                <w:rtl w:val="true"/>
              </w:rPr>
              <w:t>استدلال الشيخ الأعظم والمحقّق النائيني لوجوب الاحتياط</w:t>
            </w:r>
            <w:r>
              <w:rPr>
                <w:rStyle w:val="IndexLink"/>
                <w:rtl w:val="true"/>
              </w:rPr>
              <w:tab/>
            </w:r>
            <w:r>
              <w:rPr>
                <w:rStyle w:val="IndexLink"/>
              </w:rPr>
              <w:t>242</w:t>
            </w:r>
          </w:hyperlink>
        </w:p>
        <w:p>
          <w:pPr>
            <w:pStyle w:val="Contents2"/>
            <w:tabs>
              <w:tab w:val="clear" w:pos="8743"/>
              <w:tab w:val="right" w:pos="9026" w:leader="dot"/>
            </w:tabs>
            <w:rPr/>
          </w:pPr>
          <w:hyperlink w:anchor="__RefHeading___Toc3352696_417432637">
            <w:r>
              <w:rPr>
                <w:webHidden/>
                <w:rStyle w:val="IndexLink"/>
                <w:rtl w:val="true"/>
              </w:rPr>
              <w:t xml:space="preserve">التنبيه الثالث </w:t>
            </w:r>
            <w:r>
              <w:rPr>
                <w:rStyle w:val="IndexLink"/>
                <w:rtl w:val="true"/>
              </w:rPr>
              <w:t xml:space="preserve">: </w:t>
            </w:r>
            <w:r>
              <w:rPr>
                <w:rStyle w:val="IndexLink"/>
                <w:rtl w:val="true"/>
              </w:rPr>
              <w:t>في الشبهة الغير المحصورة</w:t>
            </w:r>
            <w:r>
              <w:rPr>
                <w:rStyle w:val="IndexLink"/>
                <w:rtl w:val="true"/>
              </w:rPr>
              <w:tab/>
            </w:r>
            <w:r>
              <w:rPr>
                <w:rStyle w:val="IndexLink"/>
              </w:rPr>
              <w:t>248</w:t>
            </w:r>
          </w:hyperlink>
        </w:p>
        <w:p>
          <w:pPr>
            <w:pStyle w:val="Contents2"/>
            <w:tabs>
              <w:tab w:val="clear" w:pos="8743"/>
              <w:tab w:val="right" w:pos="9026" w:leader="dot"/>
            </w:tabs>
            <w:rPr/>
          </w:pPr>
          <w:hyperlink w:anchor="__RefHeading___Toc3352698_417432637">
            <w:r>
              <w:rPr>
                <w:webHidden/>
                <w:rStyle w:val="IndexLink"/>
                <w:rtl w:val="true"/>
              </w:rPr>
              <w:t>في الاستدلال على عدم وجوب الاحتياط في المقام</w:t>
            </w:r>
            <w:r>
              <w:rPr>
                <w:rStyle w:val="IndexLink"/>
                <w:rtl w:val="true"/>
              </w:rPr>
              <w:tab/>
            </w:r>
            <w:r>
              <w:rPr>
                <w:rStyle w:val="IndexLink"/>
              </w:rPr>
              <w:t>248</w:t>
            </w:r>
          </w:hyperlink>
        </w:p>
        <w:p>
          <w:pPr>
            <w:pStyle w:val="Contents2"/>
            <w:tabs>
              <w:tab w:val="clear" w:pos="8743"/>
              <w:tab w:val="right" w:pos="9026" w:leader="dot"/>
            </w:tabs>
            <w:rPr/>
          </w:pPr>
          <w:hyperlink w:anchor="__RefHeading___Toc3352700_417432637">
            <w:r>
              <w:rPr>
                <w:webHidden/>
                <w:rStyle w:val="IndexLink"/>
                <w:rtl w:val="true"/>
              </w:rPr>
              <w:t>ضابط الشبهة الغير المحصورة</w:t>
            </w:r>
            <w:r>
              <w:rPr>
                <w:rStyle w:val="IndexLink"/>
                <w:rtl w:val="true"/>
              </w:rPr>
              <w:tab/>
            </w:r>
            <w:r>
              <w:rPr>
                <w:rStyle w:val="IndexLink"/>
              </w:rPr>
              <w:t>250</w:t>
            </w:r>
          </w:hyperlink>
        </w:p>
        <w:p>
          <w:pPr>
            <w:pStyle w:val="Contents2"/>
            <w:tabs>
              <w:tab w:val="clear" w:pos="8743"/>
              <w:tab w:val="right" w:pos="9026" w:leader="dot"/>
            </w:tabs>
            <w:rPr/>
          </w:pPr>
          <w:hyperlink w:anchor="__RefHeading___Toc3352702_417432637">
            <w:r>
              <w:rPr>
                <w:webHidden/>
                <w:rStyle w:val="IndexLink"/>
                <w:rtl w:val="true"/>
              </w:rPr>
              <w:t>مناقشة بعض الأعاظم في ضابط الشبهة الغير المحصورة</w:t>
            </w:r>
            <w:r>
              <w:rPr>
                <w:rStyle w:val="IndexLink"/>
                <w:rtl w:val="true"/>
              </w:rPr>
              <w:tab/>
            </w:r>
            <w:r>
              <w:rPr>
                <w:rStyle w:val="IndexLink"/>
              </w:rPr>
              <w:t>255</w:t>
            </w:r>
          </w:hyperlink>
        </w:p>
        <w:p>
          <w:pPr>
            <w:pStyle w:val="Contents2"/>
            <w:tabs>
              <w:tab w:val="clear" w:pos="8743"/>
              <w:tab w:val="right" w:pos="9026" w:leader="dot"/>
            </w:tabs>
            <w:rPr/>
          </w:pPr>
          <w:hyperlink w:anchor="__RefHeading___Toc3352704_417432637">
            <w:r>
              <w:rPr>
                <w:webHidden/>
                <w:rStyle w:val="IndexLink"/>
                <w:rtl w:val="true"/>
              </w:rPr>
              <w:t xml:space="preserve">تنبيه </w:t>
            </w:r>
            <w:r>
              <w:rPr>
                <w:rStyle w:val="IndexLink"/>
                <w:rtl w:val="true"/>
              </w:rPr>
              <w:t xml:space="preserve">: </w:t>
            </w:r>
            <w:r>
              <w:rPr>
                <w:rStyle w:val="IndexLink"/>
                <w:rtl w:val="true"/>
              </w:rPr>
              <w:t>في سقوط حكم الشكّ البدوي بعد سقوط العلم الإجمالي</w:t>
            </w:r>
            <w:r>
              <w:rPr>
                <w:rStyle w:val="IndexLink"/>
                <w:rtl w:val="true"/>
              </w:rPr>
              <w:tab/>
            </w:r>
            <w:r>
              <w:rPr>
                <w:rStyle w:val="IndexLink"/>
              </w:rPr>
              <w:t>259</w:t>
            </w:r>
          </w:hyperlink>
        </w:p>
        <w:p>
          <w:pPr>
            <w:pStyle w:val="Contents2"/>
            <w:tabs>
              <w:tab w:val="clear" w:pos="8743"/>
              <w:tab w:val="right" w:pos="9026" w:leader="dot"/>
            </w:tabs>
            <w:rPr/>
          </w:pPr>
          <w:hyperlink w:anchor="__RefHeading___Toc3352706_417432637">
            <w:r>
              <w:rPr>
                <w:webHidden/>
                <w:rStyle w:val="IndexLink"/>
                <w:rtl w:val="true"/>
              </w:rPr>
              <w:t xml:space="preserve">التنبيه الرابع </w:t>
            </w:r>
            <w:r>
              <w:rPr>
                <w:rStyle w:val="IndexLink"/>
                <w:rtl w:val="true"/>
              </w:rPr>
              <w:t xml:space="preserve">: </w:t>
            </w:r>
            <w:r>
              <w:rPr>
                <w:rStyle w:val="IndexLink"/>
                <w:rtl w:val="true"/>
              </w:rPr>
              <w:t>في ملاقي بعض أطراف المعلوم بالإجمال</w:t>
            </w:r>
            <w:r>
              <w:rPr>
                <w:rStyle w:val="IndexLink"/>
                <w:rtl w:val="true"/>
              </w:rPr>
              <w:tab/>
            </w:r>
            <w:r>
              <w:rPr>
                <w:rStyle w:val="IndexLink"/>
              </w:rPr>
              <w:t>260</w:t>
            </w:r>
          </w:hyperlink>
        </w:p>
        <w:p>
          <w:pPr>
            <w:pStyle w:val="Contents2"/>
            <w:tabs>
              <w:tab w:val="clear" w:pos="8743"/>
              <w:tab w:val="right" w:pos="9026" w:leader="dot"/>
            </w:tabs>
            <w:rPr/>
          </w:pPr>
          <w:hyperlink w:anchor="__RefHeading___Toc3352708_417432637">
            <w:r>
              <w:rPr>
                <w:webHidden/>
                <w:rStyle w:val="IndexLink"/>
                <w:rtl w:val="true"/>
              </w:rPr>
              <w:t xml:space="preserve">الجهة الاُولى </w:t>
            </w:r>
            <w:r>
              <w:rPr>
                <w:rStyle w:val="IndexLink"/>
                <w:rtl w:val="true"/>
              </w:rPr>
              <w:t xml:space="preserve">: </w:t>
            </w:r>
            <w:r>
              <w:rPr>
                <w:rStyle w:val="IndexLink"/>
                <w:rtl w:val="true"/>
              </w:rPr>
              <w:t>في صور العلم بالملاقاة</w:t>
            </w:r>
            <w:r>
              <w:rPr>
                <w:rStyle w:val="IndexLink"/>
                <w:rtl w:val="true"/>
              </w:rPr>
              <w:tab/>
            </w:r>
            <w:r>
              <w:rPr>
                <w:rStyle w:val="IndexLink"/>
              </w:rPr>
              <w:t>260</w:t>
            </w:r>
          </w:hyperlink>
        </w:p>
        <w:p>
          <w:pPr>
            <w:pStyle w:val="Contents2"/>
            <w:tabs>
              <w:tab w:val="clear" w:pos="8743"/>
              <w:tab w:val="right" w:pos="9026" w:leader="dot"/>
            </w:tabs>
            <w:rPr/>
          </w:pPr>
          <w:hyperlink w:anchor="__RefHeading___Toc3352710_417432637">
            <w:r>
              <w:rPr>
                <w:webHidden/>
                <w:rStyle w:val="IndexLink"/>
                <w:rtl w:val="true"/>
              </w:rPr>
              <w:t xml:space="preserve">الجهة الثانية </w:t>
            </w:r>
            <w:r>
              <w:rPr>
                <w:rStyle w:val="IndexLink"/>
                <w:rtl w:val="true"/>
              </w:rPr>
              <w:t xml:space="preserve">: </w:t>
            </w:r>
            <w:r>
              <w:rPr>
                <w:rStyle w:val="IndexLink"/>
                <w:rtl w:val="true"/>
              </w:rPr>
              <w:t>مقتضى الأصل العقلي في صور الملاقاة</w:t>
            </w:r>
            <w:r>
              <w:rPr>
                <w:rStyle w:val="IndexLink"/>
                <w:rtl w:val="true"/>
              </w:rPr>
              <w:tab/>
            </w:r>
            <w:r>
              <w:rPr>
                <w:rStyle w:val="IndexLink"/>
              </w:rPr>
              <w:t>260</w:t>
            </w:r>
          </w:hyperlink>
        </w:p>
        <w:p>
          <w:pPr>
            <w:pStyle w:val="Contents2"/>
            <w:tabs>
              <w:tab w:val="clear" w:pos="8743"/>
              <w:tab w:val="right" w:pos="9026" w:leader="dot"/>
            </w:tabs>
            <w:rPr/>
          </w:pPr>
          <w:hyperlink w:anchor="__RefHeading___Toc3352712_417432637">
            <w:r>
              <w:rPr>
                <w:webHidden/>
                <w:rStyle w:val="IndexLink"/>
                <w:rtl w:val="true"/>
              </w:rPr>
              <w:t xml:space="preserve">الجهة الثالثة </w:t>
            </w:r>
            <w:r>
              <w:rPr>
                <w:rStyle w:val="IndexLink"/>
                <w:rtl w:val="true"/>
              </w:rPr>
              <w:t xml:space="preserve">: </w:t>
            </w:r>
            <w:r>
              <w:rPr>
                <w:rStyle w:val="IndexLink"/>
                <w:rtl w:val="true"/>
              </w:rPr>
              <w:t>مقتضى الأصل الشرعي في صور الملاقاة</w:t>
            </w:r>
            <w:r>
              <w:rPr>
                <w:rStyle w:val="IndexLink"/>
                <w:rtl w:val="true"/>
              </w:rPr>
              <w:tab/>
            </w:r>
            <w:r>
              <w:rPr>
                <w:rStyle w:val="IndexLink"/>
              </w:rPr>
              <w:t>266</w:t>
            </w:r>
          </w:hyperlink>
        </w:p>
        <w:p>
          <w:pPr>
            <w:pStyle w:val="Contents2"/>
            <w:tabs>
              <w:tab w:val="clear" w:pos="8743"/>
              <w:tab w:val="right" w:pos="9026" w:leader="dot"/>
            </w:tabs>
            <w:rPr/>
          </w:pPr>
          <w:hyperlink w:anchor="__RefHeading___Toc3352714_417432637">
            <w:r>
              <w:rPr>
                <w:webHidden/>
                <w:rStyle w:val="IndexLink"/>
                <w:rtl w:val="true"/>
              </w:rPr>
              <w:t>شبهة التفكيك بين قاعدتي الطهارة والحلّ في الملاقي</w:t>
            </w:r>
            <w:r>
              <w:rPr>
                <w:rStyle w:val="IndexLink"/>
                <w:rtl w:val="true"/>
              </w:rPr>
              <w:tab/>
            </w:r>
            <w:r>
              <w:rPr>
                <w:rStyle w:val="IndexLink"/>
              </w:rPr>
              <w:t>267</w:t>
            </w:r>
          </w:hyperlink>
        </w:p>
        <w:p>
          <w:pPr>
            <w:pStyle w:val="Contents2"/>
            <w:tabs>
              <w:tab w:val="clear" w:pos="8743"/>
              <w:tab w:val="right" w:pos="9026" w:leader="dot"/>
            </w:tabs>
            <w:rPr/>
          </w:pPr>
          <w:hyperlink w:anchor="__RefHeading___Toc3352716_417432637">
            <w:r>
              <w:rPr>
                <w:webHidden/>
                <w:rStyle w:val="IndexLink"/>
                <w:rtl w:val="true"/>
              </w:rPr>
              <w:t>جواب العلاّمة الحائري ومناقشته</w:t>
            </w:r>
            <w:r>
              <w:rPr>
                <w:rStyle w:val="IndexLink"/>
                <w:rtl w:val="true"/>
              </w:rPr>
              <w:tab/>
            </w:r>
            <w:r>
              <w:rPr>
                <w:rStyle w:val="IndexLink"/>
              </w:rPr>
              <w:t>270</w:t>
            </w:r>
          </w:hyperlink>
        </w:p>
        <w:p>
          <w:pPr>
            <w:pStyle w:val="Contents2"/>
            <w:tabs>
              <w:tab w:val="clear" w:pos="8743"/>
              <w:tab w:val="right" w:pos="9026" w:leader="dot"/>
            </w:tabs>
            <w:rPr/>
          </w:pPr>
          <w:hyperlink w:anchor="__RefHeading___Toc3352718_417432637">
            <w:r>
              <w:rPr>
                <w:webHidden/>
                <w:rStyle w:val="IndexLink"/>
                <w:rtl w:val="true"/>
              </w:rPr>
              <w:t xml:space="preserve">الجهة الرابعة </w:t>
            </w:r>
            <w:r>
              <w:rPr>
                <w:rStyle w:val="IndexLink"/>
                <w:rtl w:val="true"/>
              </w:rPr>
              <w:t xml:space="preserve">: </w:t>
            </w:r>
            <w:r>
              <w:rPr>
                <w:rStyle w:val="IndexLink"/>
                <w:rtl w:val="true"/>
              </w:rPr>
              <w:t>تعميم الأصل في الملاقي لجميع الصور</w:t>
            </w:r>
            <w:r>
              <w:rPr>
                <w:rStyle w:val="IndexLink"/>
                <w:rtl w:val="true"/>
              </w:rPr>
              <w:tab/>
            </w:r>
            <w:r>
              <w:rPr>
                <w:rStyle w:val="IndexLink"/>
              </w:rPr>
              <w:t>271</w:t>
            </w:r>
          </w:hyperlink>
        </w:p>
        <w:p>
          <w:pPr>
            <w:pStyle w:val="Contents2"/>
            <w:tabs>
              <w:tab w:val="clear" w:pos="8743"/>
              <w:tab w:val="right" w:pos="9026" w:leader="dot"/>
            </w:tabs>
            <w:rPr/>
          </w:pPr>
          <w:hyperlink w:anchor="__RefHeading___Toc3352720_417432637">
            <w:r>
              <w:rPr>
                <w:webHidden/>
                <w:rStyle w:val="IndexLink"/>
                <w:rtl w:val="true"/>
              </w:rPr>
              <w:t xml:space="preserve">الجهة الخامسة </w:t>
            </w:r>
            <w:r>
              <w:rPr>
                <w:rStyle w:val="IndexLink"/>
                <w:rtl w:val="true"/>
              </w:rPr>
              <w:t xml:space="preserve">: </w:t>
            </w:r>
            <w:r>
              <w:rPr>
                <w:rStyle w:val="IndexLink"/>
                <w:rtl w:val="true"/>
              </w:rPr>
              <w:t>في خروج الملاقى عن محلّ الابتلاء</w:t>
            </w:r>
            <w:r>
              <w:rPr>
                <w:rStyle w:val="IndexLink"/>
                <w:rtl w:val="true"/>
              </w:rPr>
              <w:tab/>
            </w:r>
            <w:r>
              <w:rPr>
                <w:rStyle w:val="IndexLink"/>
              </w:rPr>
              <w:t>272</w:t>
            </w:r>
          </w:hyperlink>
        </w:p>
        <w:p>
          <w:pPr>
            <w:pStyle w:val="Contents2"/>
            <w:tabs>
              <w:tab w:val="clear" w:pos="8743"/>
              <w:tab w:val="right" w:pos="9026" w:leader="dot"/>
            </w:tabs>
            <w:rPr/>
          </w:pPr>
          <w:hyperlink w:anchor="__RefHeading___Toc3352722_417432637">
            <w:r>
              <w:rPr>
                <w:webHidden/>
                <w:rStyle w:val="IndexLink"/>
                <w:rtl w:val="true"/>
              </w:rPr>
              <w:t xml:space="preserve">الجهة السادسة </w:t>
            </w:r>
            <w:r>
              <w:rPr>
                <w:rStyle w:val="IndexLink"/>
                <w:rtl w:val="true"/>
              </w:rPr>
              <w:t xml:space="preserve">: </w:t>
            </w:r>
            <w:r>
              <w:rPr>
                <w:rStyle w:val="IndexLink"/>
                <w:rtl w:val="true"/>
              </w:rPr>
              <w:t>وجوه اُخرى في وجوب الاجتناب عن الملاقي</w:t>
            </w:r>
            <w:r>
              <w:rPr>
                <w:rStyle w:val="IndexLink"/>
                <w:rtl w:val="true"/>
              </w:rPr>
              <w:tab/>
            </w:r>
            <w:r>
              <w:rPr>
                <w:rStyle w:val="IndexLink"/>
              </w:rPr>
              <w:t>273</w:t>
            </w:r>
          </w:hyperlink>
        </w:p>
        <w:p>
          <w:pPr>
            <w:pStyle w:val="Contents2"/>
            <w:tabs>
              <w:tab w:val="clear" w:pos="8743"/>
              <w:tab w:val="right" w:pos="9026" w:leader="dot"/>
            </w:tabs>
            <w:rPr/>
          </w:pPr>
          <w:hyperlink w:anchor="__RefHeading___Toc3352724_417432637">
            <w:r>
              <w:rPr>
                <w:webHidden/>
                <w:rStyle w:val="IndexLink"/>
                <w:rtl w:val="true"/>
              </w:rPr>
              <w:t xml:space="preserve">الجهة السابعة </w:t>
            </w:r>
            <w:r>
              <w:rPr>
                <w:rStyle w:val="IndexLink"/>
                <w:rtl w:val="true"/>
              </w:rPr>
              <w:t xml:space="preserve">: </w:t>
            </w:r>
            <w:r>
              <w:rPr>
                <w:rStyle w:val="IndexLink"/>
                <w:rtl w:val="true"/>
              </w:rPr>
              <w:t>الأصل عند الشكّ في اختصاص الملاقي بجعل مستقلّ</w:t>
            </w:r>
            <w:r>
              <w:rPr>
                <w:rStyle w:val="IndexLink"/>
                <w:rtl w:val="true"/>
              </w:rPr>
              <w:tab/>
            </w:r>
            <w:r>
              <w:rPr>
                <w:rStyle w:val="IndexLink"/>
              </w:rPr>
              <w:t>275</w:t>
            </w:r>
          </w:hyperlink>
        </w:p>
        <w:p>
          <w:pPr>
            <w:pStyle w:val="Contents2"/>
            <w:tabs>
              <w:tab w:val="clear" w:pos="8743"/>
              <w:tab w:val="right" w:pos="9026" w:leader="dot"/>
            </w:tabs>
            <w:rPr/>
          </w:pPr>
          <w:hyperlink w:anchor="__RefHeading___Toc3352726_417432637">
            <w:r>
              <w:rPr>
                <w:webHidden/>
                <w:rStyle w:val="IndexLink"/>
                <w:rtl w:val="true"/>
              </w:rPr>
              <w:t xml:space="preserve">تذييل استطرادي </w:t>
            </w:r>
            <w:r>
              <w:rPr>
                <w:rStyle w:val="IndexLink"/>
                <w:rtl w:val="true"/>
              </w:rPr>
              <w:t xml:space="preserve">: </w:t>
            </w:r>
            <w:r>
              <w:rPr>
                <w:rStyle w:val="IndexLink"/>
                <w:rtl w:val="true"/>
              </w:rPr>
              <w:t>في بيع أحد طرفي المعلوم بالإجمال حرمته</w:t>
            </w:r>
            <w:r>
              <w:rPr>
                <w:rStyle w:val="IndexLink"/>
                <w:rtl w:val="true"/>
              </w:rPr>
              <w:tab/>
            </w:r>
            <w:r>
              <w:rPr>
                <w:rStyle w:val="IndexLink"/>
              </w:rPr>
              <w:t>282</w:t>
            </w:r>
          </w:hyperlink>
        </w:p>
        <w:p>
          <w:pPr>
            <w:pStyle w:val="Contents2"/>
            <w:tabs>
              <w:tab w:val="clear" w:pos="8743"/>
              <w:tab w:val="right" w:pos="9026" w:leader="dot"/>
            </w:tabs>
            <w:rPr/>
          </w:pPr>
          <w:hyperlink w:anchor="__RefHeading___Toc3352728_417432637">
            <w:r>
              <w:rPr>
                <w:webHidden/>
                <w:rStyle w:val="IndexLink"/>
                <w:rtl w:val="true"/>
              </w:rPr>
              <w:t>حكم التوابع لأطراف المعلوم بالإجمال حرمته</w:t>
            </w:r>
            <w:r>
              <w:rPr>
                <w:rStyle w:val="IndexLink"/>
                <w:rtl w:val="true"/>
              </w:rPr>
              <w:tab/>
            </w:r>
            <w:r>
              <w:rPr>
                <w:rStyle w:val="IndexLink"/>
              </w:rPr>
              <w:t>285</w:t>
            </w:r>
          </w:hyperlink>
        </w:p>
        <w:p>
          <w:pPr>
            <w:pStyle w:val="Contents2"/>
            <w:tabs>
              <w:tab w:val="clear" w:pos="8743"/>
              <w:tab w:val="right" w:pos="9026" w:leader="dot"/>
            </w:tabs>
            <w:rPr/>
          </w:pPr>
          <w:hyperlink w:anchor="__RefHeading___Toc3352730_417432637">
            <w:r>
              <w:rPr>
                <w:webHidden/>
                <w:rStyle w:val="IndexLink"/>
                <w:rtl w:val="true"/>
              </w:rPr>
              <w:t>تنبيهات</w:t>
            </w:r>
            <w:r>
              <w:rPr>
                <w:rStyle w:val="IndexLink"/>
                <w:rtl w:val="true"/>
              </w:rPr>
              <w:tab/>
            </w:r>
            <w:r>
              <w:rPr>
                <w:rStyle w:val="IndexLink"/>
              </w:rPr>
              <w:t>290</w:t>
            </w:r>
          </w:hyperlink>
        </w:p>
        <w:p>
          <w:pPr>
            <w:pStyle w:val="Contents2"/>
            <w:tabs>
              <w:tab w:val="clear" w:pos="8743"/>
              <w:tab w:val="right" w:pos="9026" w:leader="dot"/>
            </w:tabs>
            <w:rPr/>
          </w:pPr>
          <w:hyperlink w:anchor="__RefHeading___Toc3352732_417432637">
            <w:r>
              <w:rPr>
                <w:webHidden/>
                <w:rStyle w:val="IndexLink"/>
                <w:rtl w:val="true"/>
              </w:rPr>
              <w:t xml:space="preserve">التنبيه الأوّل </w:t>
            </w:r>
            <w:r>
              <w:rPr>
                <w:rStyle w:val="IndexLink"/>
                <w:rtl w:val="true"/>
              </w:rPr>
              <w:t xml:space="preserve">: </w:t>
            </w:r>
            <w:r>
              <w:rPr>
                <w:rStyle w:val="IndexLink"/>
                <w:rtl w:val="true"/>
              </w:rPr>
              <w:t>في التفصيل بين الشرائط والموانع في وجوب الاحتياط</w:t>
            </w:r>
            <w:r>
              <w:rPr>
                <w:rStyle w:val="IndexLink"/>
                <w:rtl w:val="true"/>
              </w:rPr>
              <w:tab/>
            </w:r>
            <w:r>
              <w:rPr>
                <w:rStyle w:val="IndexLink"/>
              </w:rPr>
              <w:t>290</w:t>
            </w:r>
          </w:hyperlink>
        </w:p>
        <w:p>
          <w:pPr>
            <w:pStyle w:val="Contents2"/>
            <w:tabs>
              <w:tab w:val="clear" w:pos="8743"/>
              <w:tab w:val="right" w:pos="9026" w:leader="dot"/>
            </w:tabs>
            <w:rPr/>
          </w:pPr>
          <w:hyperlink w:anchor="__RefHeading___Toc3352734_417432637">
            <w:r>
              <w:rPr>
                <w:webHidden/>
                <w:rStyle w:val="IndexLink"/>
                <w:rtl w:val="true"/>
              </w:rPr>
              <w:t xml:space="preserve">التنبيه الثاني </w:t>
            </w:r>
            <w:r>
              <w:rPr>
                <w:rStyle w:val="IndexLink"/>
                <w:rtl w:val="true"/>
              </w:rPr>
              <w:t xml:space="preserve">: </w:t>
            </w:r>
            <w:r>
              <w:rPr>
                <w:rStyle w:val="IndexLink"/>
                <w:rtl w:val="true"/>
              </w:rPr>
              <w:t>في كيفية النيّة لو كان المعلوم بالإجمال أو المحتمل من العبادات</w:t>
            </w:r>
            <w:r>
              <w:rPr>
                <w:rStyle w:val="IndexLink"/>
                <w:rtl w:val="true"/>
              </w:rPr>
              <w:tab/>
            </w:r>
            <w:r>
              <w:rPr>
                <w:rStyle w:val="IndexLink"/>
              </w:rPr>
              <w:t>292</w:t>
            </w:r>
          </w:hyperlink>
        </w:p>
        <w:p>
          <w:pPr>
            <w:pStyle w:val="Contents2"/>
            <w:tabs>
              <w:tab w:val="clear" w:pos="8743"/>
              <w:tab w:val="right" w:pos="9026" w:leader="dot"/>
            </w:tabs>
            <w:rPr/>
          </w:pPr>
          <w:hyperlink w:anchor="__RefHeading___Toc3352736_417432637">
            <w:r>
              <w:rPr>
                <w:webHidden/>
                <w:rStyle w:val="IndexLink"/>
                <w:rtl w:val="true"/>
              </w:rPr>
              <w:t xml:space="preserve">التنبيه الثالث </w:t>
            </w:r>
            <w:r>
              <w:rPr>
                <w:rStyle w:val="IndexLink"/>
                <w:rtl w:val="true"/>
              </w:rPr>
              <w:t xml:space="preserve">: </w:t>
            </w:r>
            <w:r>
              <w:rPr>
                <w:rStyle w:val="IndexLink"/>
                <w:rtl w:val="true"/>
              </w:rPr>
              <w:t>حكم ما لو كان المعلوم بالإجمال أمرين مترتّبين شرعاً</w:t>
            </w:r>
            <w:r>
              <w:rPr>
                <w:rStyle w:val="IndexLink"/>
                <w:rtl w:val="true"/>
              </w:rPr>
              <w:tab/>
            </w:r>
            <w:r>
              <w:rPr>
                <w:rStyle w:val="IndexLink"/>
              </w:rPr>
              <w:t>294</w:t>
            </w:r>
          </w:hyperlink>
        </w:p>
        <w:p>
          <w:pPr>
            <w:pStyle w:val="Contents2"/>
            <w:tabs>
              <w:tab w:val="clear" w:pos="8743"/>
              <w:tab w:val="right" w:pos="9026" w:leader="dot"/>
            </w:tabs>
            <w:rPr/>
          </w:pPr>
          <w:hyperlink w:anchor="__RefHeading___Toc3352738_417432637">
            <w:r>
              <w:rPr>
                <w:webHidden/>
                <w:rStyle w:val="IndexLink"/>
                <w:rtl w:val="true"/>
              </w:rPr>
              <w:t>المقام الثاني</w:t>
            </w:r>
            <w:r>
              <w:rPr>
                <w:rStyle w:val="IndexLink"/>
                <w:rtl w:val="true"/>
              </w:rPr>
              <w:t xml:space="preserve">: </w:t>
            </w:r>
            <w:r>
              <w:rPr>
                <w:rStyle w:val="IndexLink"/>
                <w:rtl w:val="true"/>
              </w:rPr>
              <w:t>دوران الأمر بين الأقلّ والأكثر الارتباطيين</w:t>
            </w:r>
            <w:r>
              <w:rPr>
                <w:rStyle w:val="IndexLink"/>
                <w:rtl w:val="true"/>
              </w:rPr>
              <w:tab/>
            </w:r>
            <w:r>
              <w:rPr>
                <w:rStyle w:val="IndexLink"/>
              </w:rPr>
              <w:t>297</w:t>
            </w:r>
          </w:hyperlink>
        </w:p>
        <w:p>
          <w:pPr>
            <w:pStyle w:val="Contents2"/>
            <w:tabs>
              <w:tab w:val="clear" w:pos="8743"/>
              <w:tab w:val="right" w:pos="9026" w:leader="dot"/>
            </w:tabs>
            <w:rPr/>
          </w:pPr>
          <w:hyperlink w:anchor="__RefHeading___Toc3352740_417432637">
            <w:r>
              <w:rPr>
                <w:webHidden/>
                <w:rStyle w:val="IndexLink"/>
                <w:rtl w:val="true"/>
              </w:rPr>
              <w:t>في جريان البراءة العقلية</w:t>
            </w:r>
            <w:r>
              <w:rPr>
                <w:rStyle w:val="IndexLink"/>
                <w:rtl w:val="true"/>
              </w:rPr>
              <w:tab/>
            </w:r>
            <w:r>
              <w:rPr>
                <w:rStyle w:val="IndexLink"/>
              </w:rPr>
              <w:t>298</w:t>
            </w:r>
          </w:hyperlink>
        </w:p>
        <w:p>
          <w:pPr>
            <w:pStyle w:val="Contents2"/>
            <w:tabs>
              <w:tab w:val="clear" w:pos="8743"/>
              <w:tab w:val="right" w:pos="9026" w:leader="dot"/>
            </w:tabs>
            <w:rPr/>
          </w:pPr>
          <w:hyperlink w:anchor="__RefHeading___Toc3352742_417432637">
            <w:r>
              <w:rPr>
                <w:webHidden/>
                <w:rStyle w:val="IndexLink"/>
                <w:rtl w:val="true"/>
              </w:rPr>
              <w:t>الإشكالات السبعة على جريان البراءة عن الأكثر ودفعها</w:t>
            </w:r>
            <w:r>
              <w:rPr>
                <w:rStyle w:val="IndexLink"/>
                <w:rtl w:val="true"/>
              </w:rPr>
              <w:tab/>
            </w:r>
            <w:r>
              <w:rPr>
                <w:rStyle w:val="IndexLink"/>
              </w:rPr>
              <w:t>301</w:t>
            </w:r>
          </w:hyperlink>
        </w:p>
        <w:p>
          <w:pPr>
            <w:pStyle w:val="Contents3"/>
            <w:tabs>
              <w:tab w:val="clear" w:pos="8459"/>
              <w:tab w:val="right" w:pos="9026" w:leader="dot"/>
            </w:tabs>
            <w:rPr/>
          </w:pPr>
          <w:hyperlink w:anchor="__RefHeading___Toc3352744_417432637">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3352746_417432637">
            <w:r>
              <w:rPr>
                <w:webHidden/>
                <w:rStyle w:val="IndexLink"/>
                <w:rtl w:val="true"/>
              </w:rPr>
              <w:t xml:space="preserve">الإشكال الأوّل </w:t>
            </w:r>
            <w:r>
              <w:rPr>
                <w:rStyle w:val="IndexLink"/>
                <w:rtl w:val="true"/>
              </w:rPr>
              <w:t>:</w:t>
              <w:tab/>
            </w:r>
            <w:r>
              <w:rPr>
                <w:rStyle w:val="IndexLink"/>
              </w:rPr>
              <w:t>301</w:t>
            </w:r>
          </w:hyperlink>
        </w:p>
        <w:p>
          <w:pPr>
            <w:pStyle w:val="Contents3"/>
            <w:tabs>
              <w:tab w:val="clear" w:pos="8459"/>
              <w:tab w:val="right" w:pos="9026" w:leader="dot"/>
            </w:tabs>
            <w:rPr/>
          </w:pPr>
          <w:hyperlink w:anchor="__RefHeading___Toc3352748_417432637">
            <w:r>
              <w:rPr>
                <w:webHidden/>
                <w:rStyle w:val="IndexLink"/>
                <w:rtl w:val="true"/>
              </w:rPr>
              <w:t xml:space="preserve">الإشكال الثاني </w:t>
            </w:r>
            <w:r>
              <w:rPr>
                <w:rStyle w:val="IndexLink"/>
                <w:rtl w:val="true"/>
              </w:rPr>
              <w:t>:</w:t>
              <w:tab/>
            </w:r>
            <w:r>
              <w:rPr>
                <w:rStyle w:val="IndexLink"/>
              </w:rPr>
              <w:t>307</w:t>
            </w:r>
          </w:hyperlink>
        </w:p>
        <w:p>
          <w:pPr>
            <w:pStyle w:val="Contents3"/>
            <w:tabs>
              <w:tab w:val="clear" w:pos="8459"/>
              <w:tab w:val="right" w:pos="9026" w:leader="dot"/>
            </w:tabs>
            <w:rPr/>
          </w:pPr>
          <w:hyperlink w:anchor="__RefHeading___Toc3352750_417432637">
            <w:r>
              <w:rPr>
                <w:webHidden/>
                <w:rStyle w:val="IndexLink"/>
                <w:rtl w:val="true"/>
              </w:rPr>
              <w:t xml:space="preserve">الإشكال الثالث </w:t>
            </w:r>
            <w:r>
              <w:rPr>
                <w:rStyle w:val="IndexLink"/>
                <w:rtl w:val="true"/>
              </w:rPr>
              <w:t>:</w:t>
              <w:tab/>
            </w:r>
            <w:r>
              <w:rPr>
                <w:rStyle w:val="IndexLink"/>
              </w:rPr>
              <w:t>308</w:t>
            </w:r>
          </w:hyperlink>
        </w:p>
        <w:p>
          <w:pPr>
            <w:pStyle w:val="Contents3"/>
            <w:tabs>
              <w:tab w:val="clear" w:pos="8459"/>
              <w:tab w:val="right" w:pos="9026" w:leader="dot"/>
            </w:tabs>
            <w:rPr/>
          </w:pPr>
          <w:hyperlink w:anchor="__RefHeading___Toc3352752_417432637">
            <w:r>
              <w:rPr>
                <w:webHidden/>
                <w:rStyle w:val="IndexLink"/>
                <w:rtl w:val="true"/>
              </w:rPr>
              <w:t xml:space="preserve">الإشكال الرابع </w:t>
            </w:r>
            <w:r>
              <w:rPr>
                <w:rStyle w:val="IndexLink"/>
                <w:rtl w:val="true"/>
              </w:rPr>
              <w:t>:</w:t>
              <w:tab/>
            </w:r>
            <w:r>
              <w:rPr>
                <w:rStyle w:val="IndexLink"/>
              </w:rPr>
              <w:t>310</w:t>
            </w:r>
          </w:hyperlink>
        </w:p>
        <w:p>
          <w:pPr>
            <w:pStyle w:val="Contents3"/>
            <w:tabs>
              <w:tab w:val="clear" w:pos="8459"/>
              <w:tab w:val="right" w:pos="9026" w:leader="dot"/>
            </w:tabs>
            <w:rPr/>
          </w:pPr>
          <w:hyperlink w:anchor="__RefHeading___Toc3352754_417432637">
            <w:r>
              <w:rPr>
                <w:webHidden/>
                <w:rStyle w:val="IndexLink"/>
                <w:rtl w:val="true"/>
              </w:rPr>
              <w:t xml:space="preserve">الإشكال الخامس </w:t>
            </w:r>
            <w:r>
              <w:rPr>
                <w:rStyle w:val="IndexLink"/>
                <w:rtl w:val="true"/>
              </w:rPr>
              <w:t>:</w:t>
              <w:tab/>
            </w:r>
            <w:r>
              <w:rPr>
                <w:rStyle w:val="IndexLink"/>
              </w:rPr>
              <w:t>314</w:t>
            </w:r>
          </w:hyperlink>
        </w:p>
        <w:p>
          <w:pPr>
            <w:pStyle w:val="Contents3"/>
            <w:tabs>
              <w:tab w:val="clear" w:pos="8459"/>
              <w:tab w:val="right" w:pos="9026" w:leader="dot"/>
            </w:tabs>
            <w:rPr/>
          </w:pPr>
          <w:hyperlink w:anchor="__RefHeading___Toc3352756_417432637">
            <w:r>
              <w:rPr>
                <w:webHidden/>
                <w:rStyle w:val="IndexLink"/>
                <w:rtl w:val="true"/>
              </w:rPr>
              <w:t xml:space="preserve">الإشكال السادس </w:t>
            </w:r>
            <w:r>
              <w:rPr>
                <w:rStyle w:val="IndexLink"/>
                <w:rtl w:val="true"/>
              </w:rPr>
              <w:t>:</w:t>
              <w:tab/>
            </w:r>
            <w:r>
              <w:rPr>
                <w:rStyle w:val="IndexLink"/>
              </w:rPr>
              <w:t>316</w:t>
            </w:r>
          </w:hyperlink>
        </w:p>
        <w:p>
          <w:pPr>
            <w:pStyle w:val="Contents3"/>
            <w:tabs>
              <w:tab w:val="clear" w:pos="8459"/>
              <w:tab w:val="right" w:pos="9026" w:leader="dot"/>
            </w:tabs>
            <w:rPr/>
          </w:pPr>
          <w:hyperlink w:anchor="__RefHeading___Toc3352758_417432637">
            <w:r>
              <w:rPr>
                <w:webHidden/>
                <w:rStyle w:val="IndexLink"/>
                <w:rtl w:val="true"/>
              </w:rPr>
              <w:t xml:space="preserve">الإشكال السابع </w:t>
            </w:r>
            <w:r>
              <w:rPr>
                <w:rStyle w:val="IndexLink"/>
                <w:rtl w:val="true"/>
              </w:rPr>
              <w:t>:</w:t>
              <w:tab/>
            </w:r>
            <w:r>
              <w:rPr>
                <w:rStyle w:val="IndexLink"/>
              </w:rPr>
              <w:t>321</w:t>
            </w:r>
          </w:hyperlink>
        </w:p>
        <w:p>
          <w:pPr>
            <w:pStyle w:val="Contents2"/>
            <w:tabs>
              <w:tab w:val="clear" w:pos="8743"/>
              <w:tab w:val="right" w:pos="9026" w:leader="dot"/>
            </w:tabs>
            <w:rPr/>
          </w:pPr>
          <w:hyperlink w:anchor="__RefHeading___Toc3352760_417432637">
            <w:r>
              <w:rPr>
                <w:webHidden/>
                <w:rStyle w:val="IndexLink"/>
                <w:rtl w:val="true"/>
              </w:rPr>
              <w:t>جريان البراءة الشرعية في المقام</w:t>
            </w:r>
            <w:r>
              <w:rPr>
                <w:rStyle w:val="IndexLink"/>
                <w:rtl w:val="true"/>
              </w:rPr>
              <w:tab/>
            </w:r>
            <w:r>
              <w:rPr>
                <w:rStyle w:val="IndexLink"/>
              </w:rPr>
              <w:t>323</w:t>
            </w:r>
          </w:hyperlink>
        </w:p>
        <w:p>
          <w:pPr>
            <w:pStyle w:val="Contents2"/>
            <w:tabs>
              <w:tab w:val="clear" w:pos="8743"/>
              <w:tab w:val="right" w:pos="9026" w:leader="dot"/>
            </w:tabs>
            <w:rPr/>
          </w:pPr>
          <w:hyperlink w:anchor="__RefHeading___Toc3352762_417432637">
            <w:r>
              <w:rPr>
                <w:webHidden/>
                <w:rStyle w:val="IndexLink"/>
                <w:rtl w:val="true"/>
              </w:rPr>
              <w:t>دوران الأمر بين المطلق والمشروط</w:t>
            </w:r>
            <w:r>
              <w:rPr>
                <w:rStyle w:val="IndexLink"/>
                <w:rtl w:val="true"/>
              </w:rPr>
              <w:tab/>
            </w:r>
            <w:r>
              <w:rPr>
                <w:rStyle w:val="IndexLink"/>
              </w:rPr>
              <w:t>328</w:t>
            </w:r>
          </w:hyperlink>
        </w:p>
        <w:p>
          <w:pPr>
            <w:pStyle w:val="Contents2"/>
            <w:tabs>
              <w:tab w:val="clear" w:pos="8743"/>
              <w:tab w:val="right" w:pos="9026" w:leader="dot"/>
            </w:tabs>
            <w:rPr/>
          </w:pPr>
          <w:hyperlink w:anchor="__RefHeading___Toc3352764_417432637">
            <w:r>
              <w:rPr>
                <w:webHidden/>
                <w:rStyle w:val="IndexLink"/>
                <w:rtl w:val="true"/>
              </w:rPr>
              <w:t xml:space="preserve">الأمر الأوّل </w:t>
            </w:r>
            <w:r>
              <w:rPr>
                <w:rStyle w:val="IndexLink"/>
                <w:rtl w:val="true"/>
              </w:rPr>
              <w:t xml:space="preserve">: </w:t>
            </w:r>
            <w:r>
              <w:rPr>
                <w:rStyle w:val="IndexLink"/>
                <w:rtl w:val="true"/>
              </w:rPr>
              <w:t>في دوران الأمر بين الأقلّ والأكثر في الأسباب والمحصّلات</w:t>
            </w:r>
            <w:r>
              <w:rPr>
                <w:rStyle w:val="IndexLink"/>
                <w:rtl w:val="true"/>
              </w:rPr>
              <w:tab/>
            </w:r>
            <w:r>
              <w:rPr>
                <w:rStyle w:val="IndexLink"/>
              </w:rPr>
              <w:t>335</w:t>
            </w:r>
          </w:hyperlink>
        </w:p>
        <w:p>
          <w:pPr>
            <w:pStyle w:val="Contents2"/>
            <w:tabs>
              <w:tab w:val="clear" w:pos="8743"/>
              <w:tab w:val="right" w:pos="9026" w:leader="dot"/>
            </w:tabs>
            <w:rPr/>
          </w:pPr>
          <w:hyperlink w:anchor="__RefHeading___Toc3352766_417432637">
            <w:r>
              <w:rPr>
                <w:webHidden/>
                <w:rStyle w:val="IndexLink"/>
                <w:rtl w:val="true"/>
              </w:rPr>
              <w:t>عدم جريان البراءة في الأسباب العقلية والعادية</w:t>
            </w:r>
            <w:r>
              <w:rPr>
                <w:rStyle w:val="IndexLink"/>
                <w:rtl w:val="true"/>
              </w:rPr>
              <w:tab/>
            </w:r>
            <w:r>
              <w:rPr>
                <w:rStyle w:val="IndexLink"/>
              </w:rPr>
              <w:t>336</w:t>
            </w:r>
          </w:hyperlink>
        </w:p>
        <w:p>
          <w:pPr>
            <w:pStyle w:val="Contents2"/>
            <w:tabs>
              <w:tab w:val="clear" w:pos="8743"/>
              <w:tab w:val="right" w:pos="9026" w:leader="dot"/>
            </w:tabs>
            <w:rPr/>
          </w:pPr>
          <w:hyperlink w:anchor="__RefHeading___Toc3352768_417432637">
            <w:r>
              <w:rPr>
                <w:webHidden/>
                <w:rStyle w:val="IndexLink"/>
                <w:rtl w:val="true"/>
              </w:rPr>
              <w:t>عدم جريان البراءة في الأسباب الشرعية</w:t>
            </w:r>
            <w:r>
              <w:rPr>
                <w:rStyle w:val="IndexLink"/>
                <w:rtl w:val="true"/>
              </w:rPr>
              <w:tab/>
            </w:r>
            <w:r>
              <w:rPr>
                <w:rStyle w:val="IndexLink"/>
              </w:rPr>
              <w:t>336</w:t>
            </w:r>
          </w:hyperlink>
        </w:p>
        <w:p>
          <w:pPr>
            <w:pStyle w:val="Contents2"/>
            <w:tabs>
              <w:tab w:val="clear" w:pos="8743"/>
              <w:tab w:val="right" w:pos="9026" w:leader="dot"/>
            </w:tabs>
            <w:rPr/>
          </w:pPr>
          <w:hyperlink w:anchor="__RefHeading___Toc3352770_417432637">
            <w:r>
              <w:rPr>
                <w:webHidden/>
                <w:rStyle w:val="IndexLink"/>
                <w:rtl w:val="true"/>
              </w:rPr>
              <w:t xml:space="preserve">الأمر الثاني </w:t>
            </w:r>
            <w:r>
              <w:rPr>
                <w:rStyle w:val="IndexLink"/>
                <w:rtl w:val="true"/>
              </w:rPr>
              <w:t xml:space="preserve">: </w:t>
            </w:r>
            <w:r>
              <w:rPr>
                <w:rStyle w:val="IndexLink"/>
                <w:rtl w:val="true"/>
              </w:rPr>
              <w:t>في دوران الأمر بين الأقلّ والأكثر الارتباطي في الشبهة الموضوعية</w:t>
            </w:r>
            <w:r>
              <w:rPr>
                <w:rStyle w:val="IndexLink"/>
                <w:rtl w:val="true"/>
              </w:rPr>
              <w:tab/>
            </w:r>
            <w:r>
              <w:rPr>
                <w:rStyle w:val="IndexLink"/>
              </w:rPr>
              <w:t>342</w:t>
            </w:r>
          </w:hyperlink>
        </w:p>
        <w:p>
          <w:pPr>
            <w:pStyle w:val="Contents2"/>
            <w:tabs>
              <w:tab w:val="clear" w:pos="8743"/>
              <w:tab w:val="right" w:pos="9026" w:leader="dot"/>
            </w:tabs>
            <w:rPr/>
          </w:pPr>
          <w:hyperlink w:anchor="__RefHeading___Toc3352772_417432637">
            <w:r>
              <w:rPr>
                <w:webHidden/>
                <w:rStyle w:val="IndexLink"/>
                <w:rtl w:val="true"/>
              </w:rPr>
              <w:t>الشكّ في الجزئية أو الشرطية في حال النسيان</w:t>
            </w:r>
            <w:r>
              <w:rPr>
                <w:rStyle w:val="IndexLink"/>
                <w:rtl w:val="true"/>
              </w:rPr>
              <w:tab/>
            </w:r>
            <w:r>
              <w:rPr>
                <w:rStyle w:val="IndexLink"/>
              </w:rPr>
              <w:t>351</w:t>
            </w:r>
          </w:hyperlink>
        </w:p>
        <w:p>
          <w:pPr>
            <w:pStyle w:val="Contents2"/>
            <w:tabs>
              <w:tab w:val="clear" w:pos="8743"/>
              <w:tab w:val="right" w:pos="9026" w:leader="dot"/>
            </w:tabs>
            <w:rPr/>
          </w:pPr>
          <w:hyperlink w:anchor="__RefHeading___Toc3352774_417432637">
            <w:r>
              <w:rPr>
                <w:webHidden/>
                <w:rStyle w:val="IndexLink"/>
                <w:rtl w:val="true"/>
              </w:rPr>
              <w:t xml:space="preserve">المقام الأوّل </w:t>
            </w:r>
            <w:r>
              <w:rPr>
                <w:rStyle w:val="IndexLink"/>
                <w:rtl w:val="true"/>
              </w:rPr>
              <w:t xml:space="preserve">: </w:t>
            </w:r>
            <w:r>
              <w:rPr>
                <w:rStyle w:val="IndexLink"/>
                <w:rtl w:val="true"/>
              </w:rPr>
              <w:t>فيما يقتضيه الأصل العقلي بالنسبة إلى النقيصة السهوية</w:t>
            </w:r>
            <w:r>
              <w:rPr>
                <w:rStyle w:val="IndexLink"/>
                <w:rtl w:val="true"/>
              </w:rPr>
              <w:tab/>
            </w:r>
            <w:r>
              <w:rPr>
                <w:rStyle w:val="IndexLink"/>
              </w:rPr>
              <w:t>351</w:t>
            </w:r>
          </w:hyperlink>
        </w:p>
        <w:p>
          <w:pPr>
            <w:pStyle w:val="Contents2"/>
            <w:tabs>
              <w:tab w:val="clear" w:pos="8743"/>
              <w:tab w:val="right" w:pos="9026" w:leader="dot"/>
            </w:tabs>
            <w:rPr/>
          </w:pPr>
          <w:hyperlink w:anchor="__RefHeading___Toc3352776_417432637">
            <w:r>
              <w:rPr>
                <w:webHidden/>
                <w:rStyle w:val="IndexLink"/>
                <w:rtl w:val="true"/>
              </w:rPr>
              <w:t>محطّ البحث في المقام</w:t>
            </w:r>
            <w:r>
              <w:rPr>
                <w:rStyle w:val="IndexLink"/>
                <w:rtl w:val="true"/>
              </w:rPr>
              <w:tab/>
            </w:r>
            <w:r>
              <w:rPr>
                <w:rStyle w:val="IndexLink"/>
              </w:rPr>
              <w:t>352</w:t>
            </w:r>
          </w:hyperlink>
        </w:p>
        <w:p>
          <w:pPr>
            <w:pStyle w:val="Contents2"/>
            <w:tabs>
              <w:tab w:val="clear" w:pos="8743"/>
              <w:tab w:val="right" w:pos="9026" w:leader="dot"/>
            </w:tabs>
            <w:rPr/>
          </w:pPr>
          <w:hyperlink w:anchor="__RefHeading___Toc3352778_417432637">
            <w:r>
              <w:rPr>
                <w:webHidden/>
                <w:rStyle w:val="IndexLink"/>
                <w:rtl w:val="true"/>
              </w:rPr>
              <w:t>إشکال الشيخ الأعظم علی جریان البراءة بعدم إمکان خطاب الناسي</w:t>
            </w:r>
            <w:r>
              <w:rPr>
                <w:rStyle w:val="IndexLink"/>
                <w:rtl w:val="true"/>
              </w:rPr>
              <w:tab/>
            </w:r>
            <w:r>
              <w:rPr>
                <w:rStyle w:val="IndexLink"/>
              </w:rPr>
              <w:t>352</w:t>
            </w:r>
          </w:hyperlink>
        </w:p>
        <w:p>
          <w:pPr>
            <w:pStyle w:val="Contents2"/>
            <w:tabs>
              <w:tab w:val="clear" w:pos="8743"/>
              <w:tab w:val="right" w:pos="9026" w:leader="dot"/>
            </w:tabs>
            <w:rPr/>
          </w:pPr>
          <w:hyperlink w:anchor="__RefHeading___Toc3352780_417432637">
            <w:r>
              <w:rPr>
                <w:webHidden/>
                <w:rStyle w:val="IndexLink"/>
                <w:rtl w:val="true"/>
              </w:rPr>
              <w:t>التحقيق في الجواب وذكر أجوبة القوم</w:t>
            </w:r>
            <w:r>
              <w:rPr>
                <w:rStyle w:val="IndexLink"/>
                <w:rtl w:val="true"/>
              </w:rPr>
              <w:tab/>
            </w:r>
            <w:r>
              <w:rPr>
                <w:rStyle w:val="IndexLink"/>
              </w:rPr>
              <w:t>355</w:t>
            </w:r>
          </w:hyperlink>
        </w:p>
        <w:p>
          <w:pPr>
            <w:pStyle w:val="Contents2"/>
            <w:tabs>
              <w:tab w:val="clear" w:pos="8743"/>
              <w:tab w:val="right" w:pos="9026" w:leader="dot"/>
            </w:tabs>
            <w:rPr/>
          </w:pPr>
          <w:hyperlink w:anchor="__RefHeading___Toc3352782_417432637">
            <w:r>
              <w:rPr>
                <w:webHidden/>
                <w:rStyle w:val="IndexLink"/>
                <w:rtl w:val="true"/>
              </w:rPr>
              <w:t>في ردّ التفصيل بين نسيان المستوعب للوقت وعدمه</w:t>
            </w:r>
            <w:r>
              <w:rPr>
                <w:rStyle w:val="IndexLink"/>
                <w:rtl w:val="true"/>
              </w:rPr>
              <w:tab/>
            </w:r>
            <w:r>
              <w:rPr>
                <w:rStyle w:val="IndexLink"/>
              </w:rPr>
              <w:t>359</w:t>
            </w:r>
          </w:hyperlink>
        </w:p>
        <w:p>
          <w:pPr>
            <w:pStyle w:val="Contents2"/>
            <w:tabs>
              <w:tab w:val="clear" w:pos="8743"/>
              <w:tab w:val="right" w:pos="9026" w:leader="dot"/>
            </w:tabs>
            <w:rPr/>
          </w:pPr>
          <w:hyperlink w:anchor="__RefHeading___Toc3352784_417432637">
            <w:r>
              <w:rPr>
                <w:webHidden/>
                <w:rStyle w:val="IndexLink"/>
                <w:rtl w:val="true"/>
              </w:rPr>
              <w:t xml:space="preserve">المقام الثاني </w:t>
            </w:r>
            <w:r>
              <w:rPr>
                <w:rStyle w:val="IndexLink"/>
                <w:rtl w:val="true"/>
              </w:rPr>
              <w:t xml:space="preserve">: </w:t>
            </w:r>
            <w:r>
              <w:rPr>
                <w:rStyle w:val="IndexLink"/>
                <w:rtl w:val="true"/>
              </w:rPr>
              <w:t>فيما يقتضيه الأصل الشرعي في النقيصة السهوية</w:t>
            </w:r>
            <w:r>
              <w:rPr>
                <w:rStyle w:val="IndexLink"/>
                <w:rtl w:val="true"/>
              </w:rPr>
              <w:tab/>
            </w:r>
            <w:r>
              <w:rPr>
                <w:rStyle w:val="IndexLink"/>
              </w:rPr>
              <w:t>362</w:t>
            </w:r>
          </w:hyperlink>
        </w:p>
        <w:p>
          <w:pPr>
            <w:pStyle w:val="Contents2"/>
            <w:tabs>
              <w:tab w:val="clear" w:pos="8743"/>
              <w:tab w:val="right" w:pos="9026" w:leader="dot"/>
            </w:tabs>
            <w:rPr/>
          </w:pPr>
          <w:hyperlink w:anchor="__RefHeading___Toc3352786_417432637">
            <w:r>
              <w:rPr>
                <w:webHidden/>
                <w:rStyle w:val="IndexLink"/>
                <w:rtl w:val="true"/>
              </w:rPr>
              <w:t>صحّة التمسّك بحديث الرفع في رفع جزئية المنسيّ</w:t>
            </w:r>
            <w:r>
              <w:rPr>
                <w:rStyle w:val="IndexLink"/>
                <w:rtl w:val="true"/>
              </w:rPr>
              <w:tab/>
            </w:r>
            <w:r>
              <w:rPr>
                <w:rStyle w:val="IndexLink"/>
              </w:rPr>
              <w:t>362</w:t>
            </w:r>
          </w:hyperlink>
        </w:p>
        <w:p>
          <w:pPr>
            <w:pStyle w:val="Contents2"/>
            <w:tabs>
              <w:tab w:val="clear" w:pos="8743"/>
              <w:tab w:val="right" w:pos="9026" w:leader="dot"/>
            </w:tabs>
            <w:rPr/>
          </w:pPr>
          <w:hyperlink w:anchor="__RefHeading___Toc3352788_417432637">
            <w:r>
              <w:rPr>
                <w:webHidden/>
                <w:rStyle w:val="IndexLink"/>
                <w:rtl w:val="true"/>
              </w:rPr>
              <w:t xml:space="preserve">المقام الثالث </w:t>
            </w:r>
            <w:r>
              <w:rPr>
                <w:rStyle w:val="IndexLink"/>
                <w:rtl w:val="true"/>
              </w:rPr>
              <w:t xml:space="preserve">: </w:t>
            </w:r>
            <w:r>
              <w:rPr>
                <w:rStyle w:val="IndexLink"/>
                <w:rtl w:val="true"/>
              </w:rPr>
              <w:t>في الزيادة العمدية والسهوية</w:t>
            </w:r>
            <w:r>
              <w:rPr>
                <w:rStyle w:val="IndexLink"/>
                <w:rtl w:val="true"/>
              </w:rPr>
              <w:tab/>
            </w:r>
            <w:r>
              <w:rPr>
                <w:rStyle w:val="IndexLink"/>
              </w:rPr>
              <w:t>367</w:t>
            </w:r>
          </w:hyperlink>
        </w:p>
        <w:p>
          <w:pPr>
            <w:pStyle w:val="Contents2"/>
            <w:tabs>
              <w:tab w:val="clear" w:pos="8743"/>
              <w:tab w:val="right" w:pos="9026" w:leader="dot"/>
            </w:tabs>
            <w:rPr/>
          </w:pPr>
          <w:hyperlink w:anchor="__RefHeading___Toc3352790_417432637">
            <w:r>
              <w:rPr>
                <w:webHidden/>
                <w:rStyle w:val="IndexLink"/>
                <w:rtl w:val="true"/>
              </w:rPr>
              <w:t>تصوير الزيادة في الجزئية والشرطية</w:t>
            </w:r>
            <w:r>
              <w:rPr>
                <w:rStyle w:val="IndexLink"/>
                <w:rtl w:val="true"/>
              </w:rPr>
              <w:tab/>
            </w:r>
            <w:r>
              <w:rPr>
                <w:rStyle w:val="IndexLink"/>
              </w:rPr>
              <w:t>367</w:t>
            </w:r>
          </w:hyperlink>
        </w:p>
        <w:p>
          <w:pPr>
            <w:pStyle w:val="Contents2"/>
            <w:tabs>
              <w:tab w:val="clear" w:pos="8743"/>
              <w:tab w:val="right" w:pos="9026" w:leader="dot"/>
            </w:tabs>
            <w:rPr/>
          </w:pPr>
          <w:hyperlink w:anchor="__RefHeading___Toc3352792_417432637">
            <w:r>
              <w:rPr>
                <w:webHidden/>
                <w:rStyle w:val="IndexLink"/>
                <w:rtl w:val="true"/>
              </w:rPr>
              <w:t>عدم مبطلية الزيادة مطلقاً</w:t>
            </w:r>
            <w:r>
              <w:rPr>
                <w:rStyle w:val="IndexLink"/>
                <w:rtl w:val="true"/>
              </w:rPr>
              <w:tab/>
            </w:r>
            <w:r>
              <w:rPr>
                <w:rStyle w:val="IndexLink"/>
              </w:rPr>
              <w:t>371</w:t>
            </w:r>
          </w:hyperlink>
        </w:p>
        <w:p>
          <w:pPr>
            <w:pStyle w:val="Contents2"/>
            <w:tabs>
              <w:tab w:val="clear" w:pos="8743"/>
              <w:tab w:val="right" w:pos="9026" w:leader="dot"/>
            </w:tabs>
            <w:rPr/>
          </w:pPr>
          <w:hyperlink w:anchor="__RefHeading___Toc3352794_417432637">
            <w:r>
              <w:rPr>
                <w:webHidden/>
                <w:rStyle w:val="IndexLink"/>
                <w:rtl w:val="true"/>
              </w:rPr>
              <w:t>التمسّك بالاستصحاب لإثبات صحّة العمل مع الزيادة</w:t>
            </w:r>
            <w:r>
              <w:rPr>
                <w:rStyle w:val="IndexLink"/>
                <w:rtl w:val="true"/>
              </w:rPr>
              <w:tab/>
            </w:r>
            <w:r>
              <w:rPr>
                <w:rStyle w:val="IndexLink"/>
              </w:rPr>
              <w:t>372</w:t>
            </w:r>
          </w:hyperlink>
        </w:p>
        <w:p>
          <w:pPr>
            <w:pStyle w:val="Contents2"/>
            <w:tabs>
              <w:tab w:val="clear" w:pos="8743"/>
              <w:tab w:val="right" w:pos="9026" w:leader="dot"/>
            </w:tabs>
            <w:rPr/>
          </w:pPr>
          <w:hyperlink w:anchor="__RefHeading___Toc3352796_417432637">
            <w:r>
              <w:rPr>
                <w:webHidden/>
                <w:rStyle w:val="IndexLink"/>
                <w:rtl w:val="true"/>
              </w:rPr>
              <w:t xml:space="preserve">المقام الرابع </w:t>
            </w:r>
            <w:r>
              <w:rPr>
                <w:rStyle w:val="IndexLink"/>
                <w:rtl w:val="true"/>
              </w:rPr>
              <w:t xml:space="preserve">: </w:t>
            </w:r>
            <w:r>
              <w:rPr>
                <w:rStyle w:val="IndexLink"/>
                <w:rtl w:val="true"/>
              </w:rPr>
              <w:t>فيما يقتضيه القواعد الثانوية في الزيادة والنقيصة</w:t>
            </w:r>
            <w:r>
              <w:rPr>
                <w:rStyle w:val="IndexLink"/>
                <w:rtl w:val="true"/>
              </w:rPr>
              <w:tab/>
            </w:r>
            <w:r>
              <w:rPr>
                <w:rStyle w:val="IndexLink"/>
              </w:rPr>
              <w:t>380</w:t>
            </w:r>
          </w:hyperlink>
        </w:p>
        <w:p>
          <w:pPr>
            <w:pStyle w:val="Contents2"/>
            <w:tabs>
              <w:tab w:val="clear" w:pos="8743"/>
              <w:tab w:val="right" w:pos="9026" w:leader="dot"/>
            </w:tabs>
            <w:rPr/>
          </w:pPr>
          <w:hyperlink w:anchor="__RefHeading___Toc3352798_417432637">
            <w:r>
              <w:rPr>
                <w:webHidden/>
                <w:rStyle w:val="IndexLink"/>
                <w:rtl w:val="true"/>
              </w:rPr>
              <w:t>مقتضى الروايات الواردة في الزيادة</w:t>
            </w:r>
            <w:r>
              <w:rPr>
                <w:rStyle w:val="IndexLink"/>
                <w:rtl w:val="true"/>
              </w:rPr>
              <w:tab/>
            </w:r>
            <w:r>
              <w:rPr>
                <w:rStyle w:val="IndexLink"/>
              </w:rPr>
              <w:t>380</w:t>
            </w:r>
          </w:hyperlink>
        </w:p>
        <w:p>
          <w:pPr>
            <w:pStyle w:val="Contents2"/>
            <w:tabs>
              <w:tab w:val="clear" w:pos="8743"/>
              <w:tab w:val="right" w:pos="9026" w:leader="dot"/>
            </w:tabs>
            <w:rPr/>
          </w:pPr>
          <w:hyperlink w:anchor="__RefHeading___Toc3352800_417432637">
            <w:r>
              <w:rPr>
                <w:webHidden/>
                <w:rStyle w:val="IndexLink"/>
                <w:rtl w:val="true"/>
              </w:rPr>
              <w:t xml:space="preserve">بيان النسبة بين حديثي </w:t>
            </w:r>
            <w:r>
              <w:rPr>
                <w:rStyle w:val="IndexLink"/>
                <w:rtl w:val="true"/>
              </w:rPr>
              <w:t>«</w:t>
            </w:r>
            <w:r>
              <w:rPr>
                <w:rStyle w:val="IndexLink"/>
                <w:rtl w:val="true"/>
              </w:rPr>
              <w:t>من زاد</w:t>
            </w:r>
            <w:r>
              <w:rPr>
                <w:rStyle w:val="IndexLink"/>
                <w:rtl w:val="true"/>
              </w:rPr>
              <w:t xml:space="preserve">» </w:t>
            </w:r>
            <w:r>
              <w:rPr>
                <w:rStyle w:val="IndexLink"/>
                <w:rtl w:val="true"/>
              </w:rPr>
              <w:t>و</w:t>
            </w:r>
            <w:r>
              <w:rPr>
                <w:rStyle w:val="IndexLink"/>
                <w:rtl w:val="true"/>
              </w:rPr>
              <w:t>«</w:t>
            </w:r>
            <w:r>
              <w:rPr>
                <w:rStyle w:val="IndexLink"/>
                <w:rtl w:val="true"/>
              </w:rPr>
              <w:t>لا تعاد</w:t>
            </w:r>
            <w:r>
              <w:rPr>
                <w:rStyle w:val="IndexLink"/>
                <w:rtl w:val="true"/>
              </w:rPr>
              <w:t>»</w:t>
              <w:tab/>
            </w:r>
            <w:r>
              <w:rPr>
                <w:rStyle w:val="IndexLink"/>
              </w:rPr>
              <w:t>381</w:t>
            </w:r>
          </w:hyperlink>
        </w:p>
        <w:p>
          <w:pPr>
            <w:pStyle w:val="Contents2"/>
            <w:tabs>
              <w:tab w:val="clear" w:pos="8743"/>
              <w:tab w:val="right" w:pos="9026" w:leader="dot"/>
            </w:tabs>
            <w:rPr/>
          </w:pPr>
          <w:hyperlink w:anchor="__RefHeading___Toc3352802_417432637">
            <w:r>
              <w:rPr>
                <w:webHidden/>
                <w:rStyle w:val="IndexLink"/>
                <w:rtl w:val="true"/>
              </w:rPr>
              <w:t xml:space="preserve">النسبة بين حديثي </w:t>
            </w:r>
            <w:r>
              <w:rPr>
                <w:rStyle w:val="IndexLink"/>
                <w:rtl w:val="true"/>
              </w:rPr>
              <w:t>«</w:t>
            </w:r>
            <w:r>
              <w:rPr>
                <w:rStyle w:val="IndexLink"/>
                <w:rtl w:val="true"/>
              </w:rPr>
              <w:t>لا تعاد</w:t>
            </w:r>
            <w:r>
              <w:rPr>
                <w:rStyle w:val="IndexLink"/>
                <w:rtl w:val="true"/>
              </w:rPr>
              <w:t xml:space="preserve">» </w:t>
            </w:r>
            <w:r>
              <w:rPr>
                <w:rStyle w:val="IndexLink"/>
                <w:rtl w:val="true"/>
              </w:rPr>
              <w:t>و</w:t>
            </w:r>
            <w:r>
              <w:rPr>
                <w:rStyle w:val="IndexLink"/>
                <w:rtl w:val="true"/>
              </w:rPr>
              <w:t>«</w:t>
            </w:r>
            <w:r>
              <w:rPr>
                <w:rStyle w:val="IndexLink"/>
                <w:rtl w:val="true"/>
              </w:rPr>
              <w:t>إذا استيقن</w:t>
            </w:r>
            <w:r>
              <w:rPr>
                <w:rStyle w:val="IndexLink"/>
                <w:rtl w:val="true"/>
              </w:rPr>
              <w:t>»</w:t>
              <w:tab/>
            </w:r>
            <w:r>
              <w:rPr>
                <w:rStyle w:val="IndexLink"/>
              </w:rPr>
              <w:t>387</w:t>
            </w:r>
          </w:hyperlink>
        </w:p>
        <w:p>
          <w:pPr>
            <w:pStyle w:val="Contents2"/>
            <w:tabs>
              <w:tab w:val="clear" w:pos="8743"/>
              <w:tab w:val="right" w:pos="9026" w:leader="dot"/>
            </w:tabs>
            <w:rPr/>
          </w:pPr>
          <w:hyperlink w:anchor="__RefHeading___Toc3352804_417432637">
            <w:r>
              <w:rPr>
                <w:webHidden/>
                <w:rStyle w:val="IndexLink"/>
                <w:rtl w:val="true"/>
              </w:rPr>
              <w:t xml:space="preserve">البحث </w:t>
            </w:r>
            <w:r>
              <w:rPr>
                <w:rStyle w:val="IndexLink"/>
                <w:rtl w:val="true"/>
              </w:rPr>
              <w:t xml:space="preserve">: </w:t>
            </w:r>
            <w:r>
              <w:rPr>
                <w:rStyle w:val="IndexLink"/>
                <w:rtl w:val="true"/>
              </w:rPr>
              <w:t>في تعذّر الجزء أو الشرط</w:t>
            </w:r>
            <w:r>
              <w:rPr>
                <w:rStyle w:val="IndexLink"/>
                <w:rtl w:val="true"/>
              </w:rPr>
              <w:tab/>
            </w:r>
            <w:r>
              <w:rPr>
                <w:rStyle w:val="IndexLink"/>
              </w:rPr>
              <w:t>392</w:t>
            </w:r>
          </w:hyperlink>
        </w:p>
        <w:p>
          <w:pPr>
            <w:pStyle w:val="Contents2"/>
            <w:tabs>
              <w:tab w:val="clear" w:pos="8743"/>
              <w:tab w:val="right" w:pos="9026" w:leader="dot"/>
            </w:tabs>
            <w:rPr/>
          </w:pPr>
          <w:hyperlink w:anchor="__RefHeading___Toc3352806_417432637">
            <w:r>
              <w:rPr>
                <w:webHidden/>
                <w:rStyle w:val="IndexLink"/>
                <w:rtl w:val="true"/>
              </w:rPr>
              <w:t xml:space="preserve">المقام الأوّل </w:t>
            </w:r>
            <w:r>
              <w:rPr>
                <w:rStyle w:val="IndexLink"/>
                <w:rtl w:val="true"/>
              </w:rPr>
              <w:t xml:space="preserve">: </w:t>
            </w:r>
            <w:r>
              <w:rPr>
                <w:rStyle w:val="IndexLink"/>
                <w:rtl w:val="true"/>
              </w:rPr>
              <w:t>في مقتضى القواعد الأوّلية</w:t>
            </w:r>
            <w:r>
              <w:rPr>
                <w:rStyle w:val="IndexLink"/>
                <w:rtl w:val="true"/>
              </w:rPr>
              <w:tab/>
            </w:r>
            <w:r>
              <w:rPr>
                <w:rStyle w:val="IndexLink"/>
              </w:rPr>
              <w:t>397</w:t>
            </w:r>
          </w:hyperlink>
        </w:p>
        <w:p>
          <w:pPr>
            <w:pStyle w:val="Contents2"/>
            <w:tabs>
              <w:tab w:val="clear" w:pos="8743"/>
              <w:tab w:val="right" w:pos="9026" w:leader="dot"/>
            </w:tabs>
            <w:rPr/>
          </w:pPr>
          <w:hyperlink w:anchor="__RefHeading___Toc3352808_417432637">
            <w:r>
              <w:rPr>
                <w:webHidden/>
                <w:rStyle w:val="IndexLink"/>
                <w:rtl w:val="true"/>
              </w:rPr>
              <w:t>في جريان البراءة العقلية</w:t>
            </w:r>
            <w:r>
              <w:rPr>
                <w:rStyle w:val="IndexLink"/>
                <w:rtl w:val="true"/>
              </w:rPr>
              <w:tab/>
            </w:r>
            <w:r>
              <w:rPr>
                <w:rStyle w:val="IndexLink"/>
              </w:rPr>
              <w:t>397</w:t>
            </w:r>
          </w:hyperlink>
        </w:p>
        <w:p>
          <w:pPr>
            <w:pStyle w:val="Contents2"/>
            <w:tabs>
              <w:tab w:val="clear" w:pos="8743"/>
              <w:tab w:val="right" w:pos="9026" w:leader="dot"/>
            </w:tabs>
            <w:rPr/>
          </w:pPr>
          <w:hyperlink w:anchor="__RefHeading___Toc3352810_417432637">
            <w:r>
              <w:rPr>
                <w:webHidden/>
                <w:rStyle w:val="IndexLink"/>
                <w:rtl w:val="true"/>
              </w:rPr>
              <w:t>في جريان البراءة الشرعية</w:t>
            </w:r>
            <w:r>
              <w:rPr>
                <w:rStyle w:val="IndexLink"/>
                <w:rtl w:val="true"/>
              </w:rPr>
              <w:tab/>
            </w:r>
            <w:r>
              <w:rPr>
                <w:rStyle w:val="IndexLink"/>
              </w:rPr>
              <w:t>398</w:t>
            </w:r>
          </w:hyperlink>
        </w:p>
        <w:p>
          <w:pPr>
            <w:pStyle w:val="Contents2"/>
            <w:tabs>
              <w:tab w:val="clear" w:pos="8743"/>
              <w:tab w:val="right" w:pos="9026" w:leader="dot"/>
            </w:tabs>
            <w:rPr/>
          </w:pPr>
          <w:hyperlink w:anchor="__RefHeading___Toc3352812_417432637">
            <w:r>
              <w:rPr>
                <w:webHidden/>
                <w:rStyle w:val="IndexLink"/>
                <w:rtl w:val="true"/>
              </w:rPr>
              <w:t xml:space="preserve">المقام الثاني </w:t>
            </w:r>
            <w:r>
              <w:rPr>
                <w:rStyle w:val="IndexLink"/>
                <w:rtl w:val="true"/>
              </w:rPr>
              <w:t xml:space="preserve">: </w:t>
            </w:r>
            <w:r>
              <w:rPr>
                <w:rStyle w:val="IndexLink"/>
                <w:rtl w:val="true"/>
              </w:rPr>
              <w:t>في مقتضى القواعد الثانوية</w:t>
            </w:r>
            <w:r>
              <w:rPr>
                <w:rStyle w:val="IndexLink"/>
                <w:rtl w:val="true"/>
              </w:rPr>
              <w:tab/>
            </w:r>
            <w:r>
              <w:rPr>
                <w:rStyle w:val="IndexLink"/>
              </w:rPr>
              <w:t>399</w:t>
            </w:r>
          </w:hyperlink>
        </w:p>
        <w:p>
          <w:pPr>
            <w:pStyle w:val="Contents2"/>
            <w:tabs>
              <w:tab w:val="clear" w:pos="8743"/>
              <w:tab w:val="right" w:pos="9026" w:leader="dot"/>
            </w:tabs>
            <w:rPr/>
          </w:pPr>
          <w:hyperlink w:anchor="__RefHeading___Toc3352814_417432637">
            <w:r>
              <w:rPr>
                <w:webHidden/>
                <w:rStyle w:val="IndexLink"/>
                <w:rtl w:val="true"/>
              </w:rPr>
              <w:t>التمسّك بالاستصحاب لإثبات وجوب باقي الأجزاء</w:t>
            </w:r>
            <w:r>
              <w:rPr>
                <w:rStyle w:val="IndexLink"/>
                <w:rtl w:val="true"/>
              </w:rPr>
              <w:tab/>
            </w:r>
            <w:r>
              <w:rPr>
                <w:rStyle w:val="IndexLink"/>
              </w:rPr>
              <w:t>399</w:t>
            </w:r>
          </w:hyperlink>
        </w:p>
        <w:p>
          <w:pPr>
            <w:pStyle w:val="Contents2"/>
            <w:tabs>
              <w:tab w:val="clear" w:pos="8743"/>
              <w:tab w:val="right" w:pos="9026" w:leader="dot"/>
            </w:tabs>
            <w:rPr/>
          </w:pPr>
          <w:hyperlink w:anchor="__RefHeading___Toc3352816_417432637">
            <w:r>
              <w:rPr>
                <w:webHidden/>
                <w:rStyle w:val="IndexLink"/>
                <w:rtl w:val="true"/>
              </w:rPr>
              <w:t>التمسّك بقاعدة الميسور لإثبات وجوب باقي الأجزاء</w:t>
            </w:r>
            <w:r>
              <w:rPr>
                <w:rStyle w:val="IndexLink"/>
                <w:rtl w:val="true"/>
              </w:rPr>
              <w:tab/>
            </w:r>
            <w:r>
              <w:rPr>
                <w:rStyle w:val="IndexLink"/>
              </w:rPr>
              <w:t>404</w:t>
            </w:r>
          </w:hyperlink>
        </w:p>
        <w:p>
          <w:pPr>
            <w:pStyle w:val="Contents2"/>
            <w:tabs>
              <w:tab w:val="clear" w:pos="8743"/>
              <w:tab w:val="right" w:pos="9026" w:leader="dot"/>
            </w:tabs>
            <w:rPr/>
          </w:pPr>
          <w:hyperlink w:anchor="__RefHeading___Toc3352818_417432637">
            <w:r>
              <w:rPr>
                <w:webHidden/>
                <w:rStyle w:val="IndexLink"/>
                <w:rtl w:val="true"/>
              </w:rPr>
              <w:t>الكلام في مفاد النبوي</w:t>
            </w:r>
            <w:r>
              <w:rPr>
                <w:rStyle w:val="IndexLink"/>
                <w:rtl w:val="true"/>
              </w:rPr>
              <w:tab/>
            </w:r>
            <w:r>
              <w:rPr>
                <w:rStyle w:val="IndexLink"/>
              </w:rPr>
              <w:t>405</w:t>
            </w:r>
          </w:hyperlink>
        </w:p>
        <w:p>
          <w:pPr>
            <w:pStyle w:val="Contents2"/>
            <w:tabs>
              <w:tab w:val="clear" w:pos="8743"/>
              <w:tab w:val="right" w:pos="9026" w:leader="dot"/>
            </w:tabs>
            <w:rPr/>
          </w:pPr>
          <w:hyperlink w:anchor="__RefHeading___Toc3352820_417432637">
            <w:r>
              <w:rPr>
                <w:webHidden/>
                <w:rStyle w:val="IndexLink"/>
                <w:rtl w:val="true"/>
              </w:rPr>
              <w:t>الكلام في مفاد العلوي الأوّل</w:t>
            </w:r>
            <w:r>
              <w:rPr>
                <w:rStyle w:val="IndexLink"/>
                <w:rtl w:val="true"/>
              </w:rPr>
              <w:tab/>
            </w:r>
            <w:r>
              <w:rPr>
                <w:rStyle w:val="IndexLink"/>
              </w:rPr>
              <w:t>407</w:t>
            </w:r>
          </w:hyperlink>
        </w:p>
        <w:p>
          <w:pPr>
            <w:pStyle w:val="Contents2"/>
            <w:tabs>
              <w:tab w:val="clear" w:pos="8743"/>
              <w:tab w:val="right" w:pos="9026" w:leader="dot"/>
            </w:tabs>
            <w:rPr/>
          </w:pPr>
          <w:hyperlink w:anchor="__RefHeading___Toc3352822_417432637">
            <w:r>
              <w:rPr>
                <w:webHidden/>
                <w:rStyle w:val="IndexLink"/>
                <w:rtl w:val="true"/>
              </w:rPr>
              <w:t>الكلام في مفاد العلوي الثاني</w:t>
            </w:r>
            <w:r>
              <w:rPr>
                <w:rStyle w:val="IndexLink"/>
                <w:rtl w:val="true"/>
              </w:rPr>
              <w:tab/>
            </w:r>
            <w:r>
              <w:rPr>
                <w:rStyle w:val="IndexLink"/>
              </w:rPr>
              <w:t>410</w:t>
            </w:r>
          </w:hyperlink>
        </w:p>
        <w:p>
          <w:pPr>
            <w:pStyle w:val="Contents2"/>
            <w:tabs>
              <w:tab w:val="clear" w:pos="8743"/>
              <w:tab w:val="right" w:pos="9026" w:leader="dot"/>
            </w:tabs>
            <w:rPr/>
          </w:pPr>
          <w:hyperlink w:anchor="__RefHeading___Toc3352824_417432637">
            <w:r>
              <w:rPr>
                <w:webHidden/>
                <w:rStyle w:val="IndexLink"/>
                <w:rtl w:val="true"/>
              </w:rPr>
              <w:t>اعتبار صدق الميسور في جريان القاعدة</w:t>
            </w:r>
            <w:r>
              <w:rPr>
                <w:rStyle w:val="IndexLink"/>
                <w:rtl w:val="true"/>
              </w:rPr>
              <w:tab/>
            </w:r>
            <w:r>
              <w:rPr>
                <w:rStyle w:val="IndexLink"/>
              </w:rPr>
              <w:t>413</w:t>
            </w:r>
          </w:hyperlink>
        </w:p>
        <w:p>
          <w:pPr>
            <w:pStyle w:val="Contents2"/>
            <w:tabs>
              <w:tab w:val="clear" w:pos="8743"/>
              <w:tab w:val="right" w:pos="9026" w:leader="dot"/>
            </w:tabs>
            <w:rPr/>
          </w:pPr>
          <w:hyperlink w:anchor="__RefHeading___Toc3352826_417432637">
            <w:r>
              <w:rPr>
                <w:webHidden/>
                <w:rStyle w:val="IndexLink"/>
                <w:rtl w:val="true"/>
              </w:rPr>
              <w:t xml:space="preserve">خاتمة </w:t>
            </w:r>
            <w:r>
              <w:rPr>
                <w:rStyle w:val="IndexLink"/>
                <w:rtl w:val="true"/>
              </w:rPr>
              <w:t xml:space="preserve">: </w:t>
            </w:r>
            <w:r>
              <w:rPr>
                <w:rStyle w:val="IndexLink"/>
                <w:rtl w:val="true"/>
              </w:rPr>
              <w:t>شرائط جريان الاُصول</w:t>
            </w:r>
            <w:r>
              <w:rPr>
                <w:rStyle w:val="IndexLink"/>
                <w:rtl w:val="true"/>
              </w:rPr>
              <w:tab/>
            </w:r>
            <w:r>
              <w:rPr>
                <w:rStyle w:val="IndexLink"/>
              </w:rPr>
              <w:t>418</w:t>
            </w:r>
          </w:hyperlink>
        </w:p>
        <w:p>
          <w:pPr>
            <w:pStyle w:val="Contents2"/>
            <w:tabs>
              <w:tab w:val="clear" w:pos="8743"/>
              <w:tab w:val="right" w:pos="9026" w:leader="dot"/>
            </w:tabs>
            <w:rPr/>
          </w:pPr>
          <w:hyperlink w:anchor="__RefHeading___Toc3352828_417432637">
            <w:r>
              <w:rPr>
                <w:webHidden/>
                <w:rStyle w:val="IndexLink"/>
                <w:rtl w:val="true"/>
              </w:rPr>
              <w:t>في حسن الاحتياط مطلقاً ودفع الإشكالات الواردة عنه</w:t>
            </w:r>
            <w:r>
              <w:rPr>
                <w:rStyle w:val="IndexLink"/>
                <w:rtl w:val="true"/>
              </w:rPr>
              <w:tab/>
            </w:r>
            <w:r>
              <w:rPr>
                <w:rStyle w:val="IndexLink"/>
              </w:rPr>
              <w:t>418</w:t>
            </w:r>
          </w:hyperlink>
        </w:p>
        <w:p>
          <w:pPr>
            <w:pStyle w:val="Contents2"/>
            <w:tabs>
              <w:tab w:val="clear" w:pos="8743"/>
              <w:tab w:val="right" w:pos="9026" w:leader="dot"/>
            </w:tabs>
            <w:rPr/>
          </w:pPr>
          <w:hyperlink w:anchor="__RefHeading___Toc3352830_417432637">
            <w:r>
              <w:rPr>
                <w:webHidden/>
                <w:rStyle w:val="IndexLink"/>
                <w:rtl w:val="true"/>
              </w:rPr>
              <w:t xml:space="preserve">أمّا الإشكال على مطلق الاحتياط </w:t>
            </w:r>
            <w:r>
              <w:rPr>
                <w:rStyle w:val="IndexLink"/>
                <w:rtl w:val="true"/>
              </w:rPr>
              <w:t>:</w:t>
              <w:tab/>
            </w:r>
            <w:r>
              <w:rPr>
                <w:rStyle w:val="IndexLink"/>
              </w:rPr>
              <w:t>418</w:t>
            </w:r>
          </w:hyperlink>
        </w:p>
        <w:p>
          <w:pPr>
            <w:pStyle w:val="Contents2"/>
            <w:tabs>
              <w:tab w:val="clear" w:pos="8743"/>
              <w:tab w:val="right" w:pos="9026" w:leader="dot"/>
            </w:tabs>
            <w:rPr/>
          </w:pPr>
          <w:hyperlink w:anchor="__RefHeading___Toc3352832_417432637">
            <w:r>
              <w:rPr>
                <w:webHidden/>
                <w:rStyle w:val="IndexLink"/>
                <w:rtl w:val="true"/>
              </w:rPr>
              <w:t xml:space="preserve">الإشكال الثاني </w:t>
            </w:r>
            <w:r>
              <w:rPr>
                <w:rStyle w:val="IndexLink"/>
                <w:rtl w:val="true"/>
              </w:rPr>
              <w:t>:</w:t>
              <w:tab/>
            </w:r>
            <w:r>
              <w:rPr>
                <w:rStyle w:val="IndexLink"/>
              </w:rPr>
              <w:t>422</w:t>
            </w:r>
          </w:hyperlink>
        </w:p>
        <w:p>
          <w:pPr>
            <w:pStyle w:val="Contents2"/>
            <w:tabs>
              <w:tab w:val="clear" w:pos="8743"/>
              <w:tab w:val="right" w:pos="9026" w:leader="dot"/>
            </w:tabs>
            <w:rPr/>
          </w:pPr>
          <w:hyperlink w:anchor="__RefHeading___Toc3352834_417432637">
            <w:r>
              <w:rPr>
                <w:webHidden/>
                <w:rStyle w:val="IndexLink"/>
                <w:rtl w:val="true"/>
              </w:rPr>
              <w:t xml:space="preserve">الإشكال الثالث </w:t>
            </w:r>
            <w:r>
              <w:rPr>
                <w:rStyle w:val="IndexLink"/>
                <w:rtl w:val="true"/>
              </w:rPr>
              <w:t>:</w:t>
              <w:tab/>
            </w:r>
            <w:r>
              <w:rPr>
                <w:rStyle w:val="IndexLink"/>
              </w:rPr>
              <w:t>424</w:t>
            </w:r>
          </w:hyperlink>
        </w:p>
        <w:p>
          <w:pPr>
            <w:pStyle w:val="Contents2"/>
            <w:tabs>
              <w:tab w:val="clear" w:pos="8743"/>
              <w:tab w:val="right" w:pos="9026" w:leader="dot"/>
            </w:tabs>
            <w:rPr/>
          </w:pPr>
          <w:hyperlink w:anchor="__RefHeading___Toc3352836_417432637">
            <w:r>
              <w:rPr>
                <w:webHidden/>
                <w:rStyle w:val="IndexLink"/>
                <w:rtl w:val="true"/>
              </w:rPr>
              <w:t xml:space="preserve">الإشكال الرابع </w:t>
            </w:r>
            <w:r>
              <w:rPr>
                <w:rStyle w:val="IndexLink"/>
                <w:rtl w:val="true"/>
              </w:rPr>
              <w:t>:</w:t>
              <w:tab/>
            </w:r>
            <w:r>
              <w:rPr>
                <w:rStyle w:val="IndexLink"/>
              </w:rPr>
              <w:t>426</w:t>
            </w:r>
          </w:hyperlink>
        </w:p>
        <w:p>
          <w:pPr>
            <w:pStyle w:val="Contents2"/>
            <w:tabs>
              <w:tab w:val="clear" w:pos="8743"/>
              <w:tab w:val="right" w:pos="9026" w:leader="dot"/>
            </w:tabs>
            <w:rPr/>
          </w:pPr>
          <w:hyperlink w:anchor="__RefHeading___Toc3352838_417432637">
            <w:r>
              <w:rPr>
                <w:webHidden/>
                <w:rStyle w:val="IndexLink"/>
                <w:rtl w:val="true"/>
              </w:rPr>
              <w:t>شرائط جريان البراءة العقلية</w:t>
            </w:r>
            <w:r>
              <w:rPr>
                <w:rStyle w:val="IndexLink"/>
                <w:rtl w:val="true"/>
              </w:rPr>
              <w:tab/>
            </w:r>
            <w:r>
              <w:rPr>
                <w:rStyle w:val="IndexLink"/>
              </w:rPr>
              <w:t>429</w:t>
            </w:r>
          </w:hyperlink>
        </w:p>
        <w:p>
          <w:pPr>
            <w:pStyle w:val="Contents2"/>
            <w:tabs>
              <w:tab w:val="clear" w:pos="8743"/>
              <w:tab w:val="right" w:pos="9026" w:leader="dot"/>
            </w:tabs>
            <w:rPr/>
          </w:pPr>
          <w:hyperlink w:anchor="__RefHeading___Toc3352840_417432637">
            <w:r>
              <w:rPr>
                <w:webHidden/>
                <w:rStyle w:val="IndexLink"/>
                <w:rtl w:val="true"/>
              </w:rPr>
              <w:t>اعتبار الفحص في الشبهات الحكمية</w:t>
            </w:r>
            <w:r>
              <w:rPr>
                <w:rStyle w:val="IndexLink"/>
                <w:rtl w:val="true"/>
              </w:rPr>
              <w:tab/>
            </w:r>
            <w:r>
              <w:rPr>
                <w:rStyle w:val="IndexLink"/>
              </w:rPr>
              <w:t>429</w:t>
            </w:r>
          </w:hyperlink>
        </w:p>
        <w:p>
          <w:pPr>
            <w:pStyle w:val="Contents2"/>
            <w:tabs>
              <w:tab w:val="clear" w:pos="8743"/>
              <w:tab w:val="right" w:pos="9026" w:leader="dot"/>
            </w:tabs>
            <w:rPr/>
          </w:pPr>
          <w:hyperlink w:anchor="__RefHeading___Toc3352842_417432637">
            <w:r>
              <w:rPr>
                <w:webHidden/>
                <w:rStyle w:val="IndexLink"/>
                <w:rtl w:val="true"/>
              </w:rPr>
              <w:t>في استحقاق عقاب التارك للفحص ومناطه</w:t>
            </w:r>
            <w:r>
              <w:rPr>
                <w:rStyle w:val="IndexLink"/>
                <w:rtl w:val="true"/>
              </w:rPr>
              <w:tab/>
            </w:r>
            <w:r>
              <w:rPr>
                <w:rStyle w:val="IndexLink"/>
              </w:rPr>
              <w:t>441</w:t>
            </w:r>
          </w:hyperlink>
        </w:p>
        <w:p>
          <w:pPr>
            <w:pStyle w:val="Contents2"/>
            <w:tabs>
              <w:tab w:val="clear" w:pos="8743"/>
              <w:tab w:val="right" w:pos="9026" w:leader="dot"/>
            </w:tabs>
            <w:rPr/>
          </w:pPr>
          <w:hyperlink w:anchor="__RefHeading___Toc3352844_417432637">
            <w:r>
              <w:rPr>
                <w:webHidden/>
                <w:rStyle w:val="IndexLink"/>
                <w:rtl w:val="true"/>
              </w:rPr>
              <w:t>في بطلان عمل الجاهل إلاّ في موردين</w:t>
            </w:r>
            <w:r>
              <w:rPr>
                <w:rStyle w:val="IndexLink"/>
                <w:rtl w:val="true"/>
              </w:rPr>
              <w:tab/>
            </w:r>
            <w:r>
              <w:rPr>
                <w:rStyle w:val="IndexLink"/>
              </w:rPr>
              <w:t>455</w:t>
            </w:r>
          </w:hyperlink>
        </w:p>
        <w:p>
          <w:pPr>
            <w:pStyle w:val="Contents2"/>
            <w:tabs>
              <w:tab w:val="clear" w:pos="8743"/>
              <w:tab w:val="right" w:pos="9026" w:leader="dot"/>
            </w:tabs>
            <w:rPr/>
          </w:pPr>
          <w:hyperlink w:anchor="__RefHeading___Toc3352846_417432637">
            <w:r>
              <w:rPr>
                <w:webHidden/>
                <w:rStyle w:val="IndexLink"/>
                <w:rtl w:val="true"/>
              </w:rPr>
              <w:t>شرائط جريان البراءة الشرعية</w:t>
            </w:r>
            <w:r>
              <w:rPr>
                <w:rStyle w:val="IndexLink"/>
                <w:rtl w:val="true"/>
              </w:rPr>
              <w:tab/>
            </w:r>
            <w:r>
              <w:rPr>
                <w:rStyle w:val="IndexLink"/>
              </w:rPr>
              <w:t>461</w:t>
            </w:r>
          </w:hyperlink>
        </w:p>
        <w:p>
          <w:pPr>
            <w:pStyle w:val="Contents2"/>
            <w:tabs>
              <w:tab w:val="clear" w:pos="8743"/>
              <w:tab w:val="right" w:pos="9026" w:leader="dot"/>
            </w:tabs>
            <w:rPr/>
          </w:pPr>
          <w:hyperlink w:anchor="__RefHeading___Toc3352848_417432637">
            <w:r>
              <w:rPr>
                <w:webHidden/>
                <w:rStyle w:val="IndexLink"/>
                <w:rtl w:val="true"/>
              </w:rPr>
              <w:t>كفاية الاُصول</w:t>
            </w:r>
            <w:r>
              <w:rPr>
                <w:rStyle w:val="IndexLink"/>
                <w:rtl w:val="true"/>
              </w:rPr>
              <w:t>(*)</w:t>
              <w:tab/>
            </w:r>
            <w:r>
              <w:rPr>
                <w:rStyle w:val="IndexLink"/>
              </w:rPr>
              <w:t>467</w:t>
            </w:r>
          </w:hyperlink>
        </w:p>
        <w:p>
          <w:pPr>
            <w:pStyle w:val="Contents2"/>
            <w:tabs>
              <w:tab w:val="clear" w:pos="8743"/>
              <w:tab w:val="right" w:pos="9026" w:leader="dot"/>
            </w:tabs>
            <w:rPr/>
          </w:pPr>
          <w:hyperlink w:anchor="__RefHeading___Toc3352850_417432637">
            <w:r>
              <w:rPr>
                <w:webHidden/>
                <w:rStyle w:val="IndexLink"/>
                <w:rtl w:val="true"/>
              </w:rPr>
              <w:t>كفاية الاُصول</w:t>
            </w:r>
            <w:r>
              <w:rPr>
                <w:rStyle w:val="IndexLink"/>
                <w:rtl w:val="true"/>
              </w:rPr>
              <w:tab/>
            </w:r>
            <w:r>
              <w:rPr>
                <w:rStyle w:val="IndexLink"/>
              </w:rPr>
              <w:t>469</w:t>
            </w:r>
          </w:hyperlink>
        </w:p>
        <w:p>
          <w:pPr>
            <w:pStyle w:val="Contents2"/>
            <w:tabs>
              <w:tab w:val="clear" w:pos="8743"/>
              <w:tab w:val="right" w:pos="9026" w:leader="dot"/>
            </w:tabs>
            <w:rPr/>
          </w:pPr>
          <w:hyperlink w:anchor="__RefHeading___Toc3352852_417432637">
            <w:r>
              <w:rPr>
                <w:webHidden/>
                <w:rStyle w:val="IndexLink"/>
                <w:rtl w:val="true"/>
              </w:rPr>
              <w:t xml:space="preserve">المقصد السابع </w:t>
            </w:r>
            <w:r>
              <w:rPr>
                <w:rStyle w:val="IndexLink"/>
                <w:rtl w:val="true"/>
              </w:rPr>
              <w:t xml:space="preserve">: </w:t>
            </w:r>
            <w:r>
              <w:rPr>
                <w:rStyle w:val="IndexLink"/>
                <w:rtl w:val="true"/>
              </w:rPr>
              <w:t>في الاُصول العملية</w:t>
            </w:r>
            <w:r>
              <w:rPr>
                <w:rStyle w:val="IndexLink"/>
                <w:rtl w:val="true"/>
              </w:rPr>
              <w:tab/>
            </w:r>
            <w:r>
              <w:rPr>
                <w:rStyle w:val="IndexLink"/>
              </w:rPr>
              <w:t>469</w:t>
            </w:r>
          </w:hyperlink>
        </w:p>
        <w:p>
          <w:pPr>
            <w:pStyle w:val="Contents2"/>
            <w:tabs>
              <w:tab w:val="clear" w:pos="8743"/>
              <w:tab w:val="right" w:pos="9026" w:leader="dot"/>
            </w:tabs>
            <w:rPr/>
          </w:pPr>
          <w:hyperlink w:anchor="__RefHeading___Toc3352854_417432637">
            <w:r>
              <w:rPr>
                <w:webHidden/>
                <w:rStyle w:val="IndexLink"/>
                <w:rtl w:val="true"/>
              </w:rPr>
              <w:t xml:space="preserve">فصل </w:t>
            </w:r>
            <w:r>
              <w:rPr>
                <w:rStyle w:val="IndexLink"/>
                <w:rtl w:val="true"/>
              </w:rPr>
              <w:t>[</w:t>
            </w:r>
            <w:r>
              <w:rPr>
                <w:rStyle w:val="IndexLink"/>
                <w:rtl w:val="true"/>
              </w:rPr>
              <w:t>في البراءة</w:t>
            </w:r>
            <w:r>
              <w:rPr>
                <w:rStyle w:val="IndexLink"/>
                <w:rtl w:val="true"/>
              </w:rPr>
              <w:t>]</w:t>
              <w:tab/>
            </w:r>
            <w:r>
              <w:rPr>
                <w:rStyle w:val="IndexLink"/>
              </w:rPr>
              <w:t>470</w:t>
            </w:r>
          </w:hyperlink>
        </w:p>
        <w:p>
          <w:pPr>
            <w:pStyle w:val="Contents2"/>
            <w:tabs>
              <w:tab w:val="clear" w:pos="8743"/>
              <w:tab w:val="right" w:pos="9026" w:leader="dot"/>
            </w:tabs>
            <w:rPr/>
          </w:pPr>
          <w:hyperlink w:anchor="__RefHeading___Toc3352856_417432637">
            <w:r>
              <w:rPr>
                <w:webHidden/>
                <w:rStyle w:val="IndexLink"/>
                <w:rtl w:val="true"/>
              </w:rPr>
              <w:t xml:space="preserve">وقد استدلّ على ذلك بالأدلّة الأربعة </w:t>
            </w:r>
            <w:r>
              <w:rPr>
                <w:rStyle w:val="IndexLink"/>
                <w:rtl w:val="true"/>
              </w:rPr>
              <w:t>:</w:t>
              <w:tab/>
            </w:r>
            <w:r>
              <w:rPr>
                <w:rStyle w:val="IndexLink"/>
              </w:rPr>
              <w:t>470</w:t>
            </w:r>
          </w:hyperlink>
        </w:p>
        <w:p>
          <w:pPr>
            <w:pStyle w:val="Contents2"/>
            <w:tabs>
              <w:tab w:val="clear" w:pos="8743"/>
              <w:tab w:val="right" w:pos="9026" w:leader="dot"/>
            </w:tabs>
            <w:rPr/>
          </w:pPr>
          <w:hyperlink w:anchor="__RefHeading___Toc3352858_417432637">
            <w:r>
              <w:rPr>
                <w:webHidden/>
                <w:rStyle w:val="IndexLink"/>
                <w:rtl w:val="true"/>
              </w:rPr>
              <w:t xml:space="preserve">وأمّا السنّة فروايات </w:t>
            </w:r>
            <w:r>
              <w:rPr>
                <w:rStyle w:val="IndexLink"/>
                <w:rtl w:val="true"/>
              </w:rPr>
              <w:t>:</w:t>
              <w:tab/>
            </w:r>
            <w:r>
              <w:rPr>
                <w:rStyle w:val="IndexLink"/>
              </w:rPr>
              <w:t>471</w:t>
            </w:r>
          </w:hyperlink>
        </w:p>
        <w:p>
          <w:pPr>
            <w:pStyle w:val="Contents2"/>
            <w:tabs>
              <w:tab w:val="clear" w:pos="8743"/>
              <w:tab w:val="right" w:pos="9026" w:leader="dot"/>
            </w:tabs>
            <w:rPr/>
          </w:pPr>
          <w:hyperlink w:anchor="__RefHeading___Toc3352860_417432637">
            <w:r>
              <w:rPr>
                <w:webHidden/>
                <w:rStyle w:val="IndexLink"/>
                <w:rtl w:val="true"/>
              </w:rPr>
              <w:t>[</w:t>
            </w:r>
            <w:r>
              <w:rPr>
                <w:rStyle w:val="IndexLink"/>
                <w:rtl w:val="true"/>
              </w:rPr>
              <w:t>تنبيهات البراءة</w:t>
            </w:r>
            <w:r>
              <w:rPr>
                <w:rStyle w:val="IndexLink"/>
                <w:rtl w:val="true"/>
              </w:rPr>
              <w:t>]</w:t>
              <w:tab/>
            </w:r>
            <w:r>
              <w:rPr>
                <w:rStyle w:val="IndexLink"/>
              </w:rPr>
              <w:t>482</w:t>
            </w:r>
          </w:hyperlink>
        </w:p>
        <w:p>
          <w:pPr>
            <w:pStyle w:val="Contents2"/>
            <w:tabs>
              <w:tab w:val="clear" w:pos="8743"/>
              <w:tab w:val="right" w:pos="9026" w:leader="dot"/>
            </w:tabs>
            <w:rPr/>
          </w:pPr>
          <w:hyperlink w:anchor="__RefHeading___Toc3352862_417432637">
            <w:r>
              <w:rPr>
                <w:webHidden/>
                <w:rStyle w:val="IndexLink"/>
                <w:rtl w:val="true"/>
              </w:rPr>
              <w:t xml:space="preserve">بقي اُمور مهمّة لا بأس بالإشارة إليها </w:t>
            </w:r>
            <w:r>
              <w:rPr>
                <w:rStyle w:val="IndexLink"/>
                <w:rtl w:val="true"/>
              </w:rPr>
              <w:t>:</w:t>
              <w:tab/>
            </w:r>
            <w:r>
              <w:rPr>
                <w:rStyle w:val="IndexLink"/>
              </w:rPr>
              <w:t>482</w:t>
            </w:r>
          </w:hyperlink>
        </w:p>
        <w:p>
          <w:pPr>
            <w:pStyle w:val="Contents2"/>
            <w:tabs>
              <w:tab w:val="clear" w:pos="8743"/>
              <w:tab w:val="right" w:pos="9026" w:leader="dot"/>
            </w:tabs>
            <w:rPr/>
          </w:pPr>
          <w:hyperlink w:anchor="__RefHeading___Toc3352864_417432637">
            <w:r>
              <w:rPr>
                <w:webHidden/>
                <w:rStyle w:val="IndexLink"/>
                <w:rtl w:val="true"/>
              </w:rPr>
              <w:t xml:space="preserve">فصل </w:t>
            </w:r>
            <w:r>
              <w:rPr>
                <w:rStyle w:val="IndexLink"/>
                <w:rtl w:val="true"/>
              </w:rPr>
              <w:t>[</w:t>
            </w:r>
            <w:r>
              <w:rPr>
                <w:rStyle w:val="IndexLink"/>
                <w:rtl w:val="true"/>
              </w:rPr>
              <w:t>في التخيير</w:t>
            </w:r>
            <w:r>
              <w:rPr>
                <w:rStyle w:val="IndexLink"/>
                <w:rtl w:val="true"/>
              </w:rPr>
              <w:t>]</w:t>
              <w:tab/>
            </w:r>
            <w:r>
              <w:rPr>
                <w:rStyle w:val="IndexLink"/>
              </w:rPr>
              <w:t>488</w:t>
            </w:r>
          </w:hyperlink>
        </w:p>
        <w:p>
          <w:pPr>
            <w:pStyle w:val="Contents2"/>
            <w:tabs>
              <w:tab w:val="clear" w:pos="8743"/>
              <w:tab w:val="right" w:pos="9026" w:leader="dot"/>
            </w:tabs>
            <w:rPr/>
          </w:pPr>
          <w:hyperlink w:anchor="__RefHeading___Toc3352866_417432637">
            <w:r>
              <w:rPr>
                <w:webHidden/>
                <w:rStyle w:val="IndexLink"/>
                <w:rtl w:val="true"/>
              </w:rPr>
              <w:t xml:space="preserve">فصل </w:t>
            </w:r>
            <w:r>
              <w:rPr>
                <w:rStyle w:val="IndexLink"/>
                <w:rtl w:val="true"/>
              </w:rPr>
              <w:t>[</w:t>
            </w:r>
            <w:r>
              <w:rPr>
                <w:rStyle w:val="IndexLink"/>
                <w:rtl w:val="true"/>
              </w:rPr>
              <w:t>في الاشتغال</w:t>
            </w:r>
            <w:r>
              <w:rPr>
                <w:rStyle w:val="IndexLink"/>
                <w:rtl w:val="true"/>
              </w:rPr>
              <w:t>]</w:t>
              <w:tab/>
            </w:r>
            <w:r>
              <w:rPr>
                <w:rStyle w:val="IndexLink"/>
              </w:rPr>
              <w:t>491</w:t>
            </w:r>
          </w:hyperlink>
        </w:p>
        <w:p>
          <w:pPr>
            <w:pStyle w:val="Contents2"/>
            <w:tabs>
              <w:tab w:val="clear" w:pos="8743"/>
              <w:tab w:val="right" w:pos="9026" w:leader="dot"/>
            </w:tabs>
            <w:rPr/>
          </w:pPr>
          <w:hyperlink w:anchor="__RefHeading___Toc3352868_417432637">
            <w:r>
              <w:rPr>
                <w:webHidden/>
                <w:rStyle w:val="IndexLink"/>
                <w:rtl w:val="true"/>
              </w:rPr>
              <w:t xml:space="preserve">المقام الأوّل </w:t>
            </w:r>
            <w:r>
              <w:rPr>
                <w:rStyle w:val="IndexLink"/>
                <w:rtl w:val="true"/>
              </w:rPr>
              <w:t xml:space="preserve">: </w:t>
            </w:r>
            <w:r>
              <w:rPr>
                <w:rStyle w:val="IndexLink"/>
                <w:rtl w:val="true"/>
              </w:rPr>
              <w:t>في دوران الأمر بين المتباينين</w:t>
            </w:r>
            <w:r>
              <w:rPr>
                <w:rStyle w:val="IndexLink"/>
                <w:rtl w:val="true"/>
              </w:rPr>
              <w:t>(</w:t>
            </w:r>
            <w:r>
              <w:rPr>
                <w:rStyle w:val="IndexLink"/>
              </w:rPr>
              <w:t>10</w:t>
            </w:r>
            <w:r>
              <w:rPr>
                <w:rStyle w:val="IndexLink"/>
                <w:rtl w:val="true"/>
              </w:rPr>
              <w:t>)</w:t>
              <w:tab/>
            </w:r>
            <w:r>
              <w:rPr>
                <w:rStyle w:val="IndexLink"/>
              </w:rPr>
              <w:t>491</w:t>
            </w:r>
          </w:hyperlink>
        </w:p>
        <w:p>
          <w:pPr>
            <w:pStyle w:val="Contents2"/>
            <w:tabs>
              <w:tab w:val="clear" w:pos="8743"/>
              <w:tab w:val="right" w:pos="9026" w:leader="dot"/>
            </w:tabs>
            <w:rPr/>
          </w:pPr>
          <w:hyperlink w:anchor="__RefHeading___Toc3352870_417432637">
            <w:r>
              <w:rPr>
                <w:webHidden/>
                <w:rStyle w:val="IndexLink"/>
                <w:rtl w:val="true"/>
              </w:rPr>
              <w:t>تنبيهات</w:t>
            </w:r>
            <w:r>
              <w:rPr>
                <w:rStyle w:val="IndexLink"/>
                <w:rtl w:val="true"/>
              </w:rPr>
              <w:tab/>
            </w:r>
            <w:r>
              <w:rPr>
                <w:rStyle w:val="IndexLink"/>
              </w:rPr>
              <w:t>494</w:t>
            </w:r>
          </w:hyperlink>
        </w:p>
        <w:p>
          <w:pPr>
            <w:pStyle w:val="Contents2"/>
            <w:tabs>
              <w:tab w:val="clear" w:pos="8743"/>
              <w:tab w:val="right" w:pos="9026" w:leader="dot"/>
            </w:tabs>
            <w:rPr/>
          </w:pPr>
          <w:hyperlink w:anchor="__RefHeading___Toc3352872_417432637">
            <w:r>
              <w:rPr>
                <w:webHidden/>
                <w:rStyle w:val="IndexLink"/>
                <w:rtl w:val="true"/>
              </w:rPr>
              <w:t xml:space="preserve">المقام الثاني </w:t>
            </w:r>
            <w:r>
              <w:rPr>
                <w:rStyle w:val="IndexLink"/>
                <w:rtl w:val="true"/>
              </w:rPr>
              <w:t xml:space="preserve">: </w:t>
            </w:r>
            <w:r>
              <w:rPr>
                <w:rStyle w:val="IndexLink"/>
                <w:rtl w:val="true"/>
              </w:rPr>
              <w:t>في دوران الأمر بين الأقلّ والأكثر الارتباطيين</w:t>
            </w:r>
            <w:r>
              <w:rPr>
                <w:rStyle w:val="IndexLink"/>
                <w:rtl w:val="true"/>
              </w:rPr>
              <w:t>(</w:t>
            </w:r>
            <w:r>
              <w:rPr>
                <w:rStyle w:val="IndexLink"/>
              </w:rPr>
              <w:t>15</w:t>
            </w:r>
            <w:r>
              <w:rPr>
                <w:rStyle w:val="IndexLink"/>
                <w:rtl w:val="true"/>
              </w:rPr>
              <w:t>)</w:t>
              <w:tab/>
            </w:r>
            <w:r>
              <w:rPr>
                <w:rStyle w:val="IndexLink"/>
              </w:rPr>
              <w:t>498</w:t>
            </w:r>
          </w:hyperlink>
        </w:p>
        <w:p>
          <w:pPr>
            <w:pStyle w:val="Contents2"/>
            <w:tabs>
              <w:tab w:val="clear" w:pos="8743"/>
              <w:tab w:val="right" w:pos="9026" w:leader="dot"/>
            </w:tabs>
            <w:rPr/>
          </w:pPr>
          <w:hyperlink w:anchor="__RefHeading___Toc3352874_417432637">
            <w:r>
              <w:rPr>
                <w:webHidden/>
                <w:rStyle w:val="IndexLink"/>
                <w:rtl w:val="true"/>
              </w:rPr>
              <w:t xml:space="preserve">وينبغي التنبيه على اُمور </w:t>
            </w:r>
            <w:r>
              <w:rPr>
                <w:rStyle w:val="IndexLink"/>
                <w:rtl w:val="true"/>
              </w:rPr>
              <w:t>:</w:t>
              <w:tab/>
            </w:r>
            <w:r>
              <w:rPr>
                <w:rStyle w:val="IndexLink"/>
              </w:rPr>
              <w:t>502</w:t>
            </w:r>
          </w:hyperlink>
        </w:p>
        <w:p>
          <w:pPr>
            <w:pStyle w:val="Contents2"/>
            <w:tabs>
              <w:tab w:val="clear" w:pos="8743"/>
              <w:tab w:val="right" w:pos="9026" w:leader="dot"/>
            </w:tabs>
            <w:rPr/>
          </w:pPr>
          <w:hyperlink w:anchor="__RefHeading___Toc3352876_417432637">
            <w:r>
              <w:rPr>
                <w:webHidden/>
                <w:rStyle w:val="IndexLink"/>
                <w:rtl w:val="true"/>
              </w:rPr>
              <w:t>تذنيب</w:t>
            </w:r>
            <w:r>
              <w:rPr>
                <w:rStyle w:val="IndexLink"/>
                <w:rtl w:val="true"/>
              </w:rPr>
              <w:tab/>
            </w:r>
            <w:r>
              <w:rPr>
                <w:rStyle w:val="IndexLink"/>
              </w:rPr>
              <w:t>508</w:t>
            </w:r>
          </w:hyperlink>
        </w:p>
        <w:p>
          <w:pPr>
            <w:pStyle w:val="Contents2"/>
            <w:tabs>
              <w:tab w:val="clear" w:pos="8743"/>
              <w:tab w:val="right" w:pos="9026" w:leader="dot"/>
            </w:tabs>
            <w:rPr/>
          </w:pPr>
          <w:hyperlink w:anchor="__RefHeading___Toc3352878_417432637">
            <w:r>
              <w:rPr>
                <w:webHidden/>
                <w:rStyle w:val="IndexLink"/>
                <w:rtl w:val="true"/>
              </w:rPr>
              <w:t>خاتمة في شرائط الاُصول</w:t>
            </w:r>
            <w:r>
              <w:rPr>
                <w:rStyle w:val="IndexLink"/>
                <w:rtl w:val="true"/>
              </w:rPr>
              <w:tab/>
            </w:r>
            <w:r>
              <w:rPr>
                <w:rStyle w:val="IndexLink"/>
              </w:rPr>
              <w:t>509</w:t>
            </w:r>
          </w:hyperlink>
        </w:p>
        <w:p>
          <w:pPr>
            <w:pStyle w:val="Contents2"/>
            <w:tabs>
              <w:tab w:val="clear" w:pos="8743"/>
              <w:tab w:val="right" w:pos="9026" w:leader="dot"/>
            </w:tabs>
            <w:rPr/>
          </w:pPr>
          <w:hyperlink w:anchor="__RefHeading___Toc3352880_417432637">
            <w:r>
              <w:rPr>
                <w:webHidden/>
                <w:rStyle w:val="IndexLink"/>
                <w:rtl w:val="true"/>
              </w:rPr>
              <w:t xml:space="preserve">المقدّمة </w:t>
            </w:r>
            <w:r>
              <w:rPr>
                <w:rStyle w:val="IndexLink"/>
                <w:rtl w:val="true"/>
              </w:rPr>
              <w:t xml:space="preserve">: </w:t>
            </w:r>
            <w:r>
              <w:rPr>
                <w:rStyle w:val="IndexLink"/>
                <w:rtl w:val="true"/>
              </w:rPr>
              <w:t>في ذكر الأحاديث المربوطة بالمقام</w:t>
            </w:r>
            <w:r>
              <w:rPr>
                <w:rStyle w:val="IndexLink"/>
                <w:rtl w:val="true"/>
              </w:rPr>
              <w:tab/>
            </w:r>
            <w:r>
              <w:rPr>
                <w:rStyle w:val="IndexLink"/>
              </w:rPr>
              <w:t>565</w:t>
            </w:r>
          </w:hyperlink>
        </w:p>
        <w:p>
          <w:pPr>
            <w:pStyle w:val="Contents2"/>
            <w:tabs>
              <w:tab w:val="clear" w:pos="8743"/>
              <w:tab w:val="right" w:pos="9026" w:leader="dot"/>
            </w:tabs>
            <w:rPr/>
          </w:pPr>
          <w:hyperlink w:anchor="__RefHeading___Toc3352882_417432637">
            <w:r>
              <w:rPr>
                <w:webHidden/>
                <w:rStyle w:val="IndexLink"/>
                <w:rtl w:val="true"/>
              </w:rPr>
              <w:t xml:space="preserve">فصل </w:t>
            </w:r>
            <w:r>
              <w:rPr>
                <w:rStyle w:val="IndexLink"/>
                <w:rtl w:val="true"/>
              </w:rPr>
              <w:t xml:space="preserve">: </w:t>
            </w:r>
            <w:r>
              <w:rPr>
                <w:rStyle w:val="IndexLink"/>
                <w:rtl w:val="true"/>
              </w:rPr>
              <w:t xml:space="preserve">في حال ورود </w:t>
            </w:r>
            <w:r>
              <w:rPr>
                <w:rStyle w:val="IndexLink"/>
                <w:rtl w:val="true"/>
              </w:rPr>
              <w:t>«</w:t>
            </w:r>
            <w:r>
              <w:rPr>
                <w:rStyle w:val="IndexLink"/>
                <w:rtl w:val="true"/>
              </w:rPr>
              <w:t>لا ضرر</w:t>
            </w:r>
            <w:r>
              <w:rPr>
                <w:rStyle w:val="IndexLink"/>
                <w:rtl w:val="true"/>
              </w:rPr>
              <w:t xml:space="preserve">» </w:t>
            </w:r>
            <w:r>
              <w:rPr>
                <w:rStyle w:val="IndexLink"/>
                <w:rtl w:val="true"/>
              </w:rPr>
              <w:t>في ضمن القضايا ومستقلاًّ</w:t>
            </w:r>
            <w:r>
              <w:rPr>
                <w:rStyle w:val="IndexLink"/>
                <w:rtl w:val="true"/>
              </w:rPr>
              <w:tab/>
            </w:r>
            <w:r>
              <w:rPr>
                <w:rStyle w:val="IndexLink"/>
              </w:rPr>
              <w:t>575</w:t>
            </w:r>
          </w:hyperlink>
        </w:p>
        <w:p>
          <w:pPr>
            <w:pStyle w:val="Contents2"/>
            <w:tabs>
              <w:tab w:val="clear" w:pos="8743"/>
              <w:tab w:val="right" w:pos="9026" w:leader="dot"/>
            </w:tabs>
            <w:rPr/>
          </w:pPr>
          <w:hyperlink w:anchor="__RefHeading___Toc3352884_417432637">
            <w:r>
              <w:rPr>
                <w:webHidden/>
                <w:rStyle w:val="IndexLink"/>
                <w:rtl w:val="true"/>
              </w:rPr>
              <w:t xml:space="preserve">فصل </w:t>
            </w:r>
            <w:r>
              <w:rPr>
                <w:rStyle w:val="IndexLink"/>
                <w:rtl w:val="true"/>
              </w:rPr>
              <w:t xml:space="preserve">: </w:t>
            </w:r>
            <w:r>
              <w:rPr>
                <w:rStyle w:val="IndexLink"/>
                <w:rtl w:val="true"/>
              </w:rPr>
              <w:t>في الإشكالات الواردة على وروده في ذيل الشفعة ومنع فضول الماء</w:t>
            </w:r>
            <w:r>
              <w:rPr>
                <w:rStyle w:val="IndexLink"/>
                <w:rtl w:val="true"/>
              </w:rPr>
              <w:tab/>
            </w:r>
            <w:r>
              <w:rPr>
                <w:rStyle w:val="IndexLink"/>
              </w:rPr>
              <w:t>577</w:t>
            </w:r>
          </w:hyperlink>
        </w:p>
        <w:p>
          <w:pPr>
            <w:pStyle w:val="Contents2"/>
            <w:tabs>
              <w:tab w:val="clear" w:pos="8743"/>
              <w:tab w:val="right" w:pos="9026" w:leader="dot"/>
            </w:tabs>
            <w:rPr/>
          </w:pPr>
          <w:hyperlink w:anchor="__RefHeading___Toc3352886_417432637">
            <w:r>
              <w:rPr>
                <w:webHidden/>
                <w:rStyle w:val="IndexLink"/>
                <w:rtl w:val="true"/>
              </w:rPr>
              <w:t xml:space="preserve">فصل </w:t>
            </w:r>
            <w:r>
              <w:rPr>
                <w:rStyle w:val="IndexLink"/>
                <w:rtl w:val="true"/>
              </w:rPr>
              <w:t xml:space="preserve">: </w:t>
            </w:r>
            <w:r>
              <w:rPr>
                <w:rStyle w:val="IndexLink"/>
                <w:rtl w:val="true"/>
              </w:rPr>
              <w:t>في تأييد عدم وروده في ذيل القضيّتين</w:t>
            </w:r>
            <w:r>
              <w:rPr>
                <w:rStyle w:val="IndexLink"/>
                <w:rtl w:val="true"/>
              </w:rPr>
              <w:tab/>
            </w:r>
            <w:r>
              <w:rPr>
                <w:rStyle w:val="IndexLink"/>
              </w:rPr>
              <w:t>581</w:t>
            </w:r>
          </w:hyperlink>
        </w:p>
        <w:p>
          <w:pPr>
            <w:pStyle w:val="Contents2"/>
            <w:tabs>
              <w:tab w:val="clear" w:pos="8743"/>
              <w:tab w:val="right" w:pos="9026" w:leader="dot"/>
            </w:tabs>
            <w:rPr/>
          </w:pPr>
          <w:hyperlink w:anchor="__RefHeading___Toc3352888_417432637">
            <w:r>
              <w:rPr>
                <w:webHidden/>
                <w:rStyle w:val="IndexLink"/>
                <w:rtl w:val="true"/>
              </w:rPr>
              <w:t xml:space="preserve">فصل </w:t>
            </w:r>
            <w:r>
              <w:rPr>
                <w:rStyle w:val="IndexLink"/>
                <w:rtl w:val="true"/>
              </w:rPr>
              <w:t xml:space="preserve">: </w:t>
            </w:r>
            <w:r>
              <w:rPr>
                <w:rStyle w:val="IndexLink"/>
                <w:rtl w:val="true"/>
              </w:rPr>
              <w:t xml:space="preserve">في حال كلمتي </w:t>
            </w:r>
            <w:r>
              <w:rPr>
                <w:rStyle w:val="IndexLink"/>
                <w:rtl w:val="true"/>
              </w:rPr>
              <w:t>«</w:t>
            </w:r>
            <w:r>
              <w:rPr>
                <w:rStyle w:val="IndexLink"/>
                <w:rtl w:val="true"/>
              </w:rPr>
              <w:t>في الإسلام</w:t>
            </w:r>
            <w:r>
              <w:rPr>
                <w:rStyle w:val="IndexLink"/>
                <w:rtl w:val="true"/>
              </w:rPr>
              <w:t xml:space="preserve">» </w:t>
            </w:r>
            <w:r>
              <w:rPr>
                <w:rStyle w:val="IndexLink"/>
                <w:rtl w:val="true"/>
              </w:rPr>
              <w:t>و</w:t>
            </w:r>
            <w:r>
              <w:rPr>
                <w:rStyle w:val="IndexLink"/>
                <w:rtl w:val="true"/>
              </w:rPr>
              <w:t>«</w:t>
            </w:r>
            <w:r>
              <w:rPr>
                <w:rStyle w:val="IndexLink"/>
                <w:rtl w:val="true"/>
              </w:rPr>
              <w:t>على مؤمن</w:t>
            </w:r>
            <w:r>
              <w:rPr>
                <w:rStyle w:val="IndexLink"/>
                <w:rtl w:val="true"/>
              </w:rPr>
              <w:t xml:space="preserve">» </w:t>
            </w:r>
            <w:r>
              <w:rPr>
                <w:rStyle w:val="IndexLink"/>
                <w:rtl w:val="true"/>
              </w:rPr>
              <w:t>في الحديث</w:t>
            </w:r>
            <w:r>
              <w:rPr>
                <w:rStyle w:val="IndexLink"/>
                <w:rtl w:val="true"/>
              </w:rPr>
              <w:tab/>
            </w:r>
            <w:r>
              <w:rPr>
                <w:rStyle w:val="IndexLink"/>
              </w:rPr>
              <w:t>586</w:t>
            </w:r>
          </w:hyperlink>
        </w:p>
        <w:p>
          <w:pPr>
            <w:pStyle w:val="Contents2"/>
            <w:tabs>
              <w:tab w:val="clear" w:pos="8743"/>
              <w:tab w:val="right" w:pos="9026" w:leader="dot"/>
            </w:tabs>
            <w:rPr/>
          </w:pPr>
          <w:hyperlink w:anchor="__RefHeading___Toc3352890_417432637">
            <w:r>
              <w:rPr>
                <w:webHidden/>
                <w:rStyle w:val="IndexLink"/>
                <w:rtl w:val="true"/>
              </w:rPr>
              <w:t xml:space="preserve">فصل </w:t>
            </w:r>
            <w:r>
              <w:rPr>
                <w:rStyle w:val="IndexLink"/>
                <w:rtl w:val="true"/>
              </w:rPr>
              <w:t xml:space="preserve">: </w:t>
            </w:r>
            <w:r>
              <w:rPr>
                <w:rStyle w:val="IndexLink"/>
                <w:rtl w:val="true"/>
              </w:rPr>
              <w:t>في معنى مفردات الحديث</w:t>
            </w:r>
            <w:r>
              <w:rPr>
                <w:rStyle w:val="IndexLink"/>
                <w:rtl w:val="true"/>
              </w:rPr>
              <w:tab/>
            </w:r>
            <w:r>
              <w:rPr>
                <w:rStyle w:val="IndexLink"/>
              </w:rPr>
              <w:t>590</w:t>
            </w:r>
          </w:hyperlink>
        </w:p>
        <w:p>
          <w:pPr>
            <w:pStyle w:val="Contents2"/>
            <w:tabs>
              <w:tab w:val="clear" w:pos="8743"/>
              <w:tab w:val="right" w:pos="9026" w:leader="dot"/>
            </w:tabs>
            <w:rPr/>
          </w:pPr>
          <w:hyperlink w:anchor="__RefHeading___Toc3352892_417432637">
            <w:r>
              <w:rPr>
                <w:webHidden/>
                <w:rStyle w:val="IndexLink"/>
                <w:rtl w:val="true"/>
              </w:rPr>
              <w:t>الفرق بين الضرر والضرار</w:t>
            </w:r>
            <w:r>
              <w:rPr>
                <w:rStyle w:val="IndexLink"/>
                <w:rtl w:val="true"/>
              </w:rPr>
              <w:tab/>
            </w:r>
            <w:r>
              <w:rPr>
                <w:rStyle w:val="IndexLink"/>
              </w:rPr>
              <w:t>594</w:t>
            </w:r>
          </w:hyperlink>
        </w:p>
        <w:p>
          <w:pPr>
            <w:pStyle w:val="Contents2"/>
            <w:tabs>
              <w:tab w:val="clear" w:pos="8743"/>
              <w:tab w:val="right" w:pos="9026" w:leader="dot"/>
            </w:tabs>
            <w:rPr/>
          </w:pPr>
          <w:hyperlink w:anchor="__RefHeading___Toc3352894_417432637">
            <w:r>
              <w:rPr>
                <w:webHidden/>
                <w:rStyle w:val="IndexLink"/>
                <w:rtl w:val="true"/>
              </w:rPr>
              <w:t xml:space="preserve">فصل </w:t>
            </w:r>
            <w:r>
              <w:rPr>
                <w:rStyle w:val="IndexLink"/>
                <w:rtl w:val="true"/>
              </w:rPr>
              <w:t xml:space="preserve">: </w:t>
            </w:r>
            <w:r>
              <w:rPr>
                <w:rStyle w:val="IndexLink"/>
                <w:rtl w:val="true"/>
              </w:rPr>
              <w:t>في البحث عن مفاد الجملة التركيبية في الحديث</w:t>
            </w:r>
            <w:r>
              <w:rPr>
                <w:rStyle w:val="IndexLink"/>
                <w:rtl w:val="true"/>
              </w:rPr>
              <w:tab/>
            </w:r>
            <w:r>
              <w:rPr>
                <w:rStyle w:val="IndexLink"/>
              </w:rPr>
              <w:t>601</w:t>
            </w:r>
          </w:hyperlink>
        </w:p>
        <w:p>
          <w:pPr>
            <w:pStyle w:val="Contents2"/>
            <w:tabs>
              <w:tab w:val="clear" w:pos="8743"/>
              <w:tab w:val="right" w:pos="9026" w:leader="dot"/>
            </w:tabs>
            <w:rPr/>
          </w:pPr>
          <w:hyperlink w:anchor="__RefHeading___Toc3352896_417432637">
            <w:r>
              <w:rPr>
                <w:webHidden/>
                <w:rStyle w:val="IndexLink"/>
                <w:rtl w:val="true"/>
              </w:rPr>
              <w:t>تحليل نظرية الشيخ الأنصاري ومحتملات كلامه</w:t>
            </w:r>
            <w:r>
              <w:rPr>
                <w:rStyle w:val="IndexLink"/>
                <w:rtl w:val="true"/>
              </w:rPr>
              <w:tab/>
            </w:r>
            <w:r>
              <w:rPr>
                <w:rStyle w:val="IndexLink"/>
              </w:rPr>
              <w:t>602</w:t>
            </w:r>
          </w:hyperlink>
        </w:p>
        <w:p>
          <w:pPr>
            <w:pStyle w:val="Contents2"/>
            <w:tabs>
              <w:tab w:val="clear" w:pos="8743"/>
              <w:tab w:val="right" w:pos="9026" w:leader="dot"/>
            </w:tabs>
            <w:rPr/>
          </w:pPr>
          <w:hyperlink w:anchor="__RefHeading___Toc3352898_417432637">
            <w:r>
              <w:rPr>
                <w:webHidden/>
                <w:rStyle w:val="IndexLink"/>
                <w:rtl w:val="true"/>
              </w:rPr>
              <w:t>فصل</w:t>
            </w:r>
            <w:r>
              <w:rPr>
                <w:rStyle w:val="IndexLink"/>
                <w:rtl w:val="true"/>
              </w:rPr>
              <w:t xml:space="preserve">: </w:t>
            </w:r>
            <w:r>
              <w:rPr>
                <w:rStyle w:val="IndexLink"/>
                <w:rtl w:val="true"/>
              </w:rPr>
              <w:t>في البحث في محتملات كلام الشيخ</w:t>
            </w:r>
            <w:r>
              <w:rPr>
                <w:rStyle w:val="IndexLink"/>
                <w:rtl w:val="true"/>
              </w:rPr>
              <w:tab/>
            </w:r>
            <w:r>
              <w:rPr>
                <w:rStyle w:val="IndexLink"/>
              </w:rPr>
              <w:t>613</w:t>
            </w:r>
          </w:hyperlink>
        </w:p>
        <w:p>
          <w:pPr>
            <w:pStyle w:val="Contents2"/>
            <w:tabs>
              <w:tab w:val="clear" w:pos="8743"/>
              <w:tab w:val="right" w:pos="9026" w:leader="dot"/>
            </w:tabs>
            <w:rPr/>
          </w:pPr>
          <w:hyperlink w:anchor="__RefHeading___Toc3352900_417432637">
            <w:r>
              <w:rPr>
                <w:webHidden/>
                <w:rStyle w:val="IndexLink"/>
                <w:rtl w:val="true"/>
              </w:rPr>
              <w:t>في الإشكالات المشتركة</w:t>
            </w:r>
            <w:r>
              <w:rPr>
                <w:rStyle w:val="IndexLink"/>
                <w:rtl w:val="true"/>
              </w:rPr>
              <w:tab/>
            </w:r>
            <w:r>
              <w:rPr>
                <w:rStyle w:val="IndexLink"/>
              </w:rPr>
              <w:t>613</w:t>
            </w:r>
          </w:hyperlink>
        </w:p>
        <w:p>
          <w:pPr>
            <w:pStyle w:val="Contents2"/>
            <w:tabs>
              <w:tab w:val="clear" w:pos="8743"/>
              <w:tab w:val="right" w:pos="9026" w:leader="dot"/>
            </w:tabs>
            <w:rPr/>
          </w:pPr>
          <w:hyperlink w:anchor="__RefHeading___Toc3352902_417432637">
            <w:r>
              <w:rPr>
                <w:webHidden/>
                <w:rStyle w:val="IndexLink"/>
                <w:rtl w:val="true"/>
              </w:rPr>
              <w:t>في الإشكالات الغير المشتركة</w:t>
            </w:r>
            <w:r>
              <w:rPr>
                <w:rStyle w:val="IndexLink"/>
                <w:rtl w:val="true"/>
              </w:rPr>
              <w:tab/>
            </w:r>
            <w:r>
              <w:rPr>
                <w:rStyle w:val="IndexLink"/>
              </w:rPr>
              <w:t>617</w:t>
            </w:r>
          </w:hyperlink>
        </w:p>
        <w:p>
          <w:pPr>
            <w:pStyle w:val="Contents2"/>
            <w:tabs>
              <w:tab w:val="clear" w:pos="8743"/>
              <w:tab w:val="right" w:pos="9026" w:leader="dot"/>
            </w:tabs>
            <w:rPr/>
          </w:pPr>
          <w:hyperlink w:anchor="__RefHeading___Toc3352904_417432637">
            <w:r>
              <w:rPr>
                <w:webHidden/>
                <w:rStyle w:val="IndexLink"/>
                <w:rtl w:val="true"/>
              </w:rPr>
              <w:t>فصل</w:t>
            </w:r>
            <w:r>
              <w:rPr>
                <w:rStyle w:val="IndexLink"/>
                <w:rtl w:val="true"/>
              </w:rPr>
              <w:t xml:space="preserve">: </w:t>
            </w:r>
            <w:r>
              <w:rPr>
                <w:rStyle w:val="IndexLink"/>
                <w:rtl w:val="true"/>
              </w:rPr>
              <w:t>في حال الاحتمال الثالث</w:t>
            </w:r>
            <w:r>
              <w:rPr>
                <w:rStyle w:val="IndexLink"/>
                <w:rtl w:val="true"/>
              </w:rPr>
              <w:tab/>
            </w:r>
            <w:r>
              <w:rPr>
                <w:rStyle w:val="IndexLink"/>
              </w:rPr>
              <w:t>621</w:t>
            </w:r>
          </w:hyperlink>
        </w:p>
        <w:p>
          <w:pPr>
            <w:pStyle w:val="Contents2"/>
            <w:tabs>
              <w:tab w:val="clear" w:pos="8743"/>
              <w:tab w:val="right" w:pos="9026" w:leader="dot"/>
            </w:tabs>
            <w:rPr/>
          </w:pPr>
          <w:hyperlink w:anchor="__RefHeading___Toc3352906_417432637">
            <w:r>
              <w:rPr>
                <w:webHidden/>
                <w:rStyle w:val="IndexLink"/>
                <w:rtl w:val="true"/>
              </w:rPr>
              <w:t xml:space="preserve">فصل </w:t>
            </w:r>
            <w:r>
              <w:rPr>
                <w:rStyle w:val="IndexLink"/>
                <w:rtl w:val="true"/>
              </w:rPr>
              <w:t xml:space="preserve">: </w:t>
            </w:r>
            <w:r>
              <w:rPr>
                <w:rStyle w:val="IndexLink"/>
                <w:rtl w:val="true"/>
              </w:rPr>
              <w:t>حول المذهب المختار في معنى الرواية</w:t>
            </w:r>
            <w:r>
              <w:rPr>
                <w:rStyle w:val="IndexLink"/>
                <w:rtl w:val="true"/>
              </w:rPr>
              <w:tab/>
            </w:r>
            <w:r>
              <w:rPr>
                <w:rStyle w:val="IndexLink"/>
              </w:rPr>
              <w:t>628</w:t>
            </w:r>
          </w:hyperlink>
        </w:p>
        <w:p>
          <w:pPr>
            <w:pStyle w:val="Contents2"/>
            <w:tabs>
              <w:tab w:val="clear" w:pos="8743"/>
              <w:tab w:val="right" w:pos="9026" w:leader="dot"/>
            </w:tabs>
            <w:rPr/>
          </w:pPr>
          <w:hyperlink w:anchor="__RefHeading___Toc3352908_417432637">
            <w:r>
              <w:rPr>
                <w:webHidden/>
                <w:rStyle w:val="IndexLink"/>
                <w:rtl w:val="true"/>
              </w:rPr>
              <w:t>نتيجة ما أصّلناه</w:t>
            </w:r>
            <w:r>
              <w:rPr>
                <w:rStyle w:val="IndexLink"/>
                <w:rtl w:val="true"/>
              </w:rPr>
              <w:tab/>
            </w:r>
            <w:r>
              <w:rPr>
                <w:rStyle w:val="IndexLink"/>
              </w:rPr>
              <w:t>636</w:t>
            </w:r>
          </w:hyperlink>
        </w:p>
        <w:p>
          <w:pPr>
            <w:pStyle w:val="Contents2"/>
            <w:tabs>
              <w:tab w:val="clear" w:pos="8743"/>
              <w:tab w:val="right" w:pos="9026" w:leader="dot"/>
            </w:tabs>
            <w:rPr/>
          </w:pPr>
          <w:hyperlink w:anchor="__RefHeading___Toc3352910_417432637">
            <w:r>
              <w:rPr>
                <w:webHidden/>
                <w:rStyle w:val="IndexLink"/>
                <w:rtl w:val="true"/>
              </w:rPr>
              <w:t>المختار وآراء الأعلام</w:t>
            </w:r>
            <w:r>
              <w:rPr>
                <w:rStyle w:val="IndexLink"/>
                <w:rtl w:val="true"/>
              </w:rPr>
              <w:tab/>
            </w:r>
            <w:r>
              <w:rPr>
                <w:rStyle w:val="IndexLink"/>
              </w:rPr>
              <w:t>639</w:t>
            </w:r>
          </w:hyperlink>
        </w:p>
        <w:p>
          <w:pPr>
            <w:pStyle w:val="Contents2"/>
            <w:tabs>
              <w:tab w:val="clear" w:pos="8743"/>
              <w:tab w:val="right" w:pos="9026" w:leader="dot"/>
            </w:tabs>
            <w:rPr/>
          </w:pPr>
          <w:hyperlink w:anchor="__RefHeading___Toc3352912_417432637">
            <w:r>
              <w:rPr>
                <w:webHidden/>
                <w:rStyle w:val="IndexLink"/>
                <w:rtl w:val="true"/>
              </w:rPr>
              <w:t>إشكال ودفع</w:t>
            </w:r>
            <w:r>
              <w:rPr>
                <w:rStyle w:val="IndexLink"/>
                <w:rtl w:val="true"/>
              </w:rPr>
              <w:tab/>
            </w:r>
            <w:r>
              <w:rPr>
                <w:rStyle w:val="IndexLink"/>
              </w:rPr>
              <w:t>641</w:t>
            </w:r>
          </w:hyperlink>
        </w:p>
        <w:p>
          <w:pPr>
            <w:pStyle w:val="Contents2"/>
            <w:tabs>
              <w:tab w:val="clear" w:pos="8743"/>
              <w:tab w:val="right" w:pos="9026" w:leader="dot"/>
            </w:tabs>
            <w:rPr/>
          </w:pPr>
          <w:hyperlink w:anchor="__RefHeading___Toc3352914_417432637">
            <w:r>
              <w:rPr>
                <w:webHidden/>
                <w:rStyle w:val="IndexLink"/>
                <w:rtl w:val="true"/>
              </w:rPr>
              <w:t>التنبيه الأوّل في الإشكال على القاعدة</w:t>
            </w:r>
            <w:r>
              <w:rPr>
                <w:rStyle w:val="IndexLink"/>
                <w:rtl w:val="true"/>
              </w:rPr>
              <w:tab/>
            </w:r>
            <w:r>
              <w:rPr>
                <w:rStyle w:val="IndexLink"/>
              </w:rPr>
              <w:t>643</w:t>
            </w:r>
          </w:hyperlink>
        </w:p>
        <w:p>
          <w:pPr>
            <w:pStyle w:val="Contents2"/>
            <w:tabs>
              <w:tab w:val="clear" w:pos="8743"/>
              <w:tab w:val="right" w:pos="9026" w:leader="dot"/>
            </w:tabs>
            <w:rPr/>
          </w:pPr>
          <w:hyperlink w:anchor="__RefHeading___Toc3352916_417432637">
            <w:r>
              <w:rPr>
                <w:webHidden/>
                <w:rStyle w:val="IndexLink"/>
                <w:rtl w:val="true"/>
              </w:rPr>
              <w:t>في جواب بعض الأعاظم عن الإشكال</w:t>
            </w:r>
            <w:r>
              <w:rPr>
                <w:rStyle w:val="IndexLink"/>
                <w:rtl w:val="true"/>
              </w:rPr>
              <w:tab/>
            </w:r>
            <w:r>
              <w:rPr>
                <w:rStyle w:val="IndexLink"/>
              </w:rPr>
              <w:t>644</w:t>
            </w:r>
          </w:hyperlink>
        </w:p>
        <w:p>
          <w:pPr>
            <w:pStyle w:val="Contents2"/>
            <w:tabs>
              <w:tab w:val="clear" w:pos="8743"/>
              <w:tab w:val="right" w:pos="9026" w:leader="dot"/>
            </w:tabs>
            <w:rPr/>
          </w:pPr>
          <w:hyperlink w:anchor="__RefHeading___Toc3352918_417432637">
            <w:r>
              <w:rPr>
                <w:webHidden/>
                <w:rStyle w:val="IndexLink"/>
                <w:rtl w:val="true"/>
              </w:rPr>
              <w:t>مناقشة الجواب المتقدّم</w:t>
            </w:r>
            <w:r>
              <w:rPr>
                <w:rStyle w:val="IndexLink"/>
                <w:rtl w:val="true"/>
              </w:rPr>
              <w:tab/>
            </w:r>
            <w:r>
              <w:rPr>
                <w:rStyle w:val="IndexLink"/>
              </w:rPr>
              <w:t>645</w:t>
            </w:r>
          </w:hyperlink>
        </w:p>
        <w:p>
          <w:pPr>
            <w:pStyle w:val="Contents2"/>
            <w:tabs>
              <w:tab w:val="clear" w:pos="8743"/>
              <w:tab w:val="right" w:pos="9026" w:leader="dot"/>
            </w:tabs>
            <w:rPr/>
          </w:pPr>
          <w:hyperlink w:anchor="__RefHeading___Toc3352920_417432637">
            <w:r>
              <w:rPr>
                <w:webHidden/>
                <w:rStyle w:val="IndexLink"/>
                <w:rtl w:val="true"/>
              </w:rPr>
              <w:t xml:space="preserve">التنبيه الثاني </w:t>
            </w:r>
            <w:r>
              <w:rPr>
                <w:rStyle w:val="IndexLink"/>
                <w:rtl w:val="true"/>
              </w:rPr>
              <w:t xml:space="preserve">: </w:t>
            </w:r>
            <w:r>
              <w:rPr>
                <w:rStyle w:val="IndexLink"/>
                <w:rtl w:val="true"/>
              </w:rPr>
              <w:t>في حكومة القاعدة على أدلّة الأحكام الأوّلية</w:t>
            </w:r>
            <w:r>
              <w:rPr>
                <w:rStyle w:val="IndexLink"/>
                <w:rtl w:val="true"/>
              </w:rPr>
              <w:tab/>
            </w:r>
            <w:r>
              <w:rPr>
                <w:rStyle w:val="IndexLink"/>
              </w:rPr>
              <w:t>649</w:t>
            </w:r>
          </w:hyperlink>
        </w:p>
        <w:p>
          <w:pPr>
            <w:pStyle w:val="Contents2"/>
            <w:tabs>
              <w:tab w:val="clear" w:pos="8743"/>
              <w:tab w:val="right" w:pos="9026" w:leader="dot"/>
            </w:tabs>
            <w:rPr/>
          </w:pPr>
          <w:hyperlink w:anchor="__RefHeading___Toc3352922_417432637">
            <w:r>
              <w:rPr>
                <w:webHidden/>
                <w:rStyle w:val="IndexLink"/>
                <w:rtl w:val="true"/>
              </w:rPr>
              <w:t xml:space="preserve">التنبيه الثالث </w:t>
            </w:r>
            <w:r>
              <w:rPr>
                <w:rStyle w:val="IndexLink"/>
                <w:rtl w:val="true"/>
              </w:rPr>
              <w:t xml:space="preserve">: </w:t>
            </w:r>
            <w:r>
              <w:rPr>
                <w:rStyle w:val="IndexLink"/>
                <w:rtl w:val="true"/>
              </w:rPr>
              <w:t>في تحمّل الضرر وفيما إذا اُكره على الإضرار بالغير</w:t>
            </w:r>
            <w:r>
              <w:rPr>
                <w:rStyle w:val="IndexLink"/>
                <w:rtl w:val="true"/>
              </w:rPr>
              <w:tab/>
            </w:r>
            <w:r>
              <w:rPr>
                <w:rStyle w:val="IndexLink"/>
              </w:rPr>
              <w:t>651</w:t>
            </w:r>
          </w:hyperlink>
        </w:p>
        <w:p>
          <w:pPr>
            <w:pStyle w:val="Contents2"/>
            <w:tabs>
              <w:tab w:val="clear" w:pos="8743"/>
              <w:tab w:val="right" w:pos="9026" w:leader="dot"/>
            </w:tabs>
            <w:rPr/>
          </w:pPr>
          <w:hyperlink w:anchor="__RefHeading___Toc3352924_417432637">
            <w:r>
              <w:rPr>
                <w:webHidden/>
                <w:rStyle w:val="IndexLink"/>
                <w:rtl w:val="true"/>
              </w:rPr>
              <w:t xml:space="preserve">التنبيه الرابع </w:t>
            </w:r>
            <w:r>
              <w:rPr>
                <w:rStyle w:val="IndexLink"/>
                <w:rtl w:val="true"/>
              </w:rPr>
              <w:t xml:space="preserve">: </w:t>
            </w:r>
            <w:r>
              <w:rPr>
                <w:rStyle w:val="IndexLink"/>
                <w:rtl w:val="true"/>
              </w:rPr>
              <w:t>فيما يكون التصرّف في ملكه موجباً لتضرّر الغير</w:t>
            </w:r>
            <w:r>
              <w:rPr>
                <w:rStyle w:val="IndexLink"/>
                <w:rtl w:val="true"/>
              </w:rPr>
              <w:tab/>
            </w:r>
            <w:r>
              <w:rPr>
                <w:rStyle w:val="IndexLink"/>
              </w:rPr>
              <w:t>653</w:t>
            </w:r>
          </w:hyperlink>
        </w:p>
        <w:p>
          <w:pPr>
            <w:pStyle w:val="Contents2"/>
            <w:tabs>
              <w:tab w:val="clear" w:pos="8743"/>
              <w:tab w:val="right" w:pos="9026" w:leader="dot"/>
            </w:tabs>
            <w:rPr/>
          </w:pPr>
          <w:hyperlink w:anchor="__RefHeading___Toc3352926_417432637">
            <w:r>
              <w:rPr>
                <w:webHidden/>
                <w:rStyle w:val="IndexLink"/>
                <w:rtl w:val="true"/>
              </w:rPr>
              <w:t>إشكال ودفع</w:t>
            </w:r>
            <w:r>
              <w:rPr>
                <w:rStyle w:val="IndexLink"/>
                <w:rtl w:val="true"/>
              </w:rPr>
              <w:tab/>
            </w:r>
            <w:r>
              <w:rPr>
                <w:rStyle w:val="IndexLink"/>
              </w:rPr>
              <w:t>655</w:t>
            </w:r>
          </w:hyperlink>
        </w:p>
        <w:p>
          <w:pPr>
            <w:pStyle w:val="Contents2"/>
            <w:tabs>
              <w:tab w:val="clear" w:pos="8743"/>
              <w:tab w:val="right" w:pos="9026" w:leader="dot"/>
            </w:tabs>
            <w:rPr/>
          </w:pPr>
          <w:hyperlink w:anchor="__RefHeading___Toc3352928_417432637">
            <w:r>
              <w:rPr>
                <w:webHidden/>
                <w:rStyle w:val="IndexLink"/>
                <w:rtl w:val="true"/>
              </w:rPr>
              <w:t>الفهارس العامّة</w:t>
            </w:r>
            <w:r>
              <w:rPr>
                <w:rStyle w:val="IndexLink"/>
                <w:rtl w:val="true"/>
              </w:rPr>
              <w:tab/>
            </w:r>
            <w:r>
              <w:rPr>
                <w:rStyle w:val="IndexLink"/>
              </w:rPr>
              <w:t>659</w:t>
            </w:r>
          </w:hyperlink>
        </w:p>
        <w:p>
          <w:pPr>
            <w:pStyle w:val="Contents3"/>
            <w:tabs>
              <w:tab w:val="clear" w:pos="8459"/>
              <w:tab w:val="right" w:pos="9026" w:leader="dot"/>
            </w:tabs>
            <w:rPr/>
          </w:pPr>
          <w:hyperlink w:anchor="__RefHeading___Toc3352930_417432637">
            <w:r>
              <w:rPr>
                <w:webHidden/>
                <w:rStyle w:val="IndexLink"/>
                <w:rtl w:val="true"/>
              </w:rPr>
              <w:t>اشارة</w:t>
            </w:r>
            <w:r>
              <w:rPr>
                <w:rStyle w:val="IndexLink"/>
                <w:rtl w:val="true"/>
              </w:rPr>
              <w:tab/>
            </w:r>
            <w:r>
              <w:rPr>
                <w:rStyle w:val="IndexLink"/>
              </w:rPr>
              <w:t>659</w:t>
            </w:r>
          </w:hyperlink>
        </w:p>
        <w:p>
          <w:pPr>
            <w:pStyle w:val="Contents3"/>
            <w:tabs>
              <w:tab w:val="clear" w:pos="8459"/>
              <w:tab w:val="right" w:pos="9026" w:leader="dot"/>
            </w:tabs>
            <w:rPr/>
          </w:pPr>
          <w:hyperlink w:anchor="__RefHeading___Toc3352932_417432637">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661</w:t>
            </w:r>
          </w:hyperlink>
        </w:p>
        <w:p>
          <w:pPr>
            <w:pStyle w:val="Contents3"/>
            <w:tabs>
              <w:tab w:val="clear" w:pos="8459"/>
              <w:tab w:val="right" w:pos="9026" w:leader="dot"/>
            </w:tabs>
            <w:rPr/>
          </w:pPr>
          <w:hyperlink w:anchor="__RefHeading___Toc3352934_417432637">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665</w:t>
            </w:r>
          </w:hyperlink>
        </w:p>
        <w:p>
          <w:pPr>
            <w:pStyle w:val="Contents3"/>
            <w:tabs>
              <w:tab w:val="clear" w:pos="8459"/>
              <w:tab w:val="right" w:pos="9026" w:leader="dot"/>
            </w:tabs>
            <w:rPr/>
          </w:pPr>
          <w:hyperlink w:anchor="__RefHeading___Toc3352936_417432637">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671</w:t>
            </w:r>
          </w:hyperlink>
        </w:p>
        <w:p>
          <w:pPr>
            <w:pStyle w:val="Contents3"/>
            <w:tabs>
              <w:tab w:val="clear" w:pos="8459"/>
              <w:tab w:val="right" w:pos="9026" w:leader="dot"/>
            </w:tabs>
            <w:rPr/>
          </w:pPr>
          <w:hyperlink w:anchor="__RefHeading___Toc3352938_417432637">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673</w:t>
            </w:r>
          </w:hyperlink>
        </w:p>
        <w:p>
          <w:pPr>
            <w:pStyle w:val="Contents3"/>
            <w:tabs>
              <w:tab w:val="clear" w:pos="8459"/>
              <w:tab w:val="right" w:pos="9026" w:leader="dot"/>
            </w:tabs>
            <w:rPr/>
          </w:pPr>
          <w:hyperlink w:anchor="__RefHeading___Toc3352940_417432637">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679</w:t>
            </w:r>
          </w:hyperlink>
        </w:p>
        <w:p>
          <w:pPr>
            <w:pStyle w:val="Contents3"/>
            <w:tabs>
              <w:tab w:val="clear" w:pos="8459"/>
              <w:tab w:val="right" w:pos="9026" w:leader="dot"/>
            </w:tabs>
            <w:rPr/>
          </w:pPr>
          <w:hyperlink w:anchor="__RefHeading___Toc3352942_417432637">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683</w:t>
            </w:r>
          </w:hyperlink>
        </w:p>
        <w:p>
          <w:pPr>
            <w:pStyle w:val="Contents3"/>
            <w:tabs>
              <w:tab w:val="clear" w:pos="8459"/>
              <w:tab w:val="right" w:pos="9026" w:leader="dot"/>
            </w:tabs>
            <w:rPr/>
          </w:pPr>
          <w:hyperlink w:anchor="__RefHeading___Toc3352944_417432637">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693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30_127744"/>
      <w:bookmarkStart w:id="1" w:name="pg12130_127744"/>
      <w:bookmarkEnd w:id="1"/>
    </w:p>
    <w:p>
      <w:pPr>
        <w:pStyle w:val="Heading2"/>
        <w:numPr>
          <w:ilvl w:val="1"/>
          <w:numId w:val="1"/>
        </w:numPr>
        <w:rPr/>
      </w:pPr>
      <w:bookmarkStart w:id="2" w:name="pg12130_127744"/>
      <w:bookmarkStart w:id="3" w:name="__RefHeading___Toc3352560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الهدایة فی التعلیقة علی الکفایة المجلد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256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وآله الطاهرين </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32_127752"/>
      <w:bookmarkStart w:id="8" w:name="pg12132_127752"/>
      <w:bookmarkEnd w:id="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2132_127752"/>
      <w:bookmarkStart w:id="10" w:name="__RefHeading___Toc3352564_417432637"/>
      <w:bookmarkStart w:id="11" w:name="_Toc3"/>
      <w:bookmarkEnd w:id="9"/>
      <w:bookmarkEnd w:id="10"/>
      <w:r>
        <w:rPr>
          <w:rtl w:val="true"/>
        </w:rPr>
        <w:t>المقصد السابع في الاُصول العملية</w:t>
      </w:r>
      <w:bookmarkEnd w:id="1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132_127754"/>
      <w:bookmarkStart w:id="13" w:name="pg12132_127754"/>
      <w:bookmarkEnd w:id="13"/>
    </w:p>
    <w:p>
      <w:pPr>
        <w:pStyle w:val="Heading2"/>
        <w:numPr>
          <w:ilvl w:val="1"/>
          <w:numId w:val="1"/>
        </w:numPr>
        <w:rPr/>
      </w:pPr>
      <w:bookmarkStart w:id="14" w:name="pg12132_127754"/>
      <w:bookmarkStart w:id="15" w:name="__RefHeading___Toc3352566_417432637"/>
      <w:bookmarkStart w:id="16" w:name="_Toc4"/>
      <w:bookmarkEnd w:id="14"/>
      <w:bookmarkEnd w:id="15"/>
      <w:r>
        <w:rPr>
          <w:rtl w:val="true"/>
        </w:rPr>
        <w:t>الاُصول العملية</w:t>
      </w:r>
      <w:bookmarkEnd w:id="1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العملية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التنبيه على اُمور </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3352568_417432637"/>
      <w:bookmarkStart w:id="18" w:name="_Toc5"/>
      <w:bookmarkEnd w:id="17"/>
      <w:r>
        <w:rPr>
          <w:rtl w:val="true"/>
        </w:rPr>
        <w:t xml:space="preserve">الأمر الأوّل </w:t>
      </w:r>
      <w:r>
        <w:rPr>
          <w:rtl w:val="true"/>
        </w:rPr>
        <w:t>:</w:t>
      </w:r>
      <w:r>
        <w:rPr>
          <w:rtl w:val="true"/>
        </w:rPr>
        <w:t>في بيان حالات المكلّف وذكر مجاري الاُصول</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 جرى ديدنهم في أوّل مبحث القطع</w:t>
      </w:r>
      <w:r>
        <w:rPr>
          <w:rStyle w:val="FootnoteAnchor"/>
          <w:rtl w:val="true"/>
        </w:rPr>
        <w:footnoteReference w:id="2"/>
      </w:r>
      <w:r>
        <w:rPr>
          <w:rFonts w:ascii="Amiri" w:hAnsi="Amiri" w:eastAsia="Amiri" w:cs="Amiri"/>
          <w:color w:val="111111"/>
          <w:sz w:val="28"/>
          <w:sz w:val="28"/>
          <w:szCs w:val="28"/>
          <w:rtl w:val="true"/>
          <w:lang w:bidi="ar-SA"/>
        </w:rPr>
        <w:t xml:space="preserve">بتقسيم حالات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إمّا أن يحصل له القطع ، أو الظنّ ، أو الشكّ ، وذكرِ مجاري الاُصول ، ولقد أطالوا الكلام في النقض والإبرام ، والإشكال في الطرد والعكس فيها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اللتيّا والتي لا يخلو شيء منها من إشكال أو إشكالات ؛ لأنّ أحسن ما قيل في المقام ما أفاده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المكلّف إذا التفت إلى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قاطعاً به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له طريق منصوب من قِبل الشارع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له حالة سابقة ملحوظة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الشكّ في حقيقة التكليف ، أو في متعلّقه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يتمكّن من الاحتياط ، أو لا</w:t>
      </w:r>
      <w:r>
        <w:rPr>
          <w:rStyle w:val="FootnoteAnchor"/>
          <w:rtl w:val="true"/>
        </w:rPr>
        <w:footnoteReference w:id="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قطعاً تفصيلياً ، أو أعمّ منه ومن الإجمالي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الاختصاص به ممّا لا وجه له ؛ فإنّ المختار عدم الفرق بين القطع التفصيلي والإجمالي في وجوب المتابعة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الاختصاص، لا وجه لذكر القطع الإجمالي في مبحث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يحصل 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الشكّ في المتعلّق ؛ فإنّ جميع أقسام الشكّ إنّما هو في مقابل القطع ، والمفروض أ نّه أعمّ من الإجمالي ، فالشكّ في المتعلّق من القطع ، ولا بدّ وأن يذكر في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الإشكال وارد على الطريق المنصوب من قِبل الشارع إذا عرض الإجمال لمتعلّقه ، فيتداخل مع الشكّ في المتعلّق بما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هذا التقسيم أن يكون إجمالاً لما فصّل في الكتاب من المباحث ، فيلزم أن يكون جُلّ مباحث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مستطرداً ؛ فإنّ الطريق المنصوب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مفقود رأساً ؛ بناءً على ما هو الحقّ من أنّ حجّية الخبر الواحد إنّما هي إمضائية لا تأسيسية ، فلا يكون نصب طريق من قِبله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مختصّ بخبر الثقة إن قلنا بتأسيسية الحجّية له ، فيكون سائر المباحث استطراداً ، والظنّ على الانسداد لا يكون حجّة شرعية كما عرفت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 اللحاظ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تخصيصه بما اعتبره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كالضروري بشرط المحمول ، فكأ 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مجرى الاستصحاب ما هو معتبر شرعاً ، وهو كما ترى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التقسيم إجمال المباحث الآتية في الكتاب تفصيلاً ، وبيان لسرّ تنظيم الكتاب على هذه المباحث ؛ فإنّ هذا التنظيم لأجل حالات </w:t>
      </w:r>
      <w:bookmarkStart w:id="19" w:name="pg12132_127757"/>
    </w:p>
    <w:p>
      <w:pPr>
        <w:pStyle w:val="BookText"/>
        <w:rPr/>
      </w:pPr>
      <w:bookmarkEnd w:id="19"/>
      <w:r>
        <w:rPr>
          <w:rFonts w:ascii="Amiri" w:hAnsi="Amiri" w:eastAsia="Amiri" w:cs="Amiri"/>
          <w:color w:val="111111"/>
          <w:sz w:val="28"/>
          <w:sz w:val="28"/>
          <w:szCs w:val="28"/>
          <w:rtl w:val="true"/>
          <w:lang w:bidi="ar-SA"/>
        </w:rPr>
        <w:t xml:space="preserve">المكلّف بالنسبة إلى الحكم الشرعي ؛ فإنّه لا يخلو من القطع بالحكم أو الظنّ أو الشكّ به ، والشكّ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له حالة سابقة أو لا ، والثاني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الشكّ في التكليف أو المكلّف به ، والثاني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يمكن الاحتياط فيه أو لا ، فرتّبت مباحث الكتاب على حسب حالات المكلّف من غير نظر إلى المختار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فللقطع مباحث تأتي في محلّها ، وكذلك للظنّ والشكّ بأقسامه ، فلا يرد عليه إشكال ؛ لعدم التداخل بين المباحث وعدم الاستطراد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التداخل بين القطع والشكّ في المتعلّق ؛ فإنّه أيضاً من القطع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في مبحث القطع هو حيثية حجّية القطع وما يرتبط بها ، وما ذكر في مباحث الاشتغال هو اُمور اُخر مربوطة بالشكّ ، فلا يتداخلان ؛ لاختلاف اللحاظ ، وعلى ما ذكرنا لا 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الحالة السابقة بالملحوظة </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3352570_417432637"/>
      <w:bookmarkStart w:id="21" w:name="_Toc6"/>
      <w:bookmarkEnd w:id="20"/>
      <w:r>
        <w:rPr>
          <w:rtl w:val="true"/>
        </w:rPr>
        <w:t xml:space="preserve">الأمر الثاني </w:t>
      </w:r>
      <w:r>
        <w:rPr>
          <w:rtl w:val="true"/>
        </w:rPr>
        <w:t xml:space="preserve">: </w:t>
      </w:r>
      <w:r>
        <w:rPr>
          <w:rtl w:val="true"/>
        </w:rPr>
        <w:t>في وجه تقديم الأمارات على الاُصول</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وجه تقديم الأمارات على الاُصول قد أشرنا سابقاً </w:t>
      </w:r>
      <w:r>
        <w:rPr>
          <w:rStyle w:val="FootnoteAnchor"/>
          <w:rtl w:val="true"/>
        </w:rPr>
        <w:footnoteReference w:id="6"/>
      </w:r>
      <w:r>
        <w:rPr>
          <w:rFonts w:ascii="Amiri" w:hAnsi="Amiri" w:eastAsia="Amiri" w:cs="Amiri"/>
          <w:color w:val="111111"/>
          <w:sz w:val="28"/>
          <w:sz w:val="28"/>
          <w:szCs w:val="28"/>
          <w:rtl w:val="true"/>
          <w:lang w:bidi="ar-SA"/>
        </w:rPr>
        <w:t xml:space="preserve">إلى ضابطة الحكومة ، وأ نّها هي كون الدليل الحاكم متعرّضاً للمحكوم نحو تعرّض ولو بنحو اللزوم العرفي أو العقلي ممّا لا يرجع إلى </w:t>
      </w:r>
    </w:p>
    <w:p>
      <w:pPr>
        <w:pStyle w:val="BookText"/>
        <w:rPr/>
      </w:pPr>
      <w:r>
        <w:rPr>
          <w:rFonts w:ascii="Amiri" w:hAnsi="Amiri" w:eastAsia="Amiri" w:cs="Amiri"/>
          <w:color w:val="111111"/>
          <w:sz w:val="28"/>
          <w:sz w:val="28"/>
          <w:szCs w:val="28"/>
          <w:rtl w:val="true"/>
          <w:lang w:bidi="ar-SA"/>
        </w:rPr>
        <w:t xml:space="preserve">التصادم في مرحلة الظهور ، أو كون دليل الحاكم متعرّضاً لحيثية من حيثيات دليل المحكوم ممّا لا يتكفّله دليل المحكوم توسعةً وتضييقاً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من الضابط يظهر وجه تقديم الأمارات على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بدّ من التعرّض 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الحكومة لم تكن بين نفس الأمارات والاُصول ، بل تكون بين دليليهما ، فالحكومة إنّما تتقوّم بكيفية التأدية ولسان الدليل ، فلم تكن بين الأدلّة اللبّية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أحد الدليلين اللبّيين</w:t>
      </w:r>
    </w:p>
    <w:p>
      <w:pPr>
        <w:pStyle w:val="BookText"/>
        <w:rPr/>
      </w:pPr>
      <w:r>
        <w:rPr>
          <w:rFonts w:ascii="Amiri" w:hAnsi="Amiri" w:eastAsia="Amiri" w:cs="Amiri"/>
          <w:color w:val="111111"/>
          <w:sz w:val="28"/>
          <w:sz w:val="28"/>
          <w:szCs w:val="28"/>
          <w:rtl w:val="true"/>
          <w:lang w:bidi="ar-SA"/>
        </w:rPr>
        <w:t xml:space="preserve">وارداً على الدليل الآخر اللبّي ، لكنّ الدليل الحاكم لا بدّ وأن يكون دليلاً لفظياً يتصرّف في المحكوم نحو تصرّف ، على ما فصّلناه سالفاً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أدلّة الأمارات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دليلها هو البناء العقلائي أو الإجماع ؛ مثل أصالة الصحّة في فعل الغير بناءً على أماريتها ؛ فإنّ دليلها السيرة العقلائية أو الإجماع ، دون الدليل اللفظي ، فتقديم دليلها على الاستصحاب لم يكن بنحو الحكومة ، بل بنحو الورود أو التخصيص أو غير ذلك ، وسيأتي في محلّه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أدلّة حجّية خبر الثقة ، فإنّها مختلفة ؛ فإن كان المستند هو مفهوم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يكون بنحو الحكومة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 أَنْ تُصِيبُوا قَوْمَاً بِجَهالَةٍ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أنّ خبر العادل متبيّن ، ولم يكن الإقدام معه جهالة ، فيقدّم على أدلّة الاُصول التي يكون موضوعها عدم العلم والجهالة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المستند هو الأخبار ، فلسان بعضها يكون بنحو الحكومة ، وإن كان غالبها لم تكن بتلك المثابة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المستند هو بناء العقلاء ، فلا يبعد أن يكون التقديم بنحو 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قاعدة الفراغ والتجاوز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حاكمة على الاستصحاب ولو قلنا بأمارية الاستصحاب ؛ فإنّ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أماريته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لسانها هو إطالة عمر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الشكّ أيضاً مأخوذ فيها ، لا بنحو الموضوعية وترتّب الأحكام عليه حتّى يكون أصلاً ، بل اعتبر الشكّ لكن بما أ نّه أمر غير مبرم لا ينقض به اليقين الذي هو أمر مبرم مستحكم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دليل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فمفاده عدم شيئية الشكّ مع التجاوز ، وما كان مفاده عدم الشكّ مقدّم على ما كان مفاده تحقّق الشكّ ، لكن لا يكون بمثابة ينقض به اليقين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في شيء لم تَجُزْهُ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لسانهما الحكومة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ولو قلنا بأمارية الاستصحاب ، ولا غرو في ذلك بعد أن يكون المناط في الحكومة هو لسان الأدلّة ، فتقدّم أمارة على أمارة لأجل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إن كان الاستصحاب أصلاً فلا إشكال في حكومة أدلّتها على أدلّته ؛ فإنّ مفاد أدلّة الاستصحاب أ نّه إذا شككت فابنِ على اليقين عملاً ، ورتّب آثار اليقين الطريقي ، فموضوعه الشكّ ، ولسان أدلّة الفراغ والتجاوز هو عدم شيئية الشكّ ، وهو لسان الحكومة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إنّما تكون بين أدلّة الأمارات والاُصول ، فلا بدّ من ملاحظة الأدلّة وكيفية تأديتها ، فربما لا تكون الحكومة بحسب دليل ، وتكون بحسب دليل آخر ، وربما يكون دليل الأصل حاكماً على دليل الأمارة ، فتدبّر جيّداً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بعض أعاظم العصر رحمه الله علیه نسب إلى ظاهر كلام الشيخ قدّس سرّه في المقام وفي مبحث التعادل والترجيح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الوجه في التنافي بين الأمارات والاُصول العملية هو الوجه في التنافي بين الحكم الواقعي والظاهري ، وما هو المناط في الجمع بين الأمارات والاُصول هو المناط في الجمع بين الحكم الواقعي والظاهري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المناطين مختلفان في الجمع والتنافي ، والجمع بين الأمارات والاُصول إنّما هو بالحكومة ، لا بما أفاد الشيخ</w:t>
      </w:r>
      <w:r>
        <w:rPr>
          <w:rStyle w:val="FootnoteAnchor"/>
          <w:rtl w:val="true"/>
        </w:rPr>
        <w:footnoteReference w:id="1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ينقضي منه العجب ، فإنّ كلام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وفي مبحث التعادل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عمّا نسبه إليه ، بل صرّح الشيخ بأنّ وجه تقديم الأمارات على الاُصول هو الحكومة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المحقّق المعاصر لحسن ظنّه بضبطه وحفظه لم يراجع كلام الشيخ </w:t>
      </w:r>
      <w:bookmarkStart w:id="22" w:name="pg12132_127761"/>
    </w:p>
    <w:p>
      <w:pPr>
        <w:pStyle w:val="BookText"/>
        <w:rPr/>
      </w:pPr>
      <w:bookmarkEnd w:id="22"/>
      <w:r>
        <w:rPr>
          <w:rFonts w:ascii="IRNazanin" w:hAnsi="IRNazanin" w:eastAsia="IRNazanin"/>
          <w:color w:val="111111"/>
          <w:sz w:val="28"/>
          <w:sz w:val="28"/>
          <w:szCs w:val="28"/>
          <w:rtl w:val="true"/>
          <w:lang w:bidi="fa-IR"/>
        </w:rPr>
        <w:t xml:space="preserve">حين الإلقاء والتدريس ، والفاضل المقرّر رحمه الله علیه أيضاً لحسن ظنّه بضبط اُستاذه وإتقانه لم يراجع حين التقرير ، فوقعا فيما وقعا ، فراجع كلامهما </w:t>
      </w:r>
      <w:r>
        <w:rPr>
          <w:rFonts w:eastAsia="IRNazanin" w:cs="IRNazanin"/>
          <w:color w:val="111111"/>
          <w:sz w:val="28"/>
          <w:szCs w:val="28"/>
          <w:rtl w:val="true"/>
          <w:lang w:bidi="fa-IR"/>
        </w:rPr>
        <w:t>.</w:t>
      </w:r>
    </w:p>
    <w:p>
      <w:pPr>
        <w:pStyle w:val="Heading2"/>
        <w:numPr>
          <w:ilvl w:val="1"/>
          <w:numId w:val="1"/>
        </w:numPr>
        <w:rPr/>
      </w:pPr>
      <w:bookmarkStart w:id="23" w:name="__RefHeading___Toc3352572_417432637"/>
      <w:bookmarkStart w:id="24" w:name="_Toc7"/>
      <w:bookmarkEnd w:id="23"/>
      <w:r>
        <w:rPr>
          <w:rtl w:val="true"/>
        </w:rPr>
        <w:t xml:space="preserve">الأمر الثالث </w:t>
      </w:r>
      <w:r>
        <w:rPr>
          <w:rtl w:val="true"/>
        </w:rPr>
        <w:t xml:space="preserve">: </w:t>
      </w:r>
      <w:r>
        <w:rPr>
          <w:rtl w:val="true"/>
        </w:rPr>
        <w:t>في وحدة مناط البحث في جميع أقسام الشبهات</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وحدة مناط البحث في جميع أقسام الشبهات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واحد في البحث عن جميع أقسام الشبهات ، موضوعية كانت أو حكمية ، وجوبية أو تحريمية ، تكون الشبهة لأجل فقدان النصّ أو إجماله أو تعارض النصّين ، واختصاص بعض الأقسام بالخلاف دون غيره ، أو بحكم من دليل خارج ، لا يوجب إفراد البحث فيها ؛ ضرورة أنّ ذلك خارج عمّا هو مناط البحث ، فالأولى عدم إفراد البحث فيها ، وعطف النظر إلى ما هو محطّ الكلام ومناط البحث إشكالاً وحلاًّ ودليلاً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بعض الأدلّة عامّ لجميع الشبهات وبعضها مخصوص ببعضها </w:t>
      </w:r>
      <w:r>
        <w:rPr>
          <w:rFonts w:eastAsia="Amiri" w:cs="Amiri" w:ascii="Amiri" w:hAnsi="Amiri"/>
          <w:color w:val="111111"/>
          <w:sz w:val="28"/>
          <w:szCs w:val="28"/>
          <w:rtl w:val="true"/>
          <w:lang w:bidi="ar-SA"/>
        </w:rPr>
        <w:t xml:space="preserve">. </w:t>
      </w:r>
      <w:bookmarkStart w:id="25" w:name="pg12132_127762"/>
    </w:p>
    <w:p>
      <w:pPr>
        <w:pStyle w:val="Heading2"/>
        <w:numPr>
          <w:ilvl w:val="1"/>
          <w:numId w:val="1"/>
        </w:numPr>
        <w:rPr/>
      </w:pPr>
      <w:bookmarkStart w:id="26" w:name="__RefHeading___Toc3352574_417432637"/>
      <w:bookmarkStart w:id="27" w:name="_Toc8"/>
      <w:bookmarkEnd w:id="25"/>
      <w:bookmarkEnd w:id="26"/>
      <w:r>
        <w:rPr>
          <w:rtl w:val="true"/>
        </w:rPr>
        <w:t>حول استدلال الاُصوليّين على البراءة</w:t>
      </w:r>
      <w:bookmarkEnd w:id="27"/>
    </w:p>
    <w:p>
      <w:pPr>
        <w:pStyle w:val="BookText"/>
        <w:rPr/>
      </w:pPr>
      <w:r>
        <w:rPr>
          <w:rFonts w:ascii="Amiri" w:hAnsi="Amiri" w:eastAsia="Amiri" w:cs="Amiri"/>
          <w:color w:val="111111"/>
          <w:sz w:val="28"/>
          <w:sz w:val="28"/>
          <w:szCs w:val="28"/>
          <w:rtl w:val="true"/>
          <w:lang w:bidi="ar-SA"/>
        </w:rPr>
        <w:t xml:space="preserve">إذا عرفت ذلك ، فقد استدلّ على البراءة بالأدلّة الأربعة </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3352576_417432637"/>
      <w:bookmarkStart w:id="29" w:name="_Toc9"/>
      <w:bookmarkEnd w:id="28"/>
      <w:r>
        <w:rPr>
          <w:rtl w:val="true"/>
        </w:rPr>
        <w:t>الاستدلال بالكتاب</w:t>
      </w:r>
      <w:bookmarkEnd w:id="29"/>
    </w:p>
    <w:p>
      <w:pPr>
        <w:pStyle w:val="BookText"/>
        <w:rPr/>
      </w:pPr>
      <w:r>
        <w:rPr>
          <w:rFonts w:ascii="Amiri" w:hAnsi="Amiri" w:eastAsia="Amiri" w:cs="Amiri"/>
          <w:color w:val="111111"/>
          <w:sz w:val="28"/>
          <w:sz w:val="28"/>
          <w:szCs w:val="28"/>
          <w:rtl w:val="true"/>
          <w:lang w:bidi="ar-SA"/>
        </w:rPr>
        <w:t xml:space="preserve">أمّا الكتاب فبآيات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بها على وجه يدفع الإشكالات عنها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أنّ المتفاهم العرفي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بعث الرسل يكون طريقاً إلى إيصال التكاليف إلى العباد ، لا أنّ له جهة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انتخاب لفظ الرسول المناسب للرسالة والتبليغ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أ نّه تعالى بعث رسولاً ، لكنّه لم يبلّغ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في شطر من </w:t>
      </w:r>
    </w:p>
    <w:p>
      <w:pPr>
        <w:pStyle w:val="BookText"/>
        <w:rPr/>
      </w:pPr>
      <w:r>
        <w:rPr>
          <w:rFonts w:ascii="Amiri" w:hAnsi="Amiri" w:eastAsia="Amiri" w:cs="Amiri"/>
          <w:color w:val="111111"/>
          <w:sz w:val="28"/>
          <w:sz w:val="28"/>
          <w:szCs w:val="28"/>
          <w:rtl w:val="true"/>
          <w:lang w:bidi="ar-SA"/>
        </w:rPr>
        <w:t xml:space="preserve">الزمان لجهة من الجهات ومصلحة من المصالح ،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يعذّبهم لأ نّه بعث الرسول ؛ ضرورة أنّ المتفاهم من الآية أنّ البعث لأجل التبليغ وإتمام الحجّة يكون غاية لعدم التعذيب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فرضنا أ نّه بلّغ بعض الأحكام دون بعض ، كان التعذيب بالنسبة إلى ما لا يبلّغه مخالفاً للوعد في الآية الشريفة ، وكذا لو فرض أ نّه بلّغ إلى أهل بلد خاصّ دون سائر البلدان ، وانقطع بالنسبة إليها لأجل حوادث ، أو بلّغ جميع الأحكام إلى جميع البلدان في عصره ، ثمّ عرض الاشتباه ، وانقطع وصول التبليغ على ما هو عليه بالنسبة إلى سائر الأعصار ؛ فإنّ في جميع تلك الصور يفهم عرفاً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إيصال الأحكام إلى العباد وإتمام 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تحصل ، فكما أنّ مجرّد وجود الرسول بين الاُ مّة قبل تبليغه الأحكام لا يصحّح العقاب ، كذلك التبليغ الغير الواصل إلى العباد في حكم عدم التبليغ في ذلك عند العقل والعرف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اشتبه حكم موضوع ، وعمل العبد ما تقتضي وظيفته من التفتيش والفحص ، ولم يصل إلى حكم المولى ، ولم يكن له علم إجمالي أو تفصيلي بالإلزام ، يكون مشمولاً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مُعَذِّبِينَ 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البعث ليس له جهة موضوعية ، بل هو لأجل إيصال الحكم إلى العباد جعل غاية للوعد بحسب الفهم العرفي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أفاده بعض أعاظم العصر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مفاد الآية أجنبيّ عن البراءة ؛ فإنّ مفادها الإخبار بنفي التعذيب قبل إتمام الحجّة ، فلا دلالة لها على حكم مشتبه </w:t>
      </w:r>
    </w:p>
    <w:p>
      <w:pPr>
        <w:pStyle w:val="BookText"/>
        <w:rPr/>
      </w:pPr>
      <w:r>
        <w:rPr>
          <w:rFonts w:ascii="Amiri" w:hAnsi="Amiri" w:eastAsia="Amiri" w:cs="Amiri"/>
          <w:color w:val="111111"/>
          <w:sz w:val="28"/>
          <w:sz w:val="28"/>
          <w:szCs w:val="28"/>
          <w:rtl w:val="true"/>
          <w:lang w:bidi="ar-SA"/>
        </w:rPr>
        <w:t>الحكم من حيث إنّه مشتبه</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 لأنّ المشتبه الذي لم يصل حكمه من اللّه تعالى إلى العباد بعد الفحص مشمول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بما ذكرنا من أنّ البعث كناية عن إيصال الحكم ، أو بإلغاء الخصوصية بنظر العرف بمناسبة الحكم والموضوع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التعبير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مُعَذِّبِينَ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عَذّبنا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ممّا يشير إلى معنىً آخر بحسب المتفاهم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التعذيب قبل البيان منافٍ لمقام الربوبية ، وأ نّه تعالى أجلّ من أن يعذّب قبل تبليغ الحكم إلى العباد وإتمام</w:t>
      </w:r>
    </w:p>
    <w:p>
      <w:pPr>
        <w:pStyle w:val="BookText"/>
        <w:rPr/>
      </w:pPr>
      <w:r>
        <w:rPr>
          <w:rFonts w:ascii="Amiri" w:hAnsi="Amiri" w:eastAsia="Amiri" w:cs="Amiri"/>
          <w:color w:val="111111"/>
          <w:sz w:val="28"/>
          <w:sz w:val="28"/>
          <w:szCs w:val="28"/>
          <w:rtl w:val="true"/>
          <w:lang w:bidi="ar-SA"/>
        </w:rPr>
        <w:t xml:space="preserve">الحجّة عليهم ، فكأ 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مرتكبين لهذا الأمر الذي ينافي مقامنا الأرفع وجنابنا الأمنع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التركيب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يفهم عرفاً أنّ التعذيب قبل البيان منافٍ لمقام عدله ، ويكون أمراً قبيحاً مستنكراً منه تعالى كما لا يبعد ، وإمّا أن يفهم أ نّه منافٍ لمقام رحمته ولطفه بالعباد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عدم الاستحقاق أيضاً ؛ فإنّه مع الاستحقاق لا يكون التعذيب منكراً منافياً لعدله تعالى ، وحينئذٍ يكون الاستدلال بها للبراءة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إلاّ رفع فعلية العقاب ، وهو لا ينافي الاستحقاق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فاُورد على الاستدلال بها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مربوطة بنفي تعذيب الاُمم السالفة قبل بعث الرسل</w:t>
      </w:r>
      <w:r>
        <w:rPr>
          <w:rStyle w:val="FootnoteAnchor"/>
          <w:rtl w:val="true"/>
        </w:rPr>
        <w:footnoteReference w:id="17"/>
      </w:r>
      <w:r>
        <w:rPr>
          <w:rFonts w:ascii="Amiri" w:hAnsi="Amiri" w:eastAsia="Amiri" w:cs="Amiri"/>
          <w:color w:val="111111"/>
          <w:sz w:val="28"/>
          <w:sz w:val="28"/>
          <w:szCs w:val="28"/>
          <w:rtl w:val="true"/>
          <w:lang w:bidi="ar-SA"/>
        </w:rPr>
        <w:t xml:space="preserve">فهي أجنبيّة عمّا نحن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بها لما نحن فيه متقوّم بكونها في مقام نفي الاستحقاق ، لا نفي الفعلية ؛ لأنّ النزاع في البراءة إنّما هو في استحقاق العقاب على ارتكاب المشتبه وعدمه ، لا في فعلية العقاب</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ويرد على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كونها مربوطة بالاُمم السالفة ، بل الظاهر من الآيات المتقدّمة عليها أ نّه عند الحساب يقال للإنسان الذي اُلزم طائره في عنقه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وترى أنّ الجزاء على ميزان العدل ، من غير أن تزر وازرة وزر اُخرى ، ومن غير أن يكون التعذيب بلا تمامية التبليغ وإرسال الرسول وإيصال التكليف ، فلا دلالة فيها على كونها راجعة إلى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على ذلك ؛ فإنّ النظر إلى يوم الحساب ، ويعتبر المضي بالنسبة إليه ، ولذا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مع أنّ زمان صدور الآية لم يكن كذلك إلاّ بتأويل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بأنّ موردها نفي تعذيب الاُمم السالفة ، لكن يفهم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الحكم والموضوع ، وكيفية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التعذيب قبل البيان منافٍ لمقامه الشامخ ، وهو منّة ثابتة وسنّة جارية إلى نفخ الصور ، فهل ترى أ نّه تعالى رفع العقوبة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تسليط الوزغة في أيّام معدودة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منّة على عباده ، ثمّ أخبر بأنّ ذلك ؛ أي هذه التعذيبات اليسيرة ، منافية لمقام رحمته وإفضاله ، ثمّ عذّب العباد قبل البيان بالنار التي تطّلع على الأفئدة وبأنواع </w:t>
      </w:r>
    </w:p>
    <w:p>
      <w:pPr>
        <w:pStyle w:val="BookText"/>
        <w:rPr/>
      </w:pPr>
      <w:r>
        <w:rPr>
          <w:rFonts w:ascii="Amiri" w:hAnsi="Amiri" w:eastAsia="Amiri" w:cs="Amiri"/>
          <w:color w:val="111111"/>
          <w:sz w:val="28"/>
          <w:sz w:val="28"/>
          <w:szCs w:val="28"/>
          <w:rtl w:val="true"/>
          <w:lang w:bidi="ar-SA"/>
        </w:rPr>
        <w:t xml:space="preserve">العقوبات العجيبة الخالدة الاُخروية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بإلقاء الخصوصية ومؤنة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التعذيب قبل البيان لم يقع ، ولا يقع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توقّف الاستدلال بها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النزاع في البراءة إنّما هو في استحقاق العقوبة لا فعليتها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 فإنّ نزاع الاُصولي والأخباري إنّما هو في لزوم الاحتياط في الشبهات وعدمه ، وبعد ثبوت المؤمّن من قِبل اللّه لا نرى بأساً في ارتكابها ، فشرب التتن المشتبه حرمته إذا كان ارتكابه ممّا لا عقاب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بمؤمّن شرعي وترخيص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ارتكابه محذور عند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العقوبة الفعلية وحصول المؤمّن من عذاب اللّه يكفي القائل بالبراءة في تجويز ارتكاب الشبهات وإن لم يثبت بها الإباحة ، ولذا ترى يستدلّون بحديث الرفع وأمثاله للبراءة ولو مع تسليم كون مفاده رفع المؤاخذة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ذكرنا من تقريب الاستدلال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وقع لما زعمه الأخباريون من دلالتها على نفي الملازمة بين حكم العقل والشرع</w:t>
      </w:r>
      <w:r>
        <w:rPr>
          <w:rStyle w:val="FootnoteAnchor"/>
          <w:rtl w:val="true"/>
        </w:rPr>
        <w:footnoteReference w:id="22"/>
      </w:r>
      <w:r>
        <w:rPr>
          <w:rFonts w:ascii="Amiri" w:hAnsi="Amiri" w:eastAsia="Amiri" w:cs="Amiri"/>
          <w:color w:val="111111"/>
          <w:sz w:val="28"/>
          <w:sz w:val="28"/>
          <w:szCs w:val="28"/>
          <w:rtl w:val="true"/>
          <w:lang w:bidi="ar-SA"/>
        </w:rPr>
        <w:t xml:space="preserve">بل لا وقع لكثير ممّا ذكر في المقام إشكالاً ودفعاً ، تدبّر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أظهر الآيات التي استدلّ بها في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لا يزيد دلالة الآية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الشيخ الأعظم</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العقل ، فلو دلّ دليل على لزوم التوقّف أو الاحتياط يكون وارداً عليها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بآيات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بها يتوقّف على كون المراد من الموصول التكليف ، ومن الإيتاء الإيصال والإعلام ، أو كون الموصول والإيتاء مستعملين في معنى أعمّ شامل للتكليف والإيصال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إرادة خصوص التكليف منه مخالف لمورد الآية وما قبلها وبعدها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لِيُنْفِقْ ذُوسَعَةٍ مِنْ سَعَتِهِ وَمَنْ قُدِرَ عَلَيْهِ رِزْقُهُ فَلْيُنْفِقْ مِمَّا آتَاهُ اللّه‌ُ لاَ يُكَلِّفُ اللّه‌ُ نَفْساً إِلاَّ مَا آتَاهَا سَيَجْعَلُ اللّه‌ُ بَعْدَ عُسْرٍ يُسْراً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عن الحمل المذكور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الكبرى الكلّية بمنزلة الدليل على ما قبلها ، وهي أنّ اللّه تعالى لا يُكلّف نفساً إلاّ بشيء أعطاها وأقدرها عليه ، كما يظهر من استشهاد الإمام علیه السلام بها حين سئل عن تكليف الناس بالمعرفة</w:t>
      </w:r>
      <w:r>
        <w:rPr>
          <w:rStyle w:val="FootnoteAnchor"/>
          <w:rtl w:val="true"/>
        </w:rPr>
        <w:footnoteReference w:id="25"/>
      </w:r>
      <w:r>
        <w:rPr>
          <w:rFonts w:ascii="Amiri" w:hAnsi="Amiri" w:eastAsia="Amiri" w:cs="Amiri"/>
          <w:color w:val="111111"/>
          <w:sz w:val="28"/>
          <w:sz w:val="28"/>
          <w:szCs w:val="28"/>
          <w:rtl w:val="true"/>
          <w:lang w:bidi="ar-SA"/>
        </w:rPr>
        <w:t xml:space="preserve">فإنّ العرفان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الشهودي الحضوري بوجوده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للعباد إلاّ بإقداره وتأييده تعالى، ومطلق العلم بوجود صانع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معرفة وعرفاناً ، والتعبير عن الإقدار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لإعطاء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بالإيتاء الذي بمعنى الإعطاء ، لا يبعد أن يكون للمناسبة والمشاكلة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ذلك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فَليُنْفِقْ مِمَّا آتاهُ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كون الموصول أعمّ من التكليف فالظاهر عدم إمكانه ؛ لأنّ نحو تعلّق الفعل بالمفعول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النوعي منه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يباين نحو تعلّقه بالمفعول مع الواسطة ؛ أي المنصوب بنزع الخافض أو المفعول به ؛ لعدم الجامع بين التكليف والمكلّف به بنحوٍ يتعلّق التكليف بهما على نعت واحد ؛ فإنّ البعث لا يصير مبعوثاً إليه ، ولا العكس ،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كلمة النفس مفعولاً به ، والموصول منصوباً بنزع الخافض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المفعول به ، ولا يمكن أن يكون الموصول هو المعنى الأعمّ الشامل له وللمفعول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المفعول المطلق هو المصدر أو ما في معناه المأخوذ من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نوعاً منه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به ما يقع الفعل عليه ، ولا جامع بينهما ، كما لا جامع بين المفعول المطلق والمنصوب بنزع الخافض في المقام</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وأنت خبير بما فيه ؛ فإنّ مباينة نحو تعلّق الفعل بمفعول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المبعوث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وبمفعول مطلق ؛ بحيث يكون أحدهما مفروض الوجود قبل الفعل ، والآخر من كيفيات نفس الفعل ، تمنع عن إرادتهما باستعمال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تعدّد الدالّ والمدلول إن كان دالّين آخرين ومدلولين آخرين غير مفاد الآية ، فهو كما ترى ، وإن كان القرينتين الدالّتين على المعنى المراد منها ، فمع عدم إمكان إرادتهما منها معاً لا معنى لإقامة القرينة ، والجامع بينهما مفقود ، بل غير ممكن ؛ حتّى تكون الخصوصيات من مصاديقه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المراد من التكليف هو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الكلفة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تعلّقه بالحكم تعلّق المفعول به ، فيرتفع الإشكال كما أفاد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إمكان إرادة الجامع الانتزاعي لا يجوز التمسّك بالإطلاق على المطلوب ، لا لما أفاد من أنّ القدر المتيقَّن في مقام التخاطب مانع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غير مانع ، كما حقّق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من جهة ما أفاد أيضاً تبعاً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مفاد الآية مساوق لحكم العقل بقبح العقاب بلا بيان ، فلا يضرّ الأخباري ؛ لإثباته الكلفة من جهة جعل إيجاب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جعل الاحتياط لأجل حفظ التكاليف الواقعية ينافي سوق الآية ؛ حيث منّ اللّه تعالى على المكلّفين بأن لم يجعلهم في الضيق والكلفة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إلاّ مع الإيصال ، والاحتياط ضيق بلا إيصال بالضرورة ؛ لأ نّه لم يكن طريقاً إلى الواقع ، فالاحتياط في الشبهات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كلفة من قبل اللّه من غير إيصال الواقعيات ، وهو منافٍ للآية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لما أفاد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سوق الآية يكون مساق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سكت عن أشياء لم يسكت عنها نسياناً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دلالتها ممحّضة في نفي الكُلفة عمّا لم يوصل علمه إلى العباد لمكان سكوته وعدم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ضرورة أنّ ذلك بعيد عن مساق الآية غاية البعد ، بل تعرّض لمثل ما هو ضروري ، فيرجع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لا يكلّف نفساً بما هو ساكت عنه ولم يكلّف العباد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عدم جواز التمسّك بالإطلاق لأنّ الاحتجاج بالإطلاق إنّما هو بعد ظهور اللفظ ودلالته ، وحينئذٍ لو جعل طبيعة دالّة على معنى موضوعاً لحكم ، واحتملنا دخالة قيد في الحكم بحسب اللبّ والجدّ ، لدفع الاحتمال بأصالة الإطلاق ، وفي مثل المقام الذي لا يثبت ظهور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 هل أراد المعنى الجامع الانتزاعي الذي نحتاج في تصوّر إرادته إلى تكلّف ، أو أراد أحد المعاني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للتمسّك بالإطلاق ، 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 ضمن تراث الشيخ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القضاء ، أبواب صفات القاضي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2132_127770"/>
      <w:bookmarkStart w:id="31" w:name="pg12132_127770"/>
      <w:bookmarkEnd w:id="31"/>
    </w:p>
    <w:p>
      <w:pPr>
        <w:pStyle w:val="BookText"/>
        <w:rPr/>
      </w:pPr>
      <w:bookmarkStart w:id="32" w:name="pg12132_127770"/>
      <w:bookmarkEnd w:id="32"/>
      <w:r>
        <w:rPr>
          <w:rFonts w:ascii="Amiri" w:hAnsi="Amiri" w:eastAsia="Amiri" w:cs="Amiri"/>
          <w:color w:val="111111"/>
          <w:sz w:val="28"/>
          <w:sz w:val="28"/>
          <w:szCs w:val="28"/>
          <w:rtl w:val="true"/>
          <w:lang w:bidi="ar-SA"/>
        </w:rPr>
        <w:t xml:space="preserve">مضافاً إلى أنّ مجرّد الإمكان لا يوجب ظهور اللفظ ، ولا إشكال في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الصدر والذيل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يكلّف نفساً إلاّ بما أقدرها عليه وأعطاها </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352578_417432637"/>
      <w:bookmarkStart w:id="34" w:name="_Toc10"/>
      <w:bookmarkEnd w:id="33"/>
      <w:r>
        <w:rPr>
          <w:rtl w:val="true"/>
        </w:rPr>
        <w:t>كلام المحقّق النائيني في المقام</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ذكرنا يظهر النظر فيما أفاده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بالموصول خصوص المفعول به ، ويكون مع ذلك شاملاً للتكليف وموضوعه ، وأنّ إيتاء كلّ شيء بحسبه ، وأنّ المفعول المطلق النوعي والعددي يصحّ جعله مفعولاً به بنحو من العناية ، وأنّ الوجوب والتحريم يصحّ تعلّق التكليف بهما </w:t>
      </w:r>
    </w:p>
    <w:p>
      <w:pPr>
        <w:pStyle w:val="BookText"/>
        <w:rPr/>
      </w:pPr>
      <w:r>
        <w:rPr>
          <w:rFonts w:ascii="Amiri" w:hAnsi="Amiri" w:eastAsia="Amiri" w:cs="Amiri"/>
          <w:color w:val="111111"/>
          <w:sz w:val="28"/>
          <w:sz w:val="28"/>
          <w:szCs w:val="28"/>
          <w:rtl w:val="true"/>
          <w:lang w:bidi="ar-SA"/>
        </w:rPr>
        <w:t>باعتبار ما لهما من المعنى الاسم المصدري</w:t>
      </w:r>
      <w:r>
        <w:rPr>
          <w:rStyle w:val="FootnoteAnchor"/>
          <w:rtl w:val="true"/>
        </w:rPr>
        <w:footnoteReference w:id="27"/>
      </w:r>
      <w:r>
        <w:rPr>
          <w:rFonts w:ascii="Amiri" w:hAnsi="Amiri" w:eastAsia="Amiri" w:cs="Amiri"/>
          <w:color w:val="111111"/>
          <w:sz w:val="28"/>
          <w:sz w:val="28"/>
          <w:szCs w:val="28"/>
          <w:rtl w:val="true"/>
          <w:lang w:bidi="ar-SA"/>
        </w:rPr>
        <w:t>، فراجع كلامه</w:t>
      </w:r>
      <w:r>
        <w:rPr>
          <w:rStyle w:val="FootnoteAnchor"/>
          <w:rtl w:val="true"/>
        </w:rPr>
        <w:footnoteReference w:id="28"/>
      </w:r>
      <w:r>
        <w:rPr>
          <w:rFonts w:ascii="Amiri" w:hAnsi="Amiri" w:eastAsia="Amiri" w:cs="Amiri"/>
          <w:color w:val="111111"/>
          <w:sz w:val="28"/>
          <w:sz w:val="28"/>
          <w:szCs w:val="28"/>
          <w:rtl w:val="true"/>
          <w:lang w:bidi="ar-SA"/>
        </w:rPr>
        <w:t xml:space="preserve">فإنّه لا يخلو من تكلّف أو تكلّفات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الإشكال على دلالة الآية من الخدشة في دلالتها بعد تسليم كون الموصول بمعنى التكليف ، والإيتاء بمعنى الإيصال والإعلام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أقصى ما تدلّ عليه الآية هو أنّ المؤاخذة لا تحسن إلاّ بعد بعث</w:t>
      </w:r>
    </w:p>
    <w:p>
      <w:pPr>
        <w:pStyle w:val="BookText"/>
        <w:rPr/>
      </w:pPr>
      <w:r>
        <w:rPr>
          <w:rFonts w:ascii="Amiri" w:hAnsi="Amiri" w:eastAsia="Amiri" w:cs="Amiri"/>
          <w:color w:val="111111"/>
          <w:sz w:val="28"/>
          <w:sz w:val="28"/>
          <w:szCs w:val="28"/>
          <w:rtl w:val="true"/>
          <w:lang w:bidi="ar-SA"/>
        </w:rPr>
        <w:t xml:space="preserve">الرسل وتبليغ الأحكام ، وهذا لا ربط له بما نحن فيه من الشكّ في التكليف بعد البعث والإنزال وعروض اختفاء التكليف بما لا يرجع إلى الشارع ، فالآية لا تدلّ على البراءة ، بل مفادها مفاد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29"/>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عرفت ما فيه عند تقرير دلالة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بعد التسليم المذكور في الآية يكون دلالتها على البراءة ظاهرة غير محتاجة إلى ما قرّرنا في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مُعَذِّبِينَ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إلقاء الخصوصية وغيره من البيان ، كما لا يخفى </w:t>
      </w:r>
      <w:r>
        <w:rPr>
          <w:rFonts w:eastAsia="Amiri" w:cs="Amiri" w:ascii="Amiri" w:hAnsi="Amiri"/>
          <w:color w:val="111111"/>
          <w:sz w:val="28"/>
          <w:szCs w:val="28"/>
          <w:rtl w:val="true"/>
          <w:lang w:bidi="ar-SA"/>
        </w:rPr>
        <w:t xml:space="preserve">. </w:t>
      </w:r>
      <w:bookmarkStart w:id="35" w:name="pg12132_127772"/>
    </w:p>
    <w:p>
      <w:pPr>
        <w:pStyle w:val="Heading2"/>
        <w:numPr>
          <w:ilvl w:val="1"/>
          <w:numId w:val="1"/>
        </w:numPr>
        <w:rPr/>
      </w:pPr>
      <w:bookmarkStart w:id="36" w:name="__RefHeading___Toc3352580_417432637"/>
      <w:bookmarkStart w:id="37" w:name="_Toc11"/>
      <w:bookmarkEnd w:id="35"/>
      <w:bookmarkEnd w:id="36"/>
      <w:r>
        <w:rPr>
          <w:rtl w:val="true"/>
        </w:rPr>
        <w:t>الاستدلال بالسنّة على البراءة</w:t>
      </w:r>
      <w:bookmarkEnd w:id="37"/>
    </w:p>
    <w:p>
      <w:pPr>
        <w:pStyle w:val="Heading2"/>
        <w:numPr>
          <w:ilvl w:val="1"/>
          <w:numId w:val="1"/>
        </w:numPr>
        <w:rPr/>
      </w:pPr>
      <w:bookmarkStart w:id="38" w:name="__RefHeading___Toc3352582_417432637"/>
      <w:bookmarkStart w:id="39" w:name="_Toc12"/>
      <w:bookmarkEnd w:id="38"/>
      <w:r>
        <w:rPr>
          <w:rtl w:val="true"/>
        </w:rPr>
        <w:t>حديث الرفع</w:t>
      </w:r>
      <w:bookmarkEnd w:id="39"/>
    </w:p>
    <w:p>
      <w:pPr>
        <w:pStyle w:val="BookText"/>
        <w:rPr/>
      </w:pPr>
      <w:r>
        <w:rPr>
          <w:rFonts w:ascii="Amiri" w:hAnsi="Amiri" w:eastAsia="Amiri" w:cs="Amiri"/>
          <w:color w:val="111111"/>
          <w:sz w:val="28"/>
          <w:sz w:val="28"/>
          <w:szCs w:val="28"/>
          <w:rtl w:val="true"/>
          <w:lang w:bidi="ar-SA"/>
        </w:rPr>
        <w:t>حديث الرفع</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السنّة فروايات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تقريب الاستدلال به واضح ، فالمهمّ بيان اُمور يتمّ بها ما يستفاد من الحديث الشريف </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3352584_417432637"/>
      <w:bookmarkStart w:id="41" w:name="_Toc13"/>
      <w:bookmarkEnd w:id="40"/>
      <w:r>
        <w:rPr>
          <w:rtl w:val="true"/>
        </w:rPr>
        <w:t xml:space="preserve">الأمر الأوّل </w:t>
      </w:r>
      <w:r>
        <w:rPr>
          <w:rtl w:val="true"/>
        </w:rPr>
        <w:t xml:space="preserve">: </w:t>
      </w:r>
      <w:r>
        <w:rPr>
          <w:rtl w:val="true"/>
        </w:rPr>
        <w:t>في شمول الحديث للشبهات الحكمية</w:t>
      </w:r>
      <w:bookmarkEnd w:id="41"/>
    </w:p>
    <w:p>
      <w:pPr>
        <w:pStyle w:val="BookText"/>
        <w:rPr/>
      </w:pPr>
      <w:r>
        <w:rPr>
          <w:rFonts w:ascii="Amiri" w:hAnsi="Amiri" w:eastAsia="Amiri" w:cs="Amiri"/>
          <w:color w:val="111111"/>
          <w:sz w:val="28"/>
          <w:sz w:val="28"/>
          <w:szCs w:val="28"/>
          <w:rtl w:val="true"/>
          <w:lang w:bidi="ar-SA"/>
        </w:rPr>
        <w:t xml:space="preserve">قد استشكل في الاستدلال به للشبهات الحكمية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بوجوه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الاقتضاء تقتضي تقديراً في الكلام ؛ لشهادة الوجدان على وجود الخطأ والنسيان في الخارج ، وكذا غيرهما ، فلا بدّ من تقدير أمر صوناً لكلام الحكيم عن الكذب واللغوية ، والظاهر أنّ المقدّر هو المؤاخذة ،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هذه المذكورات ، ولو قلنا بشمول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أيضاً ، لما </w:t>
      </w:r>
    </w:p>
    <w:p>
      <w:pPr>
        <w:pStyle w:val="BookText"/>
        <w:rPr/>
      </w:pPr>
      <w:r>
        <w:rPr>
          <w:rFonts w:ascii="Amiri" w:hAnsi="Amiri" w:eastAsia="Amiri" w:cs="Amiri"/>
          <w:color w:val="111111"/>
          <w:sz w:val="28"/>
          <w:sz w:val="28"/>
          <w:szCs w:val="28"/>
          <w:rtl w:val="true"/>
          <w:lang w:bidi="ar-SA"/>
        </w:rPr>
        <w:t>أمكن مثل هذا التقدير ؛ إذ لا معنى للمؤاخذة على نفس الحكم ، فيخصّص بالشبهة الموضوعية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 نّه لا حاجة إلى التقدير ؛ فإنّ التقدير إنّما يحتاج إليه إذا توقّف تصحيح الكلام عليه ، كما إذا كان الكلام إخباراً عن أمر خارجي ، أو كان الرفع رفعاً تكوينياً ، فلا بدّ في تصحيح الكلام من تقدير أمر يخرجه عن الكذب ، وأمّا إذا كان الرفع رفعاً تشريعياً فالكلام يصحّ بلا تقدير ؛ فإنّ الرفع التشريعي كالنفي التشريعي ليس إخباراً عن أمر واقع ، بل إنشاء لحكم يكون وجوده التشريعي بنفس الرفع والنفي</w:t>
      </w:r>
      <w:r>
        <w:rPr>
          <w:rStyle w:val="FootnoteAnchor"/>
          <w:rtl w:val="true"/>
        </w:rPr>
        <w:footnoteReference w:id="3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بما فيه ؛ فإنّ الفرق بين الإخبار والإنشاء في احتياج أحدهما إلى التقدير دون الآخر في غاية السقوط ؛ فإنّ المصحّح لنسبة الرفع إلى المذكورات إن كان متحقّقاً ، يخرج الكلام عن اللغوية والبطلان إخباراً كان أو إنشاءً ، كما يخرج الإخبار عن الكذب ، وإلاّ يصير الكلام لغواً باطلاً إنشاءً كان أو إخباراً ، والإخبار يصير كذباً ، ففي كُلّ مورد تصحّ النسبة إلى غير ما هو له ادّعاءً تصحّ في الإخبار والإنشاء ، فيصحّ الإخبار بأنّ الشارع رفع ما لا يطيقون وما اضطرّوا إليه ، كما يصحّ الإنشاء ، وإلاّ فلا يجوز في الإخبار والإنشاء</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مع أنّ الإخبارات التي تكون بدواعي الإنشاءات لا تنسلخ عن الإخبارية ، ولا تكون من قبيل استعمال الإخبار في الإنشاء ، بل تكون باقية على إخباريتها ، ويكون الإخبار بداعي البعث ، كما هو الحال في الاستفهام بداعي أمر آخر ، فخروجها عن الكذب إنّما هو لأجل تلك الدواعي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وأمّا رفع أصل الشبهة فكما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يحتاج إلى التقدير ، لكن لا بما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الرفع رفع تشريعي فلا يحتاج إلى التقدير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محصّل له ؛ فإنّه يرجع إلى رفع الآثار والأحكام الشرعية ، وهو عين التقدير ، بل بمعنى أنّ الرفع رفع ادّعائي ، وادّعاء ما لا يقبل الرفع ممّا يقبله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يرجع الرفع التشريعي إلى ذلك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خلاف اصطلاح علماء فنّ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الرفع إلى المذكورات غير محتاجة إلى التقدير ، بل هذه النسبة حقيقة ادّعائية سيأتي مصحّحها </w:t>
      </w:r>
      <w:r>
        <w:rPr>
          <w:rStyle w:val="FootnoteAnchor"/>
          <w:rtl w:val="true"/>
        </w:rPr>
        <w:footnoteReference w:id="35"/>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وحدة السياق تقتضي أن يكون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المشتبه ؛ لأنّ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الخارجي ، لا الأحكام الشرعية ؛ لعدم عروض هذه العناوين لها ، فيختصّ الحديث بالشبهات الموضوعية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إسناد الرفع إلى الحكم إسناد إلى ما هو له ، وإسناده إلى الموضوع </w:t>
      </w:r>
    </w:p>
    <w:p>
      <w:pPr>
        <w:pStyle w:val="BookText"/>
        <w:rPr/>
      </w:pPr>
      <w:r>
        <w:rPr>
          <w:rFonts w:ascii="Amiri" w:hAnsi="Amiri" w:eastAsia="Amiri" w:cs="Amiri"/>
          <w:color w:val="111111"/>
          <w:sz w:val="28"/>
          <w:sz w:val="28"/>
          <w:szCs w:val="28"/>
          <w:rtl w:val="true"/>
          <w:lang w:bidi="ar-SA"/>
        </w:rPr>
        <w:t>إلى غير ما هو له ، ولا جامع بين الحكم والموضوع ، ولا يجوز أن يراد كلّ منهما مستقلاًّ ؛ لاستلزام استعمال اللفظ في معنيين ، فلا بدّ أن يراد من الموصول في الكلّ الشبهات الموضوعية ؛ لوحدة السياق</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عنهما المحقّق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المرفوع في جميع التسعة إنّما هو الحكم الشرعي ، وإضافة الرفع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الأفعال الخارجية لأجل أنّ تلك العناوين إنّما تعرض الأفعال الخارجية لا الأحكام ، وإلاّ فالمرفوع هو الحكم الشرعي في الجميع ، وهو الجامع بين الشبهات الحكمية والموضوعية ، ومجرّد اختلاف منشأ الجهل في الشبهات لا يقتضي الاختلاف فيما اُسند الرفع إليه؛ فإنّ الرفع قد اُسند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ولمكان أنّ الرفع التشريعي لا بدّ وأن يرد على ما يكون قابلاً للوضع والرفع الشرعي ، فالمرفوع هو الحكم الشرعي في الشبهات الحكمية والموضوعية ، فكما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كلا المشتبهين بجامع واحد ، 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تسعة أشياء</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المرفوع بحسب الواقع هو الحكم ، لا يفي بردّ الإشكالين ؛ لأنّ مناط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الموصول في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الأفعال الخارجية والموضوعات ، فوحدة السياق تقتضي أن يراد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الموضوع الخارجي الغير المعلوم ، فيختصّ بالشبهات الموضوعية ، فكون </w:t>
      </w:r>
    </w:p>
    <w:p>
      <w:pPr>
        <w:pStyle w:val="BookText"/>
        <w:rPr/>
      </w:pPr>
      <w:r>
        <w:rPr>
          <w:rFonts w:ascii="Amiri" w:hAnsi="Amiri" w:eastAsia="Amiri" w:cs="Amiri"/>
          <w:color w:val="111111"/>
          <w:sz w:val="28"/>
          <w:sz w:val="28"/>
          <w:szCs w:val="28"/>
          <w:rtl w:val="true"/>
          <w:lang w:bidi="ar-SA"/>
        </w:rPr>
        <w:t xml:space="preserve">رفع تلك العناوين بلحاظ رفع أحكامها وآثارها أجنبيّ عن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ما في جوابه عن ثاني الإشكالين ؛ لأنّ مناطه إنّما هو في الإسناد بحسب الإرادة الاستعمالية ؛ فإنّ الإسناد إلى الحكم إسناد إلى ما هو له ، دون الموضوع ، فلا بدّ أن يراد في جميعها الموضوع ؛ حتّى يكون الإسناد مجازياً في الجميع ، فكون المرفوع بحسب الجدّ هو الحكم الشرعي أجنبيّ عن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أفاد شيخنا العلاّمة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تحقّق الاضطرار والإكراه في الأحكام لا يوجب التخصيص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يقتضي السياق ذلك ؛ فإنّ عموم الموصول إنّما يكون بملاحظة سعة متعلّقه وضيقه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منه كلّ ما اضطرّ إليه في الخارج ، غاية الأمر لم يتحقّق الاضطرار بالنسبة إلى الحكم ، فيقتضي اتّحاد السياق أن يراد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كلّ فرد من أفراد هذا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 نّه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يؤكل وما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واحدة ، لا يوجب انحصارُ أفراد الأوّل في الخارج ببعض الأشياء تخصيصَ الثاني بذلك البعض، وهذا واضح جدّاً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وأمّا ما أفاد بعضهم من إنكار وحدة السياق في الحديث أوّلاً ؛ لشهادة الطِيرة والحسد والوسوسة ، مع أ نّها ليست من الأفعال ، وبلزوم ارتكاب خلاف وحدة السياق لو اُريد الشبهة الموضوعية ثانياً ؛ لأنّ الظاهر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بنفسه غير معلوم ، كما في غيره من العناوين ؛ حيث كان الموصول فيها معروضاً للأوصاف ، مع أنّ تخصيص الموصول بالشبهات الموضوعية ينافي هذا الظهور ؛ إذ لا يكون الفعل بنفسه معروضاً للجهل ، وإنّما المعروض هو عنوانه ، ولازم ذلك حفظاً لظهور السياق أن يحمل الموصول على الشبهات الحكمية فقط ؛ للترجيح العرفي بين السياقينأ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وحدة السياق في الموصولات ، لا جميع الفقرات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الفقرات الثلاث أيضاً يراد بها الأفعال ، غاية الأمر أ نّها من قبيل الأفعال القلبية ، ولهذا تقع مورداً للتكليف ، فالحسد عمل قلبي ، هو تمنّي زوال النعمة عن الغير ، والطيرة مصدر ، وهي عمل قلبي ، وهكذا الوسوسة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الشرب مجهول حقيقةً ، وإن كانت الإضافة صارت موجبة لتعلّق الجهل به ، فالعنوان من قبيل الواسطة في الثبوت لا العروض ، ومثله لا يكون خلاف الظاهر والسياق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لا يوجب ذلك الاختصاص بالشبهة الحكمية ؛ لأنّ الرفع ادّعائي ، ويجوز تعلّقه بنفس الموضوع ، فيدّعى رفع الخمر بلحاظ آثاره ، فلا وجه للاختصاص بالشبهة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باختصاص الحديث بالشبهة الحكمية ؛ لأنّ الموضوعات الخارجية غير متعلّقة للأحكام ، وإنّما هي متعلّقة بنفس العناوين ، فرفع حكم عن الموضوعات المشتبهة فرع وضع الحكم لها ، وهو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منقوض بسائر العناوين ؛ فإنّ الاضطرار والإكراه إنّما يحصلان في الموضوع ، كالطلاق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مشمول للحديث بلا إشكال ، كما في صحيح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رَفَع الحكمَ عن العناوين ، كالبيع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والشرب المضطرّ إليه ، والخمر المجهول حكماً أو موضوعاً ، إلاّ أنّ معنى رفع الحكم هو رفع إيجاب الاحتياط ، أو رفع الفعلية ، أو رفع المؤاخذة ، على اختلاف المسالك ، ورفع الموضوع كذلك إن لم نقل برفع الحكم عن الموضوع المجهول حقيقةً كما في سائر العناوين ، والظاهر عدم التزامهم به في بعض الموارد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الأيمان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الأحكام الواقعية إن لم تكن قابلة للرفع وتكون باقية على فعليتها في حال الجهل ، يكون الإسناد في كلّ العناوين إسناداً إلى غير ما هو له ، وإن كانت قابلة للرفع يكون الإسناد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إسناداً إلى ما هو له ، وإلى غيره إلى غير ما هو له ، ولا يلزم محذور ؛ لأنّ المتكلّم ادّعى قابلية رفع ما لا يقبل الرفع تكويناً ، ثمّ أسند الرفع إلى جميعها حقيقةً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واحدة وصفّ واحد في قبولها الرفع ، وأسند الرفع إليها حقيقة ، فلا يلزم منه محذور </w:t>
      </w:r>
      <w:r>
        <w:rPr>
          <w:rFonts w:eastAsia="Amiri" w:cs="Amiri" w:ascii="Amiri" w:hAnsi="Amiri"/>
          <w:color w:val="111111"/>
          <w:sz w:val="28"/>
          <w:szCs w:val="28"/>
          <w:rtl w:val="true"/>
          <w:lang w:bidi="ar-SA"/>
        </w:rPr>
        <w:t xml:space="preserve">. </w:t>
      </w:r>
      <w:bookmarkStart w:id="42" w:name="pg12132_127779"/>
    </w:p>
    <w:p>
      <w:pPr>
        <w:pStyle w:val="Heading2"/>
        <w:numPr>
          <w:ilvl w:val="1"/>
          <w:numId w:val="1"/>
        </w:numPr>
        <w:rPr/>
      </w:pPr>
      <w:bookmarkStart w:id="43" w:name="__RefHeading___Toc3352586_417432637"/>
      <w:bookmarkStart w:id="44" w:name="_Toc14"/>
      <w:bookmarkEnd w:id="42"/>
      <w:bookmarkEnd w:id="43"/>
      <w:r>
        <w:rPr>
          <w:rtl w:val="true"/>
        </w:rPr>
        <w:t xml:space="preserve">الأمر الثاني </w:t>
      </w:r>
      <w:r>
        <w:rPr>
          <w:rtl w:val="true"/>
        </w:rPr>
        <w:t xml:space="preserve">: </w:t>
      </w:r>
      <w:r>
        <w:rPr>
          <w:rtl w:val="true"/>
        </w:rPr>
        <w:t>في معنى الرفع في الحديث</w:t>
      </w:r>
      <w:bookmarkEnd w:id="44"/>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في الحديث الشريف بمعنى الدفع أو الأعمّ منه ، لا بمعناه الحقيقي ؛ لعدم تحقّقه في بعض تلك العناوين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فيه إنّما هو بمعناه الحقيقي ، وهو إزالة الشيء بعد وجوده وتحقّقه ؛ وذلك لأنّ الرفع إنّما نسب إلى نفس تلك العناوين ؛ أي الخطأ والنسيان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التسعة ، وهي عناوين متحقّقة قد نسب الرفع إليها ادّعاءً ، ومصحّح هذه الدعوى بحسب الواقع والثبوت كما يمكن أن يكون رفع الآثار ، يمكن أن يكون دفع المقتضيات عن التأثير ؛ لأنّ رفع الموضوع تكويناً كما يوجب رفع الآثار المترتّبة عليه والمتحقّقة فيه ، كذلك يوجب عدم ترتّب الآثار عليه بعد رفعه وإعدامه ، ولذلك يجوز نسبة الرفع إلى الموضوع ادّعاءً بواسطة رفع آثاره أو دفعها أو دفع المقتضي عن التأثير ؛ وذلك لا يوجب أن يكون الرفع المنسوب إلى الموضوع بمعنى الدفع ، ولذا ترى أنّ تبديل الرفع بالدفع يخرج الكلام عن البلاغة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النسيان والخطأ إلى غير ذلك ، يصير الكلام بارداً مبتذلاً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نسب الرفع إلى نفس تلك العناوين ادّعاء من غير تقدير في الكلام ، كما هو التحقيق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سلّمنا بأنّ التقدير رفع الأحكام والآثار أمكن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بمعناه الحقيقي لا بمعنى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الخطأ والنسيان وما استكرهوا عليه وما لا يطيقون وما اضطرّوا إليه فالأمر واضح ؛ لشمول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أو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مواردها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وَالزَّانِى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يشمل جميع المكلّفين ولو كانوا منطبقين للعناوين المذكورة ، فدليل الرفع إنّما يرفع الأحكام عنهم ، فالرفع إنّما تعلّق بالأحكام الثابتة المتحقّقة في الموضوعات بحسب الإرادة الاستعمالية ، وإن كان كلّ رفع بحسب الإرادة الاستعمالية دفعاً بحسب اللبّ ، كما أنّ كلّ تخصيص تخصّص لبّاً ، ولكن ذلك لا يوجب أن يكون الرفع بمعنى الدفع ، والتخصيص والحكومة بمعنى التخصّص ؛ وذلك لأنّ مناط حسن الاستعمال هو الإرادة الاستعمالية وحصول المناسبات في تلك المرحلة ، فالرفع إنّما استعمل باعتبار رفع الحكم القانوني العامّ عن منطبق هذه العناوين ، ولا معنى للدفع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عدم جواز خطاب الناسي يكون الرفع في الأحكام التكليفية البعثية بالنسبة إليه في غير مورده بناءً على هذا الوجه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وأمّا في الطيرة والحسد والوسوسة في الخلق ، فالظاهر أنّ استعمال الرفع فيها أيضاً بمعناه الحقيقي ؛ وذلك لأنّ الظاهر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اختصاص رفع التسعة بالاُ مّة 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لتلك العناوين كانت أحكام في الاُمم السالفة ، ومعلوم أنّ الأحكام الصادرة عن الأنبياء المشرّعين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بحسب الوضع القانوني والإرادة الاستعمالية مقيّدةً بزمان ومحدودة بحدّ ، بل كان لها الإطلاق أو العموم بالنسبة إلى جميع الأزمنة ، وبهذا الاعتبار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 وإن لم يكن بحسب اللبّ نسخ ورفع ، بل كان أمدها وأجلها إلى حدّ محدود ، فإذا كان للأحكام المترتّبة على تلك الموضوعات إطلاق أو عموم بالنسبة إلى جميع الأزمنة ، يكون استعمال الرفع فيها بمعناه الحقيقي ، ولا يكون للدفع معنى بالنسبة إليها إلاّ بحسب اللبّ والواقع ، وهو ليس مناط صحّة الاستعمالات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الوجه يأتي بالنسبة إلى جميع العناوين ؛ فإنّ الظاهر أنّ لجميعها أحكاماً رفعت عن هذه الاُ مّة امتناناً ، ولولا ذلك كانت ثابتة لها كالتي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بإطلاق الأحكام بالنسبة إلى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 ، وأشرنا إليه فيما سلف</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قلنا بعدم الإطلاق فلا إشكال في قيام الإجماع بل الضرورة على اشتراكهما في الحكم ، فبهذا الاعتبار يصحّ استعمال الرفع فيه ، تأ مّل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الرفع إنّما هو بمعناه الحقيقي ، سواء قلنا بتقدير </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 كما هو التحقيق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حقّقناه يظهر النظر فيما أفاده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الرفع في الأشياء التسعة بمعنى الدفع ، مضافاً إلى ما ادّعى من أنّ استعمال الرفع مكان الدفع ليس مجازاً ، ولا يحتاج إلى عناية أصلاً ؛ فإنّ الرفع في الحقيقة يمنع ويدفع المقتضي عن التأثير في الزمان اللاحق ؛ لأنّ بقاء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كحدوثه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إلى علّة البقاء ، فالرفع في مرتبة وروده على الشيء إنّما يكون دفعاً حقيقةً باعتبار علّة البقاء ، وإن كان رفعاً باعتبار الوجود السابق ، فاستعمال الرفع في مقام الدفع لا يحتاج إلى علاقة المجاز ، بل لا يحتاج إلى عناية أصلاً ، بل لا يكون خلاف ما يقتضيه ظاهر اللفظ ؛ لأنّ غلبة استعمال الرفع فيما يكون له وجود سابق لا يقتضي ظهوره في ذلك</w:t>
      </w:r>
      <w:r>
        <w:rPr>
          <w:rStyle w:val="FootnoteAnchor"/>
          <w:rtl w:val="true"/>
        </w:rPr>
        <w:footnoteReference w:id="4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إنكار ظهور الرفع في إزالة الشيء عن صفحة الوجود بعد تحقّقه ، وعدم احتياج استعماله في الدفع إلى عناية وعلاقة، مكابرة ظاهرة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بقاء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محتاجاً إلى العلّة ، وكون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دفع المقتضي عن التأثير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 ممّا لا محصّل له ؛ لأنّ الرفع لا يصير دفعاً بهذا الاعتبار ، بل الرفع عبارة عن إزالة الشيء عن صفحة الوجود ، والدفع عبارة عن منع المقتضي عن التأثير في الزمان اللاحق ، وهذا لا يوجب أن يكون الرفع بمعنى الدفع ، كما أنّ الحدوث عبارة عن وجود </w:t>
      </w:r>
    </w:p>
    <w:p>
      <w:pPr>
        <w:pStyle w:val="BookText"/>
        <w:rPr/>
      </w:pPr>
      <w:r>
        <w:rPr>
          <w:rFonts w:ascii="Amiri" w:hAnsi="Amiri" w:eastAsia="Amiri" w:cs="Amiri"/>
          <w:color w:val="111111"/>
          <w:sz w:val="28"/>
          <w:sz w:val="28"/>
          <w:szCs w:val="28"/>
          <w:rtl w:val="true"/>
          <w:lang w:bidi="ar-SA"/>
        </w:rPr>
        <w:t xml:space="preserve">الشيء بعد العدم وجوداً أوّلياً ، والبقاء عبارة عن استمرار هذا الوجود ، وذلك لا يوجب أن يكون أحدهما بمعنى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أفاد في المقام ينافي ما أفاده في التنبيه الأوّل من تنبيهات الاشتغال ؛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الدفع إنّما يمنع عن تقرّر الشيء خارجاً وتأثير المقتضي في الوجود ، فهو يساوق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الرفع فهو يمنع عن بقاء الوجود، ويقتضي إعدام الشيء الموجود عن وعائه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يستعمل الرفع في مكان الدفع ، وبالعكس ، إلاّ أنّ ذلك بضرب من العناية والتجوّز ، والذي تقتضيه الحقيقة هو استعمال الدفع في مقام المنع عن تأثير المقتضي في الوجود ، واستعمال الرفع في مقام المنع عن بقاء الشيء الموجود</w:t>
      </w:r>
      <w:r>
        <w:rPr>
          <w:rStyle w:val="FootnoteAnchor"/>
          <w:rtl w:val="true"/>
        </w:rPr>
        <w:footnoteReference w:id="4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أفاده في المقام ينافي ما أفاده في الأمر الخامس في بيان عموم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شأن الرفع تنزيل الموجود منزلة المعدوم ، وأنّ الرفع يتوجّه على الموجود فيجعله معدوماً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من تعبيراته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كلامه مواقع اُخر للنظر تركناها مخافة التطويل </w:t>
      </w:r>
      <w:r>
        <w:rPr>
          <w:rFonts w:eastAsia="Amiri" w:cs="Amiri" w:ascii="Amiri" w:hAnsi="Amiri"/>
          <w:color w:val="111111"/>
          <w:sz w:val="28"/>
          <w:szCs w:val="28"/>
          <w:rtl w:val="true"/>
          <w:lang w:bidi="ar-SA"/>
        </w:rPr>
        <w:t xml:space="preserve">. </w:t>
      </w:r>
      <w:bookmarkStart w:id="45" w:name="pg12132_127784"/>
    </w:p>
    <w:p>
      <w:pPr>
        <w:pStyle w:val="Heading2"/>
        <w:numPr>
          <w:ilvl w:val="1"/>
          <w:numId w:val="1"/>
        </w:numPr>
        <w:rPr/>
      </w:pPr>
      <w:bookmarkStart w:id="46" w:name="__RefHeading___Toc3352588_417432637"/>
      <w:bookmarkStart w:id="47" w:name="_Toc15"/>
      <w:bookmarkEnd w:id="45"/>
      <w:bookmarkEnd w:id="46"/>
      <w:r>
        <w:rPr>
          <w:rtl w:val="true"/>
        </w:rPr>
        <w:t xml:space="preserve">الأمر الثالث </w:t>
      </w:r>
      <w:r>
        <w:rPr>
          <w:rtl w:val="true"/>
        </w:rPr>
        <w:t xml:space="preserve">: </w:t>
      </w:r>
      <w:r>
        <w:rPr>
          <w:rtl w:val="true"/>
        </w:rPr>
        <w:t>في كيفية حكومة حديث الرفع</w:t>
      </w:r>
      <w:bookmarkEnd w:id="47"/>
    </w:p>
    <w:p>
      <w:pPr>
        <w:pStyle w:val="BookText"/>
        <w:rPr/>
      </w:pPr>
      <w:r>
        <w:rPr>
          <w:rFonts w:ascii="Amiri" w:hAnsi="Amiri" w:eastAsia="Amiri" w:cs="Amiri"/>
          <w:color w:val="111111"/>
          <w:sz w:val="28"/>
          <w:sz w:val="28"/>
          <w:szCs w:val="28"/>
          <w:rtl w:val="true"/>
          <w:lang w:bidi="ar-SA"/>
        </w:rPr>
        <w:t xml:space="preserve">إنّ النسبة بين كلّ واحد من أدلّة الأحكام مع غالب تلك العناوين المأخوذة في الحديث وإن كانت عموماً من وجه ، إلاّ أنّ الحديث حاكم عليها ، فلا تلاحظ النسبة بينهما ، كما لا تلاحظ النسبة بين أدلّة الأحكام وبين ما دلّ على نفي الضرر والعسر والحرج لحكومتها عليها ، إلاّ أنّ الشأن في الفرق بين الحكومات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فرق بين أدلّة نفي الضرر والعسر والحرج وبين دليل الرفع ، سوى أنّ الحكومة في أدلّة نفي الضرر والحرج إنّما تكون باعتبار عقد الحمل ؛ حيث إنّ الضرر والعسر والحرج من العناوين الطارئة على نفس الأحكام ؛ فإنّ الحكم قد يكون ضررياً أو حرجياً ، وقد لا يكون ، وفي دليل رفع الإكراه ونحوه إنّما يكون باعتبار عقد الوضع ؛ فإنّه لا يمكن طروّ الإكراه والاضطرار والخطأ والنسيان على نفس الأحكام ، بل إنّما تعرض موضوعاتها ومتعلّقاتها ، فحديث الرفع يوجب تضييق دائرة موضوعات الأحكام ،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مع حفظ الإمام</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في أدلّة نفي الضرر والحرج لم تكن باعتبار عقد </w:t>
      </w:r>
    </w:p>
    <w:p>
      <w:pPr>
        <w:pStyle w:val="BookText"/>
        <w:rPr/>
      </w:pPr>
      <w:r>
        <w:rPr>
          <w:rFonts w:ascii="IRNazanin" w:hAnsi="IRNazanin" w:eastAsia="IRNazanin"/>
          <w:color w:val="111111"/>
          <w:sz w:val="28"/>
          <w:sz w:val="28"/>
          <w:szCs w:val="28"/>
          <w:rtl w:val="true"/>
          <w:lang w:bidi="fa-IR"/>
        </w:rPr>
        <w:t xml:space="preserve">الحمل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xml:space="preserve">نفي نفس الضرر وحقيقته ، لا الأمر الضرري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قد يكون ضررياً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مفاده عدم جعل نفس الحرج ، لا الحرجي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كيفية الحكومة فيهما ، فراجع</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لسان دليل نفي الضرر والحرج لم يكن واحداً ، ولم تكن الحكومة فيهما باعتبار واحد ، وقد عرفت سابقاً </w:t>
      </w:r>
      <w:r>
        <w:rPr>
          <w:rStyle w:val="FootnoteAnchor"/>
          <w:rtl w:val="true"/>
        </w:rPr>
        <w:footnoteReference w:id="53"/>
      </w:r>
      <w:r>
        <w:rPr>
          <w:rFonts w:ascii="Amiri" w:hAnsi="Amiri" w:eastAsia="Amiri" w:cs="Amiri"/>
          <w:color w:val="111111"/>
          <w:sz w:val="28"/>
          <w:sz w:val="28"/>
          <w:szCs w:val="28"/>
          <w:rtl w:val="true"/>
          <w:lang w:bidi="ar-SA"/>
        </w:rPr>
        <w:t>أقسام الحكومة ، فدليل الضرر مفاده نفي نفس الضرر ، بخلاف دليل الحرج ؛ فإنّه ينفي جعل الحرج ، وهما ضربان من الحكومة كما مرّ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والحرج ليسا من العناوين الطارئة على نفس الأحكام ، بل من العناوين الطارئة على الموضوعات الخارجية ، فالوضوء والصوم حرجيان والغبن في المعاملة ضرر ، والمعاملة الغبنية ضررية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ينسب الضرر والحرج إلى الأحكام أيضاً بنحو من العناية والمسامحة ؛ فإنّ الحكم قد يصير منشأ لوقوع المكلّف في الضرر والحرج ، وقد مرّ</w:t>
      </w:r>
      <w:r>
        <w:rPr>
          <w:rStyle w:val="FootnoteAnchor"/>
          <w:rtl w:val="true"/>
        </w:rPr>
        <w:footnoteReference w:id="55"/>
      </w:r>
      <w:r>
        <w:rPr>
          <w:rFonts w:ascii="Amiri" w:hAnsi="Amiri" w:eastAsia="Amiri" w:cs="Amiri"/>
          <w:color w:val="111111"/>
          <w:sz w:val="28"/>
          <w:sz w:val="28"/>
          <w:szCs w:val="28"/>
          <w:rtl w:val="true"/>
          <w:lang w:bidi="ar-SA"/>
        </w:rPr>
        <w:t xml:space="preserve">أنّ نفي نفس الضرر والحرج إنّما هو بهذه العناية </w:t>
      </w:r>
      <w:r>
        <w:rPr>
          <w:rFonts w:eastAsia="Amiri" w:cs="Amiri" w:ascii="Amiri" w:hAnsi="Amiri"/>
          <w:color w:val="111111"/>
          <w:sz w:val="28"/>
          <w:szCs w:val="28"/>
          <w:rtl w:val="true"/>
          <w:lang w:bidi="ar-SA"/>
        </w:rPr>
        <w:t xml:space="preserve">. </w:t>
      </w:r>
      <w:bookmarkStart w:id="48" w:name="pg12132_127786"/>
    </w:p>
    <w:p>
      <w:pPr>
        <w:pStyle w:val="BookText"/>
        <w:rPr/>
      </w:pPr>
      <w:bookmarkEnd w:id="48"/>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الخطأ والنسيان لا يمكن طروّهما على نفس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عجيب الكلام ، والظاهر أ نّه من سبق لسانه أو سهو قلم الفاضل المقرّر رحمهما اللّه </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3352590_417432637"/>
      <w:bookmarkStart w:id="50" w:name="_Toc16"/>
      <w:bookmarkEnd w:id="49"/>
      <w:r>
        <w:rPr>
          <w:rtl w:val="true"/>
        </w:rPr>
        <w:t xml:space="preserve">الأمر الرابع </w:t>
      </w:r>
      <w:r>
        <w:rPr>
          <w:rtl w:val="true"/>
        </w:rPr>
        <w:t xml:space="preserve">: </w:t>
      </w:r>
      <w:r>
        <w:rPr>
          <w:rtl w:val="true"/>
        </w:rPr>
        <w:t>في مصحّح نسبة الرفع إلى العناوين المأخوذة في الحديث</w:t>
      </w:r>
      <w:bookmarkEnd w:id="50"/>
    </w:p>
    <w:p>
      <w:pPr>
        <w:pStyle w:val="BookText"/>
        <w:rPr/>
      </w:pPr>
      <w:r>
        <w:rPr>
          <w:rFonts w:ascii="Amiri" w:hAnsi="Amiri" w:eastAsia="Amiri" w:cs="Amiri"/>
          <w:color w:val="111111"/>
          <w:sz w:val="28"/>
          <w:sz w:val="28"/>
          <w:szCs w:val="28"/>
          <w:rtl w:val="true"/>
          <w:lang w:bidi="ar-SA"/>
        </w:rPr>
        <w:t xml:space="preserve">قد عرفت أنّ نسبة الرفع إلى تلك العناوين التسعة تحتاج إلى ادّعاء ومسامحة ، واعلم أنّ المصحّح لهذه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رفع جميع الآثار ، أو رفع خصوص المؤاخذة في الجميع ، أو رفع الأثر المناسب لكلّ من المذكورات ، والفرق بينها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المصحّح لها إنّما هو رفع جميع الآثار التي بيد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رفع المؤاخذة فقط فممّا لا وجه له ؛ فإنّها ليست من الآثار الواضحة الظاهرة التي يدّعى رفع الموضوع لرفعها ، وتكون هذه الدعوى والمسامحة مصحّحتين لنسبة الرفع إلى أصل الموضوع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شيخنا العلاّمة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لو خلّينا وأنفسنا أنّ نسبة الرفع إلى المذكورات إنّما تكون بملاحظة رفع المؤاخذة</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ينبغي صدوره منه قدّس سرّه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استشهاد الإمام في صحيحة صفوان والبزنطي بحديث الرفع </w:t>
      </w:r>
    </w:p>
    <w:p>
      <w:pPr>
        <w:pStyle w:val="BookText"/>
        <w:rPr/>
      </w:pPr>
      <w:r>
        <w:rPr>
          <w:rFonts w:ascii="Amiri" w:hAnsi="Amiri" w:eastAsia="Amiri" w:cs="Amiri"/>
          <w:color w:val="111111"/>
          <w:sz w:val="28"/>
          <w:sz w:val="28"/>
          <w:szCs w:val="28"/>
          <w:rtl w:val="true"/>
          <w:lang w:bidi="ar-SA"/>
        </w:rPr>
        <w:t>على الاستكراه على اليمين</w:t>
      </w:r>
      <w:r>
        <w:rPr>
          <w:rStyle w:val="FootnoteAnchor"/>
          <w:rtl w:val="true"/>
        </w:rPr>
        <w:footnoteReference w:id="57"/>
      </w:r>
      <w:r>
        <w:rPr>
          <w:rFonts w:ascii="Amiri" w:hAnsi="Amiri" w:eastAsia="Amiri" w:cs="Amiri"/>
          <w:color w:val="111111"/>
          <w:sz w:val="28"/>
          <w:sz w:val="28"/>
          <w:szCs w:val="28"/>
          <w:rtl w:val="true"/>
          <w:lang w:bidi="ar-SA"/>
        </w:rPr>
        <w:t xml:space="preserve">ليس بأمر مخالف للظاهر في مقابل الخصم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الاحتمالان الآخران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جميع الآثار ، لا لما أفاد شيخنا العلاّمة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استلزام رفع الأثر المناسب في كلّ منها لملاحظات عديدة</w:t>
      </w:r>
      <w:r>
        <w:rPr>
          <w:rStyle w:val="FootnoteAnchor"/>
          <w:rtl w:val="true"/>
        </w:rPr>
        <w:footnoteReference w:id="58"/>
      </w:r>
      <w:r>
        <w:rPr>
          <w:rFonts w:ascii="Amiri" w:hAnsi="Amiri" w:eastAsia="Amiri" w:cs="Amiri"/>
          <w:color w:val="111111"/>
          <w:sz w:val="28"/>
          <w:sz w:val="28"/>
          <w:szCs w:val="28"/>
          <w:rtl w:val="true"/>
          <w:lang w:bidi="ar-SA"/>
        </w:rPr>
        <w:t xml:space="preserve">؛ لأنّ ذلك ممّا لا محذور فيه ، بل لأنّ رفع الموضوع ادّعاءً مع ثبوت بعض الآثار له في نظر المتكلّم ممّا لا يجتمعان ، ويكون من الجمع بين المتنافيين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الأثر الكذائي بمنزلة رفع جميع الآثار ، فيرفع الموضوع بادّعاء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الكلام على رفع بعض الآثار الخاصّة يحتاج إلى ادّعاءين ومسامحتين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الأثر الكذائي جميع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الموضوع الذي ليس له أثر فهو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على جميع الآثار فلا يحتاج إلاّ إلى الدعوى الثانية ، فحمله على جميع الآثار أسلم عن مخالفة الظاهر ، فافهم ؛ فإنّه لا يخلو عن دقّة</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في محيط التشريع ، ومعه لا يكون الآثار التكوينية منظوراً إليها ، بل هي بهذا اللحاظ مغفول عنها ، فلا يحتاج إلى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للخطأ والنسيان بعنوانهما آثاراً ، ولا شبهة في عدم رفعها وعدم شمول الحديث لها ، فلا بدّ من الدعوى الاُولى بلحاظها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الخطأ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من العناوين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كالعناوين المرآتية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اُخذا طريقاً إلى المتعلّقات ، فلا يفهم العرف من رفعهما إلاّ رفع آثار ما اُخطئ والمنسيّ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 نّه 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خطايا الاُ مّة معفوّة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إلاّ ما أخطأوا ، لا نفس الخطأ ، كما 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جهالاتهم معفوّة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ناظر إلى آثار الخطأ والنسيان الطريقيين ، لا آثار نفسهما ، ولهذا ترى أنّ في صحيحة البزنطي نقل الحديث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أخطأوا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ذلك إلاّ لأجل ما يفهم منه عرفاً ، لكن لا بمعنى استعمال اللفظ في غير ما وضع له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الحديث لآثار عنوانهما النفسي من غير لزوم تكلّف وتخصيص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التفكيك بين فقرات الحديث ؛ وذلك لأنّ العناوين السبعة الاُوَل لمّا كانت عناوين طريقية ، فلا محالة ينتقل ذهن العرف منها إلى المتراءى بها ولو فرض أخذ نفس العناوين في الموضوع ، فضلاً عن نسبته الرفع إلى الموصول في أربعة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تفكيك بين الخطأ والنسيان وبين ما اُخذ الموصول فيه موضوعاً ، لما عرفت من طريقية عنوانهما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الحسد والطيرة والوسوسة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فعناوين نفسية منظور إليها ، فلا محالة يتعلّق الرفع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تعلّق الرفع في جميع الفقرات بعناوين نفسية ، لكن في المخطئ والمنسيّ بتوسّط الطريق إليهما ، وفي غيرهما بتوسّط الموصول أو ذكر نفس العناوين ، من غير ارتكاب خلاف ظاهر كما توهّمأ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 أنّ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الدليل أيضاً يقتضي رفعه بجميع الآثار </w:t>
      </w:r>
      <w:r>
        <w:rPr>
          <w:rFonts w:eastAsia="Amiri" w:cs="Amiri" w:ascii="Amiri" w:hAnsi="Amiri"/>
          <w:color w:val="111111"/>
          <w:sz w:val="28"/>
          <w:szCs w:val="28"/>
          <w:rtl w:val="true"/>
          <w:lang w:bidi="ar-SA"/>
        </w:rPr>
        <w:t xml:space="preserve">. </w:t>
      </w:r>
      <w:bookmarkStart w:id="51" w:name="pg12132_127789"/>
    </w:p>
    <w:p>
      <w:pPr>
        <w:pStyle w:val="Heading2"/>
        <w:numPr>
          <w:ilvl w:val="1"/>
          <w:numId w:val="1"/>
        </w:numPr>
        <w:rPr/>
      </w:pPr>
      <w:bookmarkStart w:id="52" w:name="__RefHeading___Toc3352592_417432637"/>
      <w:bookmarkStart w:id="53" w:name="_Toc17"/>
      <w:bookmarkEnd w:id="51"/>
      <w:bookmarkEnd w:id="52"/>
      <w:r>
        <w:rPr>
          <w:rtl w:val="true"/>
        </w:rPr>
        <w:t xml:space="preserve">الأمر الخامس </w:t>
      </w:r>
      <w:r>
        <w:rPr>
          <w:rtl w:val="true"/>
        </w:rPr>
        <w:t xml:space="preserve">: </w:t>
      </w:r>
      <w:r>
        <w:rPr>
          <w:rtl w:val="true"/>
        </w:rPr>
        <w:t>في شمول الحديث للاُمور العدمية</w:t>
      </w:r>
      <w:bookmarkEnd w:id="53"/>
    </w:p>
    <w:p>
      <w:pPr>
        <w:pStyle w:val="BookText"/>
        <w:rPr/>
      </w:pPr>
      <w:r>
        <w:rPr>
          <w:rFonts w:ascii="Amiri" w:hAnsi="Amiri" w:eastAsia="Amiri" w:cs="Amiri"/>
          <w:color w:val="111111"/>
          <w:sz w:val="28"/>
          <w:sz w:val="28"/>
          <w:szCs w:val="28"/>
          <w:rtl w:val="true"/>
          <w:lang w:bidi="ar-SA"/>
        </w:rPr>
        <w:t>بناءً على أنّ المرفوع تمام الآثار ، هل يشمل الحديث الاُمور العدمية ، أم يختصّ بالوجوديات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يشرب من ماء دجلة ، فاُكره على الترك ، أو اضطرّ إليه ، أو نسي أن يشرب ، وقلنا بعدم اختصاص الكفّارة بصورة تعمّد الحنث ، فهل يمكن التمسّك بالحديث لرفع وجوب الكفّارة ، أم لا ؟</w:t>
      </w:r>
    </w:p>
    <w:p>
      <w:pPr>
        <w:pStyle w:val="BookText"/>
        <w:rPr/>
      </w:pPr>
      <w:r>
        <w:rPr>
          <w:rFonts w:ascii="Amiri" w:hAnsi="Amiri" w:eastAsia="Amiri" w:cs="Amiri"/>
          <w:color w:val="111111"/>
          <w:sz w:val="28"/>
          <w:sz w:val="28"/>
          <w:szCs w:val="28"/>
          <w:rtl w:val="true"/>
          <w:lang w:bidi="ar-SA"/>
        </w:rPr>
        <w:t xml:space="preserve">ذهب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 ، وحاصل ما أفاد في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شأن الرفع تنزيل الموجود منزلة المعدوم ، لا تنزيل المعدوم منزلة الموجود ؛ لأنّ تنزيل المعدوم منزلة الموجود إنّما يكون وضعاً لا رفعاً ، والمفروض أنّ المكلّف قد ترك الفعل عن إكراه أو نسيان ، فلم يصدر منه أمر وجودي قابل للرفع ، ولا يمكن أن يكون عدم الشرب في المثال مرفوعاً وجعله كالشرب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يتحقّق مخالفة النذر ، فلا حنث ولا كفّارة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فرق بين الوضع والرفع ؛ فإنّ الوضع يتوجّه على المعدوم فيجعله موجوداً ، ويلزمه ترتيب آثار الوجود ، والرفع بعكسه ، فالفعل الصادر من المكلّف عن نسيان أو إكراه يمكن ورود الرفع عليه ، وأمّا الفعل الذي لم يصدر من المكلّف عن نسيان أو إكراه فلا محلّ للرفع فيه ؛ لأنّ رفع المعدوم لا يمكن </w:t>
      </w:r>
    </w:p>
    <w:p>
      <w:pPr>
        <w:pStyle w:val="BookText"/>
        <w:rPr/>
      </w:pPr>
      <w:r>
        <w:rPr>
          <w:rFonts w:ascii="Amiri" w:hAnsi="Amiri" w:eastAsia="Amiri" w:cs="Amiri"/>
          <w:color w:val="111111"/>
          <w:sz w:val="28"/>
          <w:sz w:val="28"/>
          <w:szCs w:val="28"/>
          <w:rtl w:val="true"/>
          <w:lang w:bidi="ar-SA"/>
        </w:rPr>
        <w:t>إلاّ بالوضع والجعل ، والحديث لا يتكفّل ذلك</w:t>
      </w:r>
      <w:r>
        <w:rPr>
          <w:rStyle w:val="FootnoteAnchor"/>
          <w:rtl w:val="true"/>
        </w:rPr>
        <w:footnoteReference w:id="6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العدم إذا فرض تعلّق الرفع به يكون له ثبوت إضافي بالنسبة إلى عدمه ، وليس عدم العدم هو الوجود ، ولا رفع المعدوم هو الوضع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الكفّارة إذا ترتّبت على ترك الشرب كما هو المفروض ، يكون له ثبوت اعتباري في عالم التشريع ؛ فإنّ ما لا ثبوت له بوجه من الوجوه لا يمكن أن يصير موضوعاً للحكم ، وقد فرض أنّ الكفّارة مترتّبة على الترك ، فلا بدّ أن يكون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انطباق الحنث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ملحوظاً ومعتبراً عند الشارع حتّى يصير موضوعاً للحكم ، وبعد هذا الثبوت الاعتباري لا مانع من تعلّق الرفع به بلحاظ آثاره ، وهذا واضح جدّاً ، فما أفاد من أنّ الرفع لا يمكن إلاّ بالوضع في غاية السقوط</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تعلّق بالأشياء بمعرّفية العناوين المذكورة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الاضطرار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يمكن تعلّق الاضطرار بالعدم بنحو من الاعتبار يمكن تعلّق الرفع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الرفع متعلّق بتلك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الموصول المشار به للأشياء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 ولا تكون الواقعيات المشار إليها في ذهن المخاطب والمتكلّم بنحو التفصيل حتّى تلاحظ الوجوديات مستقلّة والعدميات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مانع من الأخذ بإطلاق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 بعضهم في مقام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الرفع مطلقاً متعلّق بموضوعية الموضوعات للأحكام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رفع موضوعيته للحكم ، وكذا في جانب العدم والتركأ ، فلا يخفى ما فيه ؛ لأنّ ذلك أسوأ حالاً من تقدير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الحديث هو الرفع الادّعائي ، كما اعترف به هذا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ينافي ما ذكره من الرجوع إلى رفع الموضوعية ، إلاّ أن يرجع كلامه إلى ما ذكرنا ، فتدبّر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132_127791"/>
    </w:p>
    <w:p>
      <w:pPr>
        <w:pStyle w:val="BookText"/>
        <w:rPr/>
      </w:pPr>
      <w:bookmarkEnd w:id="54"/>
      <w:r>
        <w:rPr>
          <w:rFonts w:ascii="Amiri" w:hAnsi="Amiri" w:eastAsia="Amiri" w:cs="Amiri"/>
          <w:color w:val="111111"/>
          <w:sz w:val="28"/>
          <w:sz w:val="28"/>
          <w:szCs w:val="28"/>
          <w:rtl w:val="true"/>
          <w:lang w:bidi="ar-SA"/>
        </w:rPr>
        <w:t xml:space="preserve">وقد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أمر عدمي يكون موضوعاً لأثر شرعي أو حكم تكليفي أو وضعي ويكون في رفعه منّة على العباد ، مشمول للحديث ، ولا يحتاج رفعه إلى الوضع </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3352594_417432637"/>
      <w:bookmarkStart w:id="56" w:name="_Toc18"/>
      <w:bookmarkEnd w:id="55"/>
      <w:r>
        <w:rPr>
          <w:rtl w:val="true"/>
        </w:rPr>
        <w:t xml:space="preserve">الأمر السادس </w:t>
      </w:r>
      <w:r>
        <w:rPr>
          <w:rtl w:val="true"/>
        </w:rPr>
        <w:t xml:space="preserve">: </w:t>
      </w:r>
      <w:r>
        <w:rPr>
          <w:rtl w:val="true"/>
        </w:rPr>
        <w:t>في تصحيح العبادة المنسيّ منها جزء أو شرط بالحديث</w:t>
      </w:r>
      <w:bookmarkEnd w:id="56"/>
    </w:p>
    <w:p>
      <w:pPr>
        <w:pStyle w:val="BookText"/>
        <w:rPr/>
      </w:pPr>
      <w:r>
        <w:rPr>
          <w:rFonts w:ascii="Amiri" w:hAnsi="Amiri" w:eastAsia="Amiri" w:cs="Amiri"/>
          <w:color w:val="111111"/>
          <w:sz w:val="28"/>
          <w:sz w:val="28"/>
          <w:szCs w:val="28"/>
          <w:rtl w:val="true"/>
          <w:lang w:bidi="ar-SA"/>
        </w:rPr>
        <w:t>بناءً على عموم الآثار لو نسي جزءاً أو شرطاً من العبادات هل يمكن تصحيحها بالحديث ، أم لا ؟</w:t>
      </w:r>
    </w:p>
    <w:p>
      <w:pPr>
        <w:pStyle w:val="BookText"/>
        <w:rPr/>
      </w:pPr>
      <w:r>
        <w:rPr>
          <w:rFonts w:ascii="Amiri" w:hAnsi="Amiri" w:eastAsia="Amiri" w:cs="Amiri"/>
          <w:color w:val="111111"/>
          <w:sz w:val="28"/>
          <w:sz w:val="28"/>
          <w:szCs w:val="28"/>
          <w:rtl w:val="true"/>
          <w:lang w:bidi="ar-SA"/>
        </w:rPr>
        <w:t xml:space="preserve">اختار ثانيهما المحقّق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أفاد في وجهه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منه من أنّ الحديث لا يشمل الاُمور العدمية ؛ لأ نّه لا محلّ لورود الرفع على الجزء أو الشرط المنفيّين ؛ لخلوّ صفحة الوجود عنهما ، فلا يمكن أن يتعلّق الرفع بهما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المترتّب على الجزء أو الشرط ليس إلاّ الإجزاء وصحّة </w:t>
      </w:r>
    </w:p>
    <w:p>
      <w:pPr>
        <w:pStyle w:val="BookText"/>
        <w:rPr/>
      </w:pPr>
      <w:r>
        <w:rPr>
          <w:rFonts w:ascii="Amiri" w:hAnsi="Amiri" w:eastAsia="Amiri" w:cs="Amiri"/>
          <w:color w:val="111111"/>
          <w:sz w:val="28"/>
          <w:sz w:val="28"/>
          <w:szCs w:val="28"/>
          <w:rtl w:val="true"/>
          <w:lang w:bidi="ar-SA"/>
        </w:rPr>
        <w:t xml:space="preserve">العبادة ، وهما ليسا من الآثار الشرعية التي تقبل الوضع والرفع ، بل من الآثار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يمكن أن يكون رفع السورة بلحاظ رفع أثر الإجزاء والصحّة ؛ فإنّ ذلك يقتضي عدم الإجزاء وفساد العبادة ، وهو ينافي الامتنان ، وينتج عكس المقصود ؛ فإنّ المقصود من التمسّك بالحديث تصحيح العبادة ، لا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بالنسبة إلى الأجزاء والشرائط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المركّب الفاقد للجزء أو الشرط المنسيّ ، فهو وإن كان أمراً وجودياً قابلاً لتوجّه الرفع إليه ، إلاّ أ 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المنسيّ أو المكره عليه ليتوجّه الرفع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في رفعه ؛ لأنّ رفع المركّب الفاقد للجزء أو الشرط لا يثبت المركّب الواجد له؛ فإنّ ذلك يكون وضعاً لا رفعاً ، وليس للمركّب الفاقد للجزء أو الشرط أثر يصحّ رفع المركّب بلحاظه ؛ فإنّ الصلاة بلا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عليها أثر إلاّ الفساد وعدم الإجزاء ، وهو غير قابل للرفع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الجزئية والشرطية مرفوعتان ؛ لأنّ جزئية الجزء لم تكن منسيّة ؛ وإلاّ كان من نسيان الحكم ، ومحلّ الكلام إنّما هو نسيان الموضوع ، فلم يتعلّق النسيان بالجزئية حتّى يستشكل بأنّ الجزئية غير قابلة للرفع ؛ فإنّها غير مجعولة ، فيجاب بأ نّها مجعولة بجعل منشأ انتزاعها </w:t>
      </w:r>
      <w:r>
        <w:rPr>
          <w:rStyle w:val="FootnoteAnchor"/>
          <w:rtl w:val="true"/>
        </w:rPr>
        <w:footnoteReference w:id="62"/>
      </w:r>
      <w:r>
        <w:rPr>
          <w:rFonts w:ascii="IRNazanin" w:hAnsi="IRNazanin" w:eastAsia="IRNazanin"/>
          <w:color w:val="111111"/>
          <w:sz w:val="28"/>
          <w:sz w:val="28"/>
          <w:szCs w:val="28"/>
          <w:rtl w:val="true"/>
          <w:lang w:bidi="fa-IR"/>
        </w:rPr>
        <w:t xml:space="preserve">، انتهى بطوله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الجزء والشرط المنسيّين ، كما يمكن أن يكون </w:t>
      </w:r>
    </w:p>
    <w:p>
      <w:pPr>
        <w:pStyle w:val="BookText"/>
        <w:rPr/>
      </w:pPr>
      <w:r>
        <w:rPr>
          <w:rFonts w:ascii="Amiri" w:hAnsi="Amiri" w:eastAsia="Amiri" w:cs="Amiri"/>
          <w:color w:val="111111"/>
          <w:sz w:val="28"/>
          <w:sz w:val="28"/>
          <w:szCs w:val="28"/>
          <w:rtl w:val="true"/>
          <w:lang w:bidi="ar-SA"/>
        </w:rPr>
        <w:t xml:space="preserve">باعتبار نسيان الجزئية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نسيان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باعتبار نسيانهما مع تذكّر الحكم ؛ فإنّ الجزء إذا صار منسيّاً فتُرك ، يرتفع بالحديث ، وكذلك الشرط ؛ فإنّ المسلّم من الحديث هو رفع ما 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يكون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أنّ الجزء أو الشرط هو المنسيّ ، فالرفع يتعلّق به ، فيصير المركّب الفاقد لهما تمام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المركّب المأمور به بحسب الجعل الابتدائي ذا أجزاء وشرائط ، ويكون المأمور به هو المركّب بجميع أجزائه وشرائطه ، ويكون الحديث حاكماً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الأحكام الأوّلية من أدلّة الأجزاء والشرائط وأدلّة أصل المركّبات ، تصير نتيجة الأدلّة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إعمال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اختصاص الأجزاء بغير حال النسيان ، فيصير المركّب المأمور به هو الطبيعة فاقداً للجزء أو الشرط المنسيّين ، ولا دليل من عقل أو نقل على اختصاص الحديث بنسيان جزئية الجزء وشرطية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نسيان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نسيان الموضوع مع تذكّر الحكم ، فإذا تُرك جزء أو شرط من المركّب يصير الفرد الفاقد لهما مصداقاً للطبيعة بعد حكومة حديث الرفع ، ومسقطاً لأمرها وموجباً للإجزاء</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صدق الطبيعة المعتبر فيها الجزء والشرط على المصداق الفاقد لهما ، ولا معنى لحكومة دليل الرفع على الأدلّة الواقعية مع عدم النسيان بالنسبة إليها ، كما أ نّه لا معنى لحكومته على مصداق المأمور بهأ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المنسيّ إذا كان الجزء يكون مرفوعاً ، ومعنى رفعه رفع جميع آثاره ، ومن آثاره الشرعية جزئيته ، فهي مرفوعة ، وبعد رفعها في حال النسيان ، يصدق على المأتيّ به أ نّه تمام المأمور به ، ولا محالة يسقط الأمر المتعلّق بالطبيعة ؛ لأجل إتيانها بمصداقها التامّ ، ولا مجال لبقاء الأمر بعد الإطاعة ، فلا معنى لبقائه أو حدوثه بعد رفع النسيان ، كما توهّم بعض أهل التحقيق ؛ بزعم أنّ حديث الرفع لا يتكفّل بتحديد دائرة المأمور به ، ولا إطلاق له لرفع الجزء أو الشرط حتّى بعد زوال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وبما ذكرنا يدفع ما ذكر ؛ ضرورة عدم الاحتياج إلى كون الحديث ناظراً إلى بعد رفع النسيان ، بل الرفع في حاله يكفي لتطبيق المأتيّ به على المأمور به ، ومعه يسقط الأمر ، ولا معنى لتجديده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بحكومته على الأدلّة مخصّص لها بلسان الرفع ، فهو تخصيص واقعاً ودفع ، واستعمال الرفع لأجل الحكم القانوني المجعول على نحو العموم والإطلاق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قوامع الفضول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الاُصول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يظهر الخلل في جميع ما أفاده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أوّل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الجزء المنسيّ متعلّق للرفع ، ومعنى تعلّقه به إخراجه عن حدود الطبيعة المأمور بها ، ولا يكون ترك الجزء متعلّقاً للرفع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لا يتعلّق بالأعدام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الجزء والشرط ممّا تنالهما يد الشارع ولو بواسطة منشأ انتزاعهما ، ولا يحتاج رفعهما إلى لحاظ أثر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يظهر الإشكال في ثالثها ، وكذا في سائر ما أفاد ، مع ما فيها من التكلّف والتعسّف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يصحّح حديث الرفع العبادة الفاقدة للجزء والشرط إذا أمكن اختصاص الناسي بالتكليف ، وأمّا مع عدم إمكانه فلا يمكن تصحيحها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اختصاصه بالخطاب ببعض التصويرات التي أفادها المشايخ</w:t>
      </w:r>
      <w:r>
        <w:rPr>
          <w:rStyle w:val="FootnoteAnchor"/>
          <w:rtl w:val="true"/>
        </w:rPr>
        <w:footnoteReference w:id="64"/>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كلّها أو جلّها عن الخدشة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تصحيحها لا يتوقّف على إمكان اختصاص الناسي بالخطاب ؛ فإنّ الأمر المتعلّق بالطبيعة ممّا يبعث الذاكر للجزء والناسي له بنحو واحد ، فكما أنّ الذاكر للأجزاء والشرائط إذا قام لإتيان الصلاة تكون مبعوثيته لأجل الأوامر المتعلّقة بالصلاة في الكتاب والسنّة ، ويكون إتيانه لها إطاعة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 إِلَى غَسَقِ الَّيْلِ</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فكذلك الناسي للجزء أو الشرط يكون آتياً لطبيعة الصلاة ، ومطيعاً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افتراق بينهما من هذه الجهة ، وإنّما الافتراق بينهما في مصداق الطبيعة المأمور بها ؛ فإنّ مصداقها للناسي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حكومة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الفرد الناقص ، وأنّ الطبيعة تصير متحقّقة بعين الفرد الناقص ، كما أ نّها تتحقّق بالفرد الكامل ، فالفرد الناقص والكامل فردان من الطبيعة المأمور بها ، وهي متحقّقة بهما ، وبإتيانهما يسقط الأمر المتعلّق بها بلا افتراق بينهما من هذه الحيثية أيضاً ، كالصلاة مع الطهارة الترابية والمائية ، </w:t>
      </w:r>
    </w:p>
    <w:p>
      <w:pPr>
        <w:pStyle w:val="BookText"/>
        <w:rPr/>
      </w:pPr>
      <w:r>
        <w:rPr>
          <w:rFonts w:ascii="Amiri" w:hAnsi="Amiri" w:eastAsia="Amiri" w:cs="Amiri"/>
          <w:color w:val="111111"/>
          <w:sz w:val="28"/>
          <w:sz w:val="28"/>
          <w:szCs w:val="28"/>
          <w:rtl w:val="true"/>
          <w:lang w:bidi="ar-SA"/>
        </w:rPr>
        <w:t xml:space="preserve">فكما أنّ أدلّة تنزيل التراب منزلة الماء ، والطهارة الترابية منزلة المائية ، تجعل الفرد مصداقاً للطبيعة ، ولا تكون طبيعة الصلاة متعلّقة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الصلاة مع الطهارة المائية ، وثانيهما هي مع الترابية ، فكذلك حديث الرفع يجعل الفاقد مصداق الطبيعة ، ولا تصير الطبيعة متعلَّقة لأمرين ، ولا تحتاج إلى خطابين حتّى يبحث في إمكان اختصاص الناسي بالخطاب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التمسّك بحديث الرفع لتصحيح العبادة الفاقدة لبعض الأجزاء والشرائط بواسطة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 المحقّق المتقدّم تمسّك لمختاره في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المدرك في صحّة الصلاة الفاقدة للجزء والشرط نسياناً هو 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 .»</w:t>
      </w:r>
      <w:r>
        <w:rPr>
          <w:rStyle w:val="FootnoteAnchor"/>
          <w:rtl w:val="true"/>
        </w:rPr>
        <w:footnoteReference w:id="66"/>
      </w:r>
      <w:r>
        <w:rPr>
          <w:rFonts w:ascii="Amiri" w:hAnsi="Amiri" w:eastAsia="Amiri" w:cs="Amiri"/>
          <w:color w:val="111111"/>
          <w:sz w:val="28"/>
          <w:sz w:val="28"/>
          <w:szCs w:val="28"/>
          <w:rtl w:val="true"/>
          <w:lang w:bidi="ar-SA"/>
        </w:rPr>
        <w:t xml:space="preserve">؛ فإنّ المدرك فيها لو كان حديث الرفع كان اللازم صحّة الصلاة بمجرّد نسيان الجزء أو الشرط مطلقاً من غير فرق بين الأركان وغيرها ؛ فإنّه لا يمكن استفادة التفصيل من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 نّه لم يعهد من الفقهاء التمسّك بحديث الرفع لصحّة الصلاة وغيرها من سائر المركّبات</w:t>
      </w:r>
      <w:r>
        <w:rPr>
          <w:rStyle w:val="FootnoteAnchor"/>
          <w:rtl w:val="true"/>
        </w:rPr>
        <w:footnoteReference w:id="6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الرفع عامّ قابل للتخصيص ، فاستفادة التفصيل من الأدلّة الاُخر المخصّصة لدليل الرفع لا توجب عدم جواز التمسّك بالحديث ، وعدم كونه مدركاً لصحّة الصلاة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معهودية تمسّك الفقهاء به لصحّتها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 </w:t>
      </w:r>
    </w:p>
    <w:p>
      <w:pPr>
        <w:pStyle w:val="BookText"/>
        <w:rPr/>
      </w:pPr>
      <w:r>
        <w:rPr>
          <w:rFonts w:ascii="Amiri" w:hAnsi="Amiri" w:eastAsia="Amiri" w:cs="Amiri"/>
          <w:color w:val="111111"/>
          <w:sz w:val="28"/>
          <w:sz w:val="28"/>
          <w:szCs w:val="28"/>
          <w:rtl w:val="true"/>
          <w:lang w:bidi="ar-SA"/>
        </w:rPr>
        <w:t xml:space="preserve">لتمسّك القدماء والمتأخّرين به لصحّتها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علم الهدى قد تمسّك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دليلنا على أنّ كلام الناسي لا يبطل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الإجماع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النسيان ، وما استكرهوا عليه</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ولم يرد رفع الفعل ؛ لأنّ ذلك لا يرفع ، وإنّما أراد رفع الحكم ، وذلك عامّ في جميع الأحكام إلاّ ما قام عليه دليل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كلام السيّد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وكلامهما وإن كان في التكلّم ، إلاّ أ نّه يظهر من ذيل كلامهما شمول الحديث لجميع الموارد إلاّ ما قام عليه دليل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تمسّك به العلاّمة</w:t>
      </w:r>
      <w:r>
        <w:rPr>
          <w:rStyle w:val="FootnoteAnchor"/>
          <w:rtl w:val="true"/>
        </w:rPr>
        <w:footnoteReference w:id="71"/>
      </w:r>
      <w:r>
        <w:rPr>
          <w:rFonts w:ascii="Amiri" w:hAnsi="Amiri" w:eastAsia="Amiri" w:cs="Amiri"/>
          <w:color w:val="111111"/>
          <w:sz w:val="28"/>
          <w:sz w:val="28"/>
          <w:szCs w:val="28"/>
          <w:rtl w:val="true"/>
          <w:lang w:bidi="ar-SA"/>
        </w:rPr>
        <w:t>والأردبيلي</w:t>
      </w:r>
      <w:r>
        <w:rPr>
          <w:rStyle w:val="FootnoteAnchor"/>
          <w:rtl w:val="true"/>
        </w:rPr>
        <w:footnoteReference w:id="72"/>
      </w:r>
      <w:r>
        <w:rPr>
          <w:rFonts w:ascii="Amiri" w:hAnsi="Amiri" w:eastAsia="Amiri" w:cs="Amiri"/>
          <w:color w:val="111111"/>
          <w:sz w:val="28"/>
          <w:sz w:val="28"/>
          <w:szCs w:val="28"/>
          <w:rtl w:val="true"/>
          <w:lang w:bidi="ar-SA"/>
        </w:rPr>
        <w:t xml:space="preserve">وغيرهما </w:t>
      </w:r>
      <w:r>
        <w:rPr>
          <w:rStyle w:val="FootnoteAnchor"/>
          <w:rtl w:val="true"/>
        </w:rPr>
        <w:footnoteReference w:id="73"/>
      </w:r>
      <w:r>
        <w:rPr>
          <w:rFonts w:ascii="Amiri" w:hAnsi="Amiri" w:eastAsia="Amiri" w:cs="Amiri"/>
          <w:color w:val="111111"/>
          <w:sz w:val="28"/>
          <w:sz w:val="28"/>
          <w:szCs w:val="28"/>
          <w:rtl w:val="true"/>
          <w:lang w:bidi="ar-SA"/>
        </w:rPr>
        <w:t>ونقل الشيخ الأعظم</w:t>
      </w:r>
      <w:r>
        <w:rPr>
          <w:rStyle w:val="FootnoteAnchor"/>
          <w:rtl w:val="true"/>
        </w:rPr>
        <w:footnoteReference w:id="74"/>
      </w:r>
      <w:r>
        <w:rPr>
          <w:rFonts w:ascii="Amiri" w:hAnsi="Amiri" w:eastAsia="Amiri" w:cs="Amiri"/>
          <w:color w:val="111111"/>
          <w:sz w:val="28"/>
          <w:sz w:val="28"/>
          <w:szCs w:val="28"/>
          <w:rtl w:val="true"/>
          <w:lang w:bidi="ar-SA"/>
        </w:rPr>
        <w:t xml:space="preserve">في مسألة من ترك غسل موضع النجو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المعتبر تمسّك بالحديث لنفي الإعادة في مسألة ناسي النجاسة</w:t>
      </w:r>
      <w:r>
        <w:rPr>
          <w:rStyle w:val="FootnoteAnchor"/>
          <w:rtl w:val="true"/>
        </w:rPr>
        <w:footnoteReference w:id="75"/>
      </w:r>
      <w:r>
        <w:rPr>
          <w:rFonts w:ascii="Amiri" w:hAnsi="Amiri" w:eastAsia="Amiri" w:cs="Amiri"/>
          <w:color w:val="111111"/>
          <w:sz w:val="28"/>
          <w:sz w:val="28"/>
          <w:szCs w:val="28"/>
          <w:rtl w:val="true"/>
          <w:lang w:bidi="ar-SA"/>
        </w:rPr>
        <w:t xml:space="preserve">وتمسّك هو وغيره في غير موضع به لتصحيح الصلاة ، كما يظهر للمراجع المتتبّع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مضافاً إلى أنّ عدم تمسّكهم به لو سلّم ، إنّما هو لعدم الاحتياج إليه بعد ورود الأدلّة الخاصّة في غالب الموارد ، كما أنّ التمسّك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أيضاً لم يكن في كلماتهم في غالب الموارد ؛ لورود الأدلّة الخاصّة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 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النسيان مستوعباً لتمام الوقت المضروب للمركّب ، وأمّا في النسيان الغير المستوعب فالأمر فيه أوضح ؛ فإنّه لا يصدق نسيان المأمور به عند نسيان الجزء في جزء من الوقت مع التذكّر في بقيته ؛ لأنّ المأمور به هو الفرد الكلّي الواجد لجميع الأجزاء والشرائط ولو في جزء من الوقت ، فمع التذكّر في أثناء الوقت يجب الإتيان بالمأمور به لبقاء وقته لو كان المدرك حديث الرفع ؛ لأنّ المأتيّ به لا ينطبق على المأمور به ، فلو لا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اللازم هو إعادة الصلاة الفاقدة للجزء نسياناً مع التذكّر في أثناء الوقت</w:t>
      </w:r>
      <w:r>
        <w:rPr>
          <w:rStyle w:val="FootnoteAnchor"/>
          <w:rtl w:val="true"/>
        </w:rPr>
        <w:footnoteReference w:id="7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 لأ نّك قد عرفت أنّ الأمر إنّما تعلّق بطبيعة المأمور به ، فبعد حكومة حديث الرفع على أدلّة الأجزاء والشرائط ، وتحقّق النسيان ولو في جزء من الوقت ، وإتيان الناسي الفرد الفاقد للجزء أو الشرط المنسيّين ، تصير النتيجة حصول المأمور به ، وكون الفرد الناقص فرداً للطبيعة ، وهي متحقّقة به ، وبعد تحقّقها به لا معنى لبقاء الأمر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النسيان المستوعب وغيره ؛ لأنّ تحقّق الطبيعة إنّما </w:t>
      </w:r>
      <w:bookmarkStart w:id="57" w:name="pg12132_127799"/>
    </w:p>
    <w:p>
      <w:pPr>
        <w:pStyle w:val="BookText"/>
        <w:rPr/>
      </w:pPr>
      <w:bookmarkEnd w:id="57"/>
      <w:r>
        <w:rPr>
          <w:rFonts w:ascii="Amiri" w:hAnsi="Amiri" w:eastAsia="Amiri" w:cs="Amiri"/>
          <w:color w:val="111111"/>
          <w:sz w:val="28"/>
          <w:sz w:val="28"/>
          <w:szCs w:val="28"/>
          <w:rtl w:val="true"/>
          <w:lang w:bidi="ar-SA"/>
        </w:rPr>
        <w:t xml:space="preserve">يكون بتحقّق الفرد الكامل في غير الناسي ، وبالفرد الناقص مع تحقّق النسيان ببركة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مستوعباً أو لا </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3352596_417432637"/>
      <w:bookmarkStart w:id="59" w:name="_Toc19"/>
      <w:bookmarkEnd w:id="58"/>
      <w:r>
        <w:rPr>
          <w:rtl w:val="true"/>
        </w:rPr>
        <w:t xml:space="preserve">القول </w:t>
      </w:r>
      <w:r>
        <w:rPr>
          <w:rtl w:val="true"/>
        </w:rPr>
        <w:t xml:space="preserve">: </w:t>
      </w:r>
      <w:r>
        <w:rPr>
          <w:rtl w:val="true"/>
        </w:rPr>
        <w:t>في شمول الحديث للأسباب والمسبّبات</w:t>
      </w:r>
      <w:bookmarkEnd w:id="59"/>
    </w:p>
    <w:p>
      <w:pPr>
        <w:pStyle w:val="BookText"/>
        <w:rPr/>
      </w:pPr>
      <w:r>
        <w:rPr>
          <w:rFonts w:ascii="Amiri" w:hAnsi="Amiri" w:eastAsia="Amiri" w:cs="Amiri"/>
          <w:color w:val="111111"/>
          <w:sz w:val="28"/>
          <w:sz w:val="28"/>
          <w:szCs w:val="28"/>
          <w:rtl w:val="true"/>
          <w:lang w:bidi="ar-SA"/>
        </w:rPr>
        <w:t xml:space="preserve">وبالتدبّر فيما ذكرنا من أوّل هذا البحث إلى هاهنا يظهر النظر فيما أفاده المحقّق المتقدّم في باب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وقوع النسيان والإكراه والاضطرار في ناحيتها لا يقتضي تأثيرها في المسبّب ، ولا تندرج في حديث الرفع ؛ لما تقدّم في باب الأجزاء والشرائط من أنّ حديث الرفع لا يتكفّل تنزيل الفاقد منزلة الواجد ، فلو اضطرّ إلى إيقاع العقد بالفارسية ، أو اُكره عليه ، أو نسي العربية ، كان العقد باطلاً بناءً على اشتراط العربية ؛ فإنّ رفع العقد الفارسي لا يقتضي وقوع العقد العربي ، وليس للعقد الفارسي أثر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أثره ، وشرطية العربية ليست منسيّة حتّى يكون الرفع بلحاظ رفع الشرطية</w:t>
      </w:r>
      <w:r>
        <w:rPr>
          <w:rStyle w:val="FootnoteAnchor"/>
          <w:rtl w:val="true"/>
        </w:rPr>
        <w:footnoteReference w:id="7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يتعلّق بأصل السبب ، وقد يتعلّق بشرائطه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الشرط من الشرائط العقلائية التي يتقوّم تحقّق العقد عرفاً بها ،كقصد تحقّق مفهوم العقد مثلاً ، وقد يكون من الشرائط الشرعية كالعربية ، وتقديم الإيجاب على القبول ، وأمثالهما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تعلّق النسيان بأصل إيجاد السبب ، أو بما يتقوّم العقد به عرفاً ، فلا إشكال </w:t>
      </w:r>
    </w:p>
    <w:p>
      <w:pPr>
        <w:pStyle w:val="BookText"/>
        <w:rPr/>
      </w:pPr>
      <w:r>
        <w:rPr>
          <w:rFonts w:ascii="Amiri" w:hAnsi="Amiri" w:eastAsia="Amiri" w:cs="Amiri"/>
          <w:color w:val="111111"/>
          <w:sz w:val="28"/>
          <w:sz w:val="28"/>
          <w:szCs w:val="28"/>
          <w:rtl w:val="true"/>
          <w:lang w:bidi="ar-SA"/>
        </w:rPr>
        <w:t xml:space="preserve">في عدم جواز تصحيح العقد بحديث الرفع ، ووجهه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تعلّق بالشرائط الشرعية التي لا يتقوّم العقد بها ، فلا إشكال في جواز التمسّك بالحديث لتصحيح العقد ؛ لأنّ تحقّق العقد العرفي وجداني ، والشرائط الشرعية قابلة للرفع ، والنسيانُ وإن تعلّق بإيجاد الشرط لا بشرطيته ، لكن لا قصور في شمول الحديث لذلك ؛ لرفع الشرط المنسيّ ، ورفعه رفع شرطيته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العقد الفاقد للشرط الكذائي تمام السبب ، كما عرفت في شرائط العبادات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أفاده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رفع العقد الفارسي لا يقتضي وقوع العقد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ما لا يخفى ؛ فإنّ الرفع لم يتعلّق بالعقد الفارسي، بل تعلّق بالعربية المنسيّة، فجعل العقد مع فقدان العربية تمام السبب في ظرف النسيان</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وفيه ما لا يخفى ؛ ضرورة أنّ كلّ من يقدم على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حوائجه ومهمّاته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صحّتها ونفوذها ، ولو فرض كون النسيان لشرط مثلاً موجباً لبطلانها صار المكلّف في حرج وكلفة ، فأيّ منّة أعظم من أن يكون النكاح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عشرين سنة وتشكيل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المنسيّ منه شرط من الشرائط صحيحاً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الرفع بشرطية ما نسي فيه ، فدعوى عدم المنّة من غريب الدعاوي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بما ذكرنا يظهر حال الاضطرار أيضاً ، ومجمل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يتعلّق بحكم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بإيجاد حرام نفسي أو ترك واجب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رفع الحكم أي الحرمة في الإيجاد والترك إن كان حراماً ، ولو بالاستلزام العرفي بين الأمر بالشيء ومبغوضية تركه وحرمته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 مّا أن يتعلّق الاضطرار بإيجاد مانع في العبادات ، أو المعاملات على فرض المانع فيها ، فلا إشكال في تعلّق الرفع وتصحيحها بما سبق في نظائرها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اضطرّ إلى ترك جزء أو شرط ، فإن كان لنفس الترك أثر شرعي ، فيرفع أثره النفسي ، وأمّا تصحيح العبادة والمعاملة فلا يمكن به ؛ لأنّ ترك الجزء أو الشرط لا أثر لهما ، وليس البطلان ووجوب الإعادة إلى غيرذلك من آثار تركهما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آثار عقلية ، وليس للشارع إلاّ جعل الجزئية أو الشرطية تبعاً أو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إسقاطهما ، وأمّا بعد جعلهما فإيجاب تركهما للإعادة عقلي ، وكذا عدم انطباق المأتيّ به على المأمور به ، والبطلان المنتزع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رفع الجزئية والشرطية فلا وجه له بعد عدم تعلّق الاضطرار بهما ، بل تعلّقه بتركهما ، فالرفع لا بدّ أن يتعلّق بما اضطرّ إليه بلحاظ آثاره ، وهو الترك ، ولا تكون الجزئية من أحكام ترك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الإعادة مترتّب على بقاء الأمر الأوّل ، كترتّب عدم وجوبها على عدم بقائه ، فإذا كان بقاء الأمر كحدوثه أمراً شرعياً تناله يد الجعل والرفع ، فلا محذور في التمسّك بالحديث لنفي وجوب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ترى ؛ ضرورة أنّ وجوب الإعادة ليس حكماً مجعولاً ، ولا أثراً شرعياً لبقاء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يرد في الشرع من إيجاب الإعادة ، ليس هو إلاّ إرشاداً إلى بطلان العمل ولزوم إطاعة الأمر الأوّل ؛ ولهذا لا يستحقّ التارك للإعادة إلاّ عقاباً واحداً لترك المأمور به ، لا لترك الإعادة ، واستحقاق العقابين خلاف الضرورة ، كانقلاب التكليف الأوّل إلى تكليف وجوب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لترك الشرط والجزء أثر يتعلّق الرفع به بلحاظه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حال الإكراه على تركهما أيضاً ، كما يظهر الفرق بين نسيان الجزء والشرط والإكراه والاضطرار إلى تركهما ، فإنّ ما نُسي هو الجزء والشرط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النسيان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وأمّا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تعلّق بترك إيجاد السبب ، أو ترك ما يتقوّم به العقد ، فهو كالنسيان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تعلّق بإيجاد السبب والمسبّب ، فلا إشكال في جواز التمسّك به للحكم بالبطلان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تعلّق بترك شرط شرعي أو إيجاد مانع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العاقد مضطرّاً بالاضطرار العادي أو الشرعي لإيجاد العقد ، والمكره يكرهه على ترك الشرط أو إيجاد المانع ، فالظاهر جواز التمسّك بالحديث لرفع الشرط والمانع ، وإن لم يكن مضطرّاً لذلك فلا يجوز ؛ لعدم صدق الإكراه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المضطرّ إلى ترك الشرط أو إيجاد المانع أيضاً كذلك ، فمع الاضطرار إلى إيجاد العقد عادةً أو شرعاً ، يجوز التمسّك به لرفعهما دون غيره ، فمن اضطرّ إلى إيجاد عقد ولم يعرف العربية ، ويضطرّ إلى إيجاده بالفارسية ، يصحّ عقده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تعلّق بترك الجزء والشرط ، وليس للترك أثر شرعي ، كما فصّلنا في الهامش</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الخلل فيما أفاده المحقّق المتقدّم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كلامه في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مواقع للنظر ، خصوصاً في القسم الثاني منها ، وهو ما كان المسبّب من الاُمور الواقعية التي كشف عنها الشارع ، كالطهارة والنجاسة ؛ فإنّها غير قابلة للرفع التشريعي إلاّ بلحاظ آثارها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أنّ لازم ذلك عدم وجوب الغسل على من اُكره على الجنابة ، أو عدم وجوب التطهير على من اُكره على النجاسة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الجنابة المكره عليها وإن لم تقبل الرفع التشريعي ، إلاّ أ نّها باعتبار ما لها من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للرفع ؛ فإنّ الغسل والتطهير أمران وجوديان قد أمر الشارع بهما عقيب الجنابة والنجاسة مطلقاً ، من غير فرق بين الجنابة والنجاسة الاختيارية وغيرها </w:t>
      </w:r>
      <w:r>
        <w:rPr>
          <w:rStyle w:val="FootnoteAnchor"/>
          <w:rtl w:val="true"/>
        </w:rPr>
        <w:footnoteReference w:id="8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تفصّى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ممّا لا يرجع إلى محصّل ؛ فإنّ كونهما أمرين وجوديين لا يوجب عدم رفعهما بالحديث ، وإطلاق أدلّتهما لحال الاختيار وغيره لا يوجب ذلك ؛ لحكومته عليها ، بل من شرط حكومته عليها إطلاقها لحال تلك العناوين المأخوذة في الحديث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عن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غسل الجنابة مستحبّ نفسي وشرط للصلاة ، فبالنسبة إلى الأثر الاستحبابي لا يشمله الحديث ؛ لعدم المنّة في رفع المستحبّات ، وأمّا بالنسبة إلى اشتراط الصلاة به ، فالإكراه إنّما يتحقّق إذا اُكره على ترك الغسل للصلاة ، فحينئذٍ إذا كان المكلّف مختاراً في التيمّم وضاق الوقت ، يتبدّل تكليفه به ، ووجهه ظاهر ، وإن اُكره على تركه أيضاً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الصلاة بلا طهور لا تكون صلاةً في نظر الشارع يسقط التكليف بها ، فيكون حاله حال المكره على ترك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الطهارة الخبثية ، فمع كونه مكرهاً على ترك غسل البدن والساتر الراجع إلى الإتيان مع المانع ، يرفع وجوب طهارتهما واشتراطها بهما بدليل الرفع ، وفي غير الساتر ينزع ، بل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 إلاّ أن يكون مكرهاً في لبسه ، فيكون مكرهاً في إيجاد المانع ، فيشمله دليل الرفع</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يوجب الاختصاص بالمعاملات بالمعنى الأخصّ ؛ ضرورة أنّ مثل الطلاق والعتاق والنكاح والوصيّة وغيرها من المعاملات بالمعنى الأعمّ والإيقاعات مشمولة للحديث ، بل المصرّح به في بعض ما ذكر الشمول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الالتزام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عدم الالتزام مطلقاً بعد تصريح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رفع ما اُكرهوا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اُكرِهَ وَقَلبُهُ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في قضيّة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حكم تكليفي ، وبعد ورود عدم الشيء على الزوجة المكرهة على الجماع في يوم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الحدّ على المكرهة على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الإكراه إن وصل إلى حدّ الحرج جاز ذلك ، إلاّ أ نّه من جهة الحرج لا 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خلاف الإطلاق في الروايات والآية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الإكراه على عنوان مع التوعّد الغير المتحمّل لا يوجب أن يكون العنوان المكره عليه حرجياً ، فشرب الخمر مع التوعّد لا يكون حرجياً ، ويكون متعلّقاً للإكراه ، فلا يشمله دليل الحرج إلاّ مع التكلّف ، دون 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بعض مراتب الإكراه لا توجب جواز الارتكاب ، كما أنّ بعض المحرّمات والعظائم عند الشرع لا يمكن التزام رفع حكمه بالحديث ، ولا بدليل الحرج ، ولا بأدلّة التقيّة ، كما فصّلنا ذلك في رسالة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فتدبّر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البزنطي 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يستكره على اليمين ، فيحلف بالطلاق والعتاق وصدقة ما يملك، أيلزمه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اُمّتي ما اُكرهوا عليه ، وما لم يطيقوا ، وما أخطأوا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الأيمان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الأمر والنهي ، أبواب الأوامر والنواهي ،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الصوم ، أبواب مايمسك عنه الصائم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الحدود ، أبواب حد الزنا ،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الرسالات الفقهية والاُصولية ، الإمام الخميني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إلاّ بفعل المكلّف ، وهو إمّا سبب كالجماع ، أو مسبّب كالإجناب بالمعنى المصدري ، ورفعهما برفع آثارهما الشرعية ، والمفروض أنّ الجنابة أمر واقعي لا شرعي ، فلا معنى لرفعها ، كما لا معنى لرفع أثرها ؛ إذ لم يتعلّق الإكراه به ، فالمرفوع آثار الجماع والإجناب لا الجنابة ، فتدبّر </w:t>
      </w:r>
      <w:r>
        <w:rPr>
          <w:rFonts w:eastAsia="Amiri" w:cs="Amiri" w:ascii="Amiri" w:hAnsi="Amiri"/>
          <w:color w:val="111111"/>
          <w:sz w:val="28"/>
          <w:szCs w:val="28"/>
          <w:rtl w:val="true"/>
          <w:lang w:bidi="ar-SA"/>
        </w:rPr>
        <w:t xml:space="preserve">. </w:t>
      </w:r>
      <w:bookmarkStart w:id="60" w:name="pg12132_127806"/>
    </w:p>
    <w:p>
      <w:pPr>
        <w:pStyle w:val="Heading2"/>
        <w:numPr>
          <w:ilvl w:val="1"/>
          <w:numId w:val="1"/>
        </w:numPr>
        <w:rPr/>
      </w:pPr>
      <w:bookmarkStart w:id="61" w:name="__RefHeading___Toc3352598_417432637"/>
      <w:bookmarkStart w:id="62" w:name="_Toc20"/>
      <w:bookmarkEnd w:id="60"/>
      <w:bookmarkEnd w:id="61"/>
      <w:r>
        <w:rPr>
          <w:rtl w:val="true"/>
        </w:rPr>
        <w:t xml:space="preserve">الأمر السابع </w:t>
      </w:r>
      <w:r>
        <w:rPr>
          <w:rtl w:val="true"/>
        </w:rPr>
        <w:t xml:space="preserve">: </w:t>
      </w:r>
      <w:r>
        <w:rPr>
          <w:rtl w:val="true"/>
        </w:rPr>
        <w:t>تصحيح العبادة بالحديث عند الشكّ في المانعية</w:t>
      </w:r>
      <w:bookmarkEnd w:id="62"/>
    </w:p>
    <w:p>
      <w:pPr>
        <w:pStyle w:val="BookText"/>
        <w:rPr/>
      </w:pPr>
      <w:r>
        <w:rPr>
          <w:rFonts w:ascii="Amiri" w:hAnsi="Amiri" w:eastAsia="Amiri" w:cs="Amiri"/>
          <w:color w:val="111111"/>
          <w:sz w:val="28"/>
          <w:sz w:val="28"/>
          <w:szCs w:val="28"/>
          <w:rtl w:val="true"/>
          <w:lang w:bidi="ar-SA"/>
        </w:rPr>
        <w:t>لو شكّ في مانعية شيء للصلاة ، فالحديث ينفع لصحّة صلاته ؛ لما عرفت</w:t>
      </w:r>
      <w:r>
        <w:rPr>
          <w:rStyle w:val="FootnoteAnchor"/>
          <w:rtl w:val="true"/>
        </w:rPr>
        <w:footnoteReference w:id="82"/>
      </w:r>
      <w:r>
        <w:rPr>
          <w:rFonts w:ascii="Amiri" w:hAnsi="Amiri" w:eastAsia="Amiri" w:cs="Amiri"/>
          <w:color w:val="111111"/>
          <w:sz w:val="28"/>
          <w:sz w:val="28"/>
          <w:szCs w:val="28"/>
          <w:rtl w:val="true"/>
          <w:lang w:bidi="ar-SA"/>
        </w:rPr>
        <w:t xml:space="preserve">أنّ مقتضى حكومة الحديث على الأدلّة الأوّلية رفع المانعية ، وصيرورة المأتيّ به مع وجود المانع المشكوك فيه مصداقاً للطبيعة ، وعدم معقولية بقاء الأمر مع الإتيان بمصداق المأمور به ، ولا فرق في ذلك بين الشبهة الحكمية والموضوعية بعد صيرورة المأتيّ به مصداقاً للطبيعة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فيها إنّما تكون ما دام شاكّاً ، فإذا قطع بالمانعية يجب عليه الإعادة ، ولا يمكن القول بتخصيص المانع بما علم مانعيته ؛ فإنّه مستحيل ، بخلاف الشبهة الموضوعية ؛ لإمكان ذلك فيها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المستحيل هو جعل المانعية ابتداءً للعالم بالمانعية ، وأمّا إنشاؤها بنحو الإطلاق ، ثمّ رفع مانعيتها وفعليتها عن المشكوك فيه ، فممّا لا استحالة فيه أبداً ، وقد حقّق ذلك في مبحث الإجزاء</w:t>
      </w:r>
      <w:r>
        <w:rPr>
          <w:rStyle w:val="FootnoteAnchor"/>
          <w:rtl w:val="true"/>
        </w:rPr>
        <w:footnoteReference w:id="84"/>
      </w:r>
      <w:r>
        <w:rPr>
          <w:rFonts w:ascii="Amiri" w:hAnsi="Amiri" w:eastAsia="Amiri" w:cs="Amiri"/>
          <w:color w:val="111111"/>
          <w:sz w:val="28"/>
          <w:sz w:val="28"/>
          <w:szCs w:val="28"/>
          <w:rtl w:val="true"/>
          <w:lang w:bidi="ar-SA"/>
        </w:rPr>
        <w:t>وفي مبحث الجمع بين الأحكام الظاهرية والواقعية</w:t>
      </w:r>
      <w:r>
        <w:rPr>
          <w:rStyle w:val="FootnoteAnchor"/>
          <w:rtl w:val="true"/>
        </w:rPr>
        <w:footnoteReference w:id="85"/>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 xml:space="preserve">. </w:t>
      </w:r>
      <w:bookmarkStart w:id="63" w:name="pg12132_127807"/>
    </w:p>
    <w:p>
      <w:pPr>
        <w:pStyle w:val="BookText"/>
        <w:rPr/>
      </w:pPr>
      <w:bookmarkEnd w:id="63"/>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دليل الرفع هو توسعة نطاق الطبيعة إلى الفرد الناقص والكامل ، أو جعل الفرد الناقص مصداقاً لها ، فبعد ذلك لا معنى لبقاء الأمر المتعلّق بها بعد إتيانها بإتيان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حديث الرفع ، وقد عرفت دلالته على المدّعى بما لا مزيد عليه </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3352600_417432637"/>
      <w:bookmarkStart w:id="65" w:name="_Toc21"/>
      <w:bookmarkEnd w:id="64"/>
      <w:r>
        <w:rPr>
          <w:rtl w:val="true"/>
        </w:rPr>
        <w:t>حديث الحجب</w:t>
      </w:r>
      <w:bookmarkEnd w:id="65"/>
    </w:p>
    <w:p>
      <w:pPr>
        <w:pStyle w:val="BookText"/>
        <w:rPr/>
      </w:pPr>
      <w:r>
        <w:rPr>
          <w:rFonts w:ascii="Amiri" w:hAnsi="Amiri" w:eastAsia="Amiri" w:cs="Amiri"/>
          <w:color w:val="111111"/>
          <w:sz w:val="28"/>
          <w:sz w:val="28"/>
          <w:szCs w:val="28"/>
          <w:rtl w:val="true"/>
          <w:lang w:bidi="ar-SA"/>
        </w:rPr>
        <w:t xml:space="preserve">وممّا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حجب العلم عن العباد ليس هو الحجب عن مجموع المكلّفين أو عن جميعهم على وجه الاستغراق ، بل الظاهر منه أنّ كلّ من كان محجوباً عن الحكم فهو موضوع عنه ولو كان معلوماً لغيره من سائر المكلّفين ، 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اُمّتي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 أي كلّ من لا يعلم الحكم فهو مرفوع عنه ، وهذا واضح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المجعول بحسب الواقع موضوع عن الجاهل ، وهكذا دليل الرفع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المصحّح لنسبة الحجب إليه تعالى هو الحجب الذي لا يكون بواسطة تقصير العبد عن الفحص ، بل يكون لا باختياره ، وأنّ الجهات الخارجية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الكونية موجبة للحجب ، كوقوع المهالك العامّة ، مثل الزلزلة والحريق والغرق وأمثالها ، فصارت سبباً لضياع الكتب وحجب العباد ، فهذه الاُمور ممّا تنسب إلى اللّه تعالى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حجب اللّه‌ُ علمَه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حكم يكون المكلّف محجوباً عنه لا بتقصير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بواسطة اُمور خارجة عن قدرته ، كطول الزمان ، وضياع الكتب بمصادمات ومصادفات كونية تكون بقدرة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موضوع عنه ، وكذلك الأمر فيما إذا كان الحجب لا بتقصير من العبد ، بل لقصوره وبأمر غير اختياري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بمناسبة الحكم والموضوع يفهم أنّ الحجب لا بتقصير 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بأمر غير اختياري يكون تحت قدرة اللّه تعالى دون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لرفع الحكم ووضعه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الحجب لا يكون دون حديث الرفع في الدلالة على البراءة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أفاده المحقّقون</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لم يبيّنه للعباد ، وتعلّقت عنايته تعالى بمنع اطّلاع العباد عليه ؛ لعدم أمر رسله بتبليغه ؛ حيث إنّه بدونه لا يصحّ إسناد الحجب إليه تعالى ، فالرواية مساوقة لما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سكت عن أشياء لم يسكت عنها نسياناً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بمعزل عن مفهوم الرواية ، ومخالف للمناسبة المغروسة في ذهن أهل </w:t>
      </w:r>
      <w:bookmarkStart w:id="66" w:name="pg12132_127809"/>
    </w:p>
    <w:p>
      <w:pPr>
        <w:pStyle w:val="BookText"/>
        <w:rPr/>
      </w:pPr>
      <w:bookmarkEnd w:id="66"/>
      <w:r>
        <w:rPr>
          <w:rFonts w:ascii="Amiri" w:hAnsi="Amiri" w:eastAsia="Amiri" w:cs="Amiri"/>
          <w:color w:val="111111"/>
          <w:sz w:val="28"/>
          <w:sz w:val="28"/>
          <w:szCs w:val="28"/>
          <w:rtl w:val="true"/>
          <w:lang w:bidi="ar-SA"/>
        </w:rPr>
        <w:t xml:space="preserve">المحاورة ، ومخالف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عرفت من أنّ الظاهر من الوضع عن العباد هو وضع ما هو المجعول ، لا عدم التبليغ رأساً ، كما عرفت السرّ في نسبة الحجب إليه تعالى، مع أنّ نسبة مطلق الأفعال إلى اللّه تعالى قد شاعت في الكتاب والسنّة ؛ بحيث صارت من المجازات الراجحة التي كأ نّه لا يعدّ ارتكابها مخالفة الظاهر بنظر العرف ، فلا تصادم الظهورات الاُخر ، فتدبّر </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3352602_417432637"/>
      <w:bookmarkStart w:id="68" w:name="_Toc22"/>
      <w:bookmarkEnd w:id="67"/>
      <w:r>
        <w:rPr>
          <w:rtl w:val="true"/>
        </w:rPr>
        <w:t>حديث الحلّية</w:t>
      </w:r>
      <w:bookmarkEnd w:id="6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 نّه حرام أو</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موثّقة مسعدة بن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نّه حرام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واضحة</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ضمن تراث الشيخ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يختصّ بالشبهات الموضوعية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القرينية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دعوى 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المعلوم بالإجمال ، فيكون الحديث بصدد الترخيص في ارتكاب أطراف المعلوم بالإجمال حتّى يعرف الحرام بعينه ؛ أي تفصيلاً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فيه حلال وحرام فهو لك حلال ، حتّى </w:t>
      </w:r>
    </w:p>
    <w:p>
      <w:pPr>
        <w:pStyle w:val="BookText"/>
        <w:rPr/>
      </w:pPr>
      <w:r>
        <w:rPr>
          <w:rFonts w:ascii="Amiri" w:hAnsi="Amiri" w:eastAsia="Amiri" w:cs="Amiri"/>
          <w:color w:val="111111"/>
          <w:sz w:val="28"/>
          <w:sz w:val="28"/>
          <w:szCs w:val="28"/>
          <w:rtl w:val="true"/>
          <w:lang w:bidi="ar-SA"/>
        </w:rPr>
        <w:t>تعرف الحرام بعينه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هو ذلك؛ أي ترخيص في التصرّف بالمال المختلط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الحديثان يمكن أن يكونا منسلكين في سلك الأحاديث الواردة في المال المختلط بالحرام ، وقد جمع شتاتها السيّد العلاّمة الطباطبائي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جوائز السلطان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خلط الحلال بالحرام ، فاختلطا جميعاً ، فلا يعرف الحلال من الحرام ، فلا بأس</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الحذّاء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حتّى يعرف الحرام بعينه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فراجع</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الحديثين أجنبيّان عن الشبهات 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ولا يخفى ما فيه</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 للآلي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 لوسائل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 لحدود والتعزيرات ، أبواب مقدّمات الحدود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الناس في سعة ، والعلم بوجوب الاحتياط لا يرفع موضوع الحديث ؛ لعدم كون إيجاب الاحتياط طريقاً إلى الواقع حتّى يرفع عدم العلم ، وإطلاق العلم على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على الطرق العقلائية والشرعية ، لا على مثل الاحتياط الذي ليس كاشفاً بوجه ، فلا وجه لشمول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بالمعنى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ولهذا لو أفتى أحد على الواقع بقيام أمارة عليه لا تكون فتواه بغير علم ، بخلاف ما لو 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بواسطة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الاحتياط إن كان نفسياً يدفع المعارضة بين الحديث وبين أدلّة الاحتياط ؛ لحصول الغاية بعد العلم بوجوب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بلزوم إتيان مجهول الحكم والترخيص فيه متضادّان ولو كان الترخيص لأجل مجهولية الواقع ، فإذا كان شرب التتن مجهول الحرمة فالناس في سعة من شربه ، وهو مخالف لأخبار الاحتياط ولو كان نفسياً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أمكن القول بالسعة من حيث التكليف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الضيق من حيث الاحتياط النفسي ومصلحة خاصّة ، لكان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كما ترى ؛ فإنّ جعل السعة يكون لغواً بعد عدم انفكاك موضوعه عن موضوع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الشبهة الوجوبية أو الموضوعية اعتراف بالمعارضة ، مع أ نّه لا شاهد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الصمد بن بشير المنقولة في أبواب تروك الإحرام عن أبي عبداللّه عليه‌السلام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أعجمياً دخل المسجد يلبّي وعليه قميصه ، فقال لأبي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رجلاً أعمل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الحجّ من قابل ، أيّ رجل</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الإمام الخميني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ركب أمراً بجهالة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 على أنّ الإتيان بمجهول الحكم لا يوجب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ردّها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مثل هذا التركيب في الجاهل المركّب الغافل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الباء للسببية ، والجاهل الغافل يكون جهله سبباً للارتكاب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وأيّد الشيخ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تعميم الجهالة لصورة الترديد يحوج الكلام إلى التخصيص بالشاكّ الغير المقصّر ، وسياقه يأبى عن التخصيص ، ثمّ أمر بالتأ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وجه تأ 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دعواه ؛ ضرورة عدم كون هذه التراكيب ظاهرة فيما ذكر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مورد الرواية هو الجاهل الغافل ، لكن لا يكون المورد مخصّصاً ، خصوصاً في مثل هذا العامّ الذي ورد لإلقاء قاعدة كلّية ، ويكون من قبيل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عذورية الجاهل من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 ، أبواب تروك الإحرام ،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 ضمن تراث الشيخ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الفوائد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 ضمن تراث الشيخ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 ، أبواب كفّارات الاستمتاع ،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أبواب بقية كفّارات الإحرام ،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الصوم ، أبواب من يصحّ منه الصوم ،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استفصال عن جهله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تأييده بكون الباء للسببية ، ففيه منعه ؛ ضرورة أنّ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بسيطاً أو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سبباً للفعل ، بل السبب له هو مبادئه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يكون العلم بالحكم مع بعض المبادئ مانعاً عن ارتكاب الفعل ، فالباء هاهنا يمكن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كونها للسببية يصدق أنّ الارتكاب يكون بجهالة مع الفحص عن الحكم ، وعدم العثور عليه ، فارتكب ؛ فإنّ السببية لا تكون بمعنى صدور الفعل عنه ، بل بمعنى دخالته ولو في الجملة ، وهي حاصلة في الجاهل الملتفت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تأييده بلزوم التخصيص مع عدم جوازه ، 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التخصيص لازم 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المقام مانع عن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إبائه عنه غير مسموعة ؛ ضرورة عدم وجه للإباء ، وعدم كون لسانه آبياً عنه ، ولا التخصيص مستهجناً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يستدلّ به للبراءة حسنة ابن الطيّار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احتجّ على الناس بما آتاهم وعرّفهم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أنّ الاحتجاج إنّما يكون بإيتاء القدرة والسعة والعقل والفهم ، وبتعريف اللّه 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استدلّ بهما أبو عبداللّه عليه‌السلامفي رواية عبدالأعلى لعدم التكليف على المعرفة ، وأنّ على اللّه البيان ، وذلك لعجزهم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إيتاء السعة والقدرة يكون بالنسبة إلى كلّ مكلّف لإتمام الحجّة عليه ، ولا يكفي الإيتاء في الجملة للاحتجاج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المكلّفين ، فكذلك العلم والمعرفة ، فما لم يعرّف اللّه عبده الحكم لا تتمّ حجّته عليه ، فإذا جدّ واجتهد المكلّف ، ولم يصل إلى معرفة حكم اللّه تعالى لأسباب لا تكون تحت قدرته ، يصدق أ نّه ما عرّفه اللّه ، فلا تتمّ الحجّة عليه ، وهو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الرواية منقولة مع ذيل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حجج اللّه على خلقه عن ابن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حمزة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فأملى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يحتجّ على العباد بما آتاهم وعرّفهم ، ثمّ أرسل إليهم رسولاً ، وأنزل عليهم الكتاب ، فأمر فيه ونهى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ابن الطيّار نقل الرواية مع ذيلها لأبان الأحمر في الثانية ، وتقطيعاً لجميل في الاُولى ، فيشكل الاستدلال بها لمكان ذيلها ؛ فإنّ الظاهر أنّ إرسال الرسل وإنزال الكتب كانا بعد إيتائهم وتعريفهم ، فلا بدّ من كون التعريف عبارة عن المعرفة الفطرية بالصانع ، لا المعرفة بالأحكام ، فتكون أجنبيّة عمّا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بظاهر الرواية غير ممكن ؛ لأنّ ظاهرها أنّ إرسال الرسل وإنزال الكتب متأخّران عن الاحتجاج بما آتاهم وعرّفهم ، فلا بدّ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منه أنّ سنّة اللّه تعالى هو الاحتجاج على العباد بما آتاهم وعرّفهم ، وهي منشأ لإرسال الرسل والتعريف ، فتخلّل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مناسباً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ذيل الرواية دلالة على ذلك ؛ فإنّ الظاهر أنّ ذيلها مربوط بهذا الكلام ، فقد تصدّى لبيان أنّ التعريف على اللّه لإتمام الحجّة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 إليهم رسولاً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وأنّ إيتاء السعة والقدرة أيضاً شرط لإتمام الحجّة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فنام رسول اللّه عن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ذكر من الاستشهاد بالآيات على أنّ التكليف موضوع عن الضعفاء والمرضى والفقراء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الذيل لا يضرّ بالدلالة بل يؤيّدها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الاحتياط وارد على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ما لا يخفى ؛ فإنّ الظاهر منها أنّ المعرفة بالأحكام موجبة للاحتجاج ، وبما أ نّه في مقام الامتنان والتحديد ، تدلّ على أ نّه مع عدم المعرفة لا يقع الاحتجاج ، ولا يكون الضيق والكلفة ، كما دلّ عليه ذيل الرواية الثانية ، ولزوم الاحتياط لا يوجب المعرفة بالأحكام ؛ ضرورة عدم طريقيته للواقع ، لا حكماً ولا موضوعاً ، فلو احتجّ علينا على الواقع بالاحتياط يكون احتجاجه بلا تعريف ، وهو يناقض الرواية ، وليس الاحتياط واجباً نفسياً حتّى يحتجّ به ، بل بعد إلزام الاحتياط يحتجّ بالواقع ، فلا إشكال في مناقضة الاحتياط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حكومتها على أدلّة الاحتياط ؛ لتعرّضها لنفي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لازم جعل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تتعرّض له أدلّة الاحتياط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منهما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البيان والتعريف بإسناده عن اليماني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اللّه كلّه عجب ، إلاّ أ نّه قد احتجّ عليكم بما عرّفكم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عرّفكم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نفسه وذاته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ذاته معروفة بتعريفه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 بل الظاهر أنّ الاحتجاج بالأحكام بعد تعريفه تعالى ، فتعريف أحكامه عليه ، لا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المرسلة المرويّة في الوسائل في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القضاء عن محمّد بن علي بن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فرائد الاُصول ، ضمن تراث الشيخ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الإرسال والنسبة إلى المعصوم بنحو الجزم من مثل الصدوق لا يمكن إلاّ مع إحرازه صدور الرواية ، فهي رواية محرزة لديه ولو بالقرائن القائمة لديه ، ورفع اليد عن مثلها في غاية الإشكال في موارد إثبات حكم إلزامي ، بل لا يبعد صحّة الاحتجاج بمثلها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فمحتملاتها كثيرة ؛ لأنّ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اللاحرج والحظر ، أو بمعنى الإباحة الشرعية الواقعية ، أو بمعنى الإباحة الظاهرية المجعولة للشاكّ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النهي الواقعي المتعلّق بالعناوين الأوّلية ، أو الأعمّ منه ومن الظاهري كالمستفاد من الاحتياط ، أو خصوص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بالمعنى المساوق للصدور ، أو المساوق للوصول إلى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بامتناع إرادة بعض الاحتمالات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الإطلاق بمعنى الإباحة الواقعية ، والورود بمعنى الصدور الواقعي ؛ لأنّ الإباحة الواقعية ناشئة من لا اقتضاء الموضوع ؛ لخلوّه عن المصلحة والمفسدة ، فلا يعقل ورود حرمة في موضوعها ؛ للزوم الخلف من فرض اقتضائية الموضوع المفروض أ نّه لا اقتضاء ، وفرض عروض عنوان آخر مقتض للحرمة ، مخالف لظاهر الرواية الدالّة على أنّ الحرمة وردت على نفس ما وردت عليه الإباحة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بورود النهي تحديد الموضوع وتقييده بأنّ ما لم يرد فيه نهي مباح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 نّه إن كان بنحو المعرّفية فهو كالإخبار بأمر بديهي</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القضاء ، أبواب صفات القاضي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يناسب شأن الإمام عليه‌السلام ، وإن كان بنحو التقييد والشرطية فهو غير معقول ؛ لأنّ تقييد موضوع أحد الضدّين بعدم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أو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معقول ؛ لأنّ عدم الضدّ ليس شرطاً لوجود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إرادة الإباحة الظاهرية والورود هو الصدور ،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تخلّف الحكم عن موضوعه التامّ ؛ فإنّه مع فرض 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 يرتفع حكمه بصدور النهي المجامع للشكّ واقعاً ، فلا يعقل أن يتقيّد إلاّ بورود النهي على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الإباحة إذا كانت مغيّاة بصدور النهي واقعاً ، أو محدّدة بعدمه ، والغاية أو القيد مشكوك الحصول ، فلا محالة يحتاج إلى أصالة عدم صدوره لفعلية الإباحة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وإجراء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لمجرّد نفي الحرمة فلا مانع منه ، إلاّ أ نّه ليس من الاستدلال بالخبر ، وإن كان للتعبّد بالإباحة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أو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 امتناع ذلك مطلقاً ، وإن كان للتعبّد بالإباحة بمعنى اللاحرج فهي ليست من مقولة الحكم ، ولا هي موضوع ذو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الخبر جعل ورود النهي غاية رافعة للإباحة الظاهرية المفروضة ، ومقتضى فرض عدم الحرمة إلاّ بقاءً هو فرض عدم الحرمة حدوثاً ، ومقتضاه عدم الشكّ في الحلّية والحرمة من أوّل الأمر ، فلا معنى لجعل الإباحة الظاهرية ، وليست الغاية غاية للإباحة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في فرض فعلية الشكّ صدور النهي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لحقيقة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الفعلية بفعلية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المفروض صدور النهي بقاءً في مورد هذه الإباحة الفعلية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فقدان تتمّة الحاشية في الأصل أوردناه من هنا إلى آخر هذه الحاشية من تهذيب الاُصول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فلذا يرد المحذور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مواقع للنظر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امتناع الأوّل من أنّ الإباحة الواقعية ناشئة من لا اقتضاء الموضوع ، فلا يعقل ورود النهي على نفس الموضوع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 اقتضاء والاقتضاء لو كانا راجعين إلى نفس الموضوع لكان لما ذكره وجه ، إلاّ أنّ الأحكام الشرعية وإن كانت مجعولة عن مصالح ومفاسد لكن لا يلزم أن يكون تلك المصالح أو المفاسد في نفس الموضوعات حتّى يكون الاقتضاء واللا اقتضاء راجعاً إليه ، بل الجهات الخارجية مؤثّرة في جعل الأحكام بلا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شاهد على ذلك هو نجاسة الكفّار والمشركين ؛ فإنّ جعل النجاسة عليهم ليس لأجل وجود قذارة أو كثافة في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الملاك لهذا الجعل الجهات السياسية ؛ فإنّ نظر المشرّع تحفّظ المسلمين عن مخالطة الكفّار والمعاشرة معهم ؛ حتّى تصون بذلك أخلاقهم وآدابهم ونواميسهم ، فلأجل هذه الأمنية حكم على نجاستهم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أن يكون الموضوع مقتضياً للحرمة لكن الموانع منعت عن جعلها ، أو المصالح السياسية اقتضت جعل الإباحة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الشارع حاكماً بحلّية الخمر في دور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تراها ذات مفسدة مقتضية للتحريم وجعل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أشبه شيء بالمقام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يمكن جعل ورود النهي تحديداً للموضوع بكلا الوجهين ؛ من المعرّفية والشرطية بلا محذور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هو كالبديهي إنّما هو الإباحة بمعنى اللا حرجي قبال الحظر ، وأمّا</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الإباحة الواقعية المجعولة الشرعية فليس كذلك ؛ لأ نّها لا تحصل إلاّ بجعل الجاعل ، بخلاف اللا حرجية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اللغوية حينئذٍ ؛ إذ بعد ما حكم العقل باللا حرجية فلا مجال لجعل الإباحة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منقوض أوّلاً بالبراءة الشرعية ، مع استقلال العقل بقبح العقاب بلا بيان ، وثانياً نمنع لغوية الجعل بعد كونها ذات آثار لا تترتّب إلاّ بجعل تلك الإباحة الواقعية ، ولا يغني عنها ما يحكم به العقل ؛ ضرورة أ نّه مع الشكّ في ورود النهي من الشارع يمكن استصحاب الحلّية المجعولة ، بعد الإشكال في جريان أصالة عدم ورود النهي لأجل كونها أصلاً مثبتاً ، وبدونها لا يجوز استصحاب اللا حرجية ؛ لعدم كونها حكماً شرعياً ، ولا موضوعاً ذا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 نّه يمكن منع اللغوية بأنّ جعلها لرفع الشبهة المغروسة في الأذهان من أنّ الأشياء قبل ورود الشرع على الحظر حتّى يرد منه الترخيص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عدم الضدّ شرطاً لوجود الضدّ الآخر ، فالمنع عنه يختصّ بالاُمور التكوينية كما حقّق في محلّه ، وأمّا الاُمور الاعتبارية التي لا يتحمّل أحكام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كالتضادّ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وقد أوضحنا في بعض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تضادّ بين الأحكام ، فلأجل ذلك يمكن أن يجعل عدم أحد الضدّين شرطاً لوجود الضدّ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من امتناع إرادة الإباحة الظاهرية من المطلق مع كون الورود الواقعي غايةً أو تحديداً للموضوع لأجل تخلّف الحكم عن موضوعه التامّ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على التحديد هو المشكوك الذي لم يرد فيه نهي واقعاً ، وهو غير المشكوك الذي ورد فيه 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الموضوع للإباحة الظاهرية هو المشكوك بما هو هو ، المجامع مع ورود النهي واقعاً ، يلزم تخلّف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موضوعه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ليس معه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ورود النهي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الموضوع هو المشكوك الذي لم يرد فيه نهي واقعاً ، فلو ورد هنا نهي لانتفى ما هو موضوع الإباحة بانتفاء أحد جزئيه ، فليس هنا موضوع حتّى يلزم انفكاك الحكم عن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غاية فالموضوع وإن كان هو المشكوك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محفوظ مع ورود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مانع من تخلّف الحكم عن موضوعه إذا اقتضت المصالح الخارجية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الامتناع ناشٍ من قياس التشريع على التكوين ، بتخيّل أنّ الموضوعات علل تامّة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المصالح الخارجية ومفاسدها لها دخالة في تعلّق الأحكام ، كما مرّ في نجاسة الكفّار ، وطهارة العامّة في حال الغيبة لأجل حصول الاتّفاق والاتّحاد ؛ حتّى دلّت الأخبار على رجحان معاشرتهم والحضور في جماعاتهم 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فالمشكوك يمكن أن يكون حلالاً إلى أمد ؛ لاقتضاء العصر وحراماً إلى زمان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أخذت الحوادث المقارنة قيداً محدوداً ، وبتغيّرها يتغيّر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إجراء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فنختار أ نّه للتعبّد بالإباحة الشرعية واقعية أو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 من أ نّه قد علم امتناع ذلك مطلقاً قد علمت صحّته ومعقوليته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تحت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كونه دليلاً مستقلاًّ ، مع أ نّه في الإباحة الظاهرية مصادرة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 يتشبّث بما أفاده قبله ، فلا يكون ذلك دليلاً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الأصل الجاري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الأمر والنهي ، أبواب الأمر والنهي ،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 أبواب صلاة الجماعة ،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أصالة 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فسيوافيك الإشكال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أصالة عدم ورود النهي حتّى يثبت الحلّية الواقعية أو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فسيوافيك أ نّه من الاُصول المثبتة ؛ لأنّ تحقّق ذي الغاية مع عدم حصول غايته من الأحكام العقلية ، والشكّ في تحقّق ذيها وإن كان مسبّباً عن تحقّق نفس الغاية وعدمها ، إلاّ أ نّه ليس مطلق السببية مناطاً لحكومة السببي على المسبّبي ما لم يكن الترتّب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الأصل أصالة بقاء الإباحة الواقعية أو الظاهرية فلا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الاستصحاب لا يجري في الأحكام الظاهرية صحيح ، لكن المقام ليس من أفراده ؛ لأنّ ذلك فيما إذا كان نفس الشكّ كافياً في ترتّب الأحكام ؛ لأنّ الحكم في المقام ليس مرتّباً على نفس الشكّ ، بل عليه مغيّاً بعدم ورود النهي الواقعي ، وهذا لا يكفي فيه الشكّ أصلاً حتّى لا تحتاج إلى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في ثالث إشكالاته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نّا نمنع استلزام عدم الحرمة إلاّ بعد ورود النهي عدمَ تحقّق الشكّ ؛ فإنّ تحقّقه ضروري مع الشكّ في الورود وعدمه ؛ فإنّ المكلّف إذا التفت إلى حرمة شرب التتن وعدمها ؛ محتملاً ورود النهي واقعاً فلا محالة يتحقّق في نفسه الشكّ ، وهو كافٍ في جعل الحكم الظاهري ؛ سواء كان الحكم الظاهري هو إيجاب الاحتياط حتّى يرد الترخيص ، أو الترخيص حتّى يرد النهي ، وقد أوضحنا عدم لغوية هذا الجعل ،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كلّه على القول بأنّ موضوع الحلّية الظاهرية هو الشكّ في الحكم الشرعي المجعول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موضوعها هو الشكّ في كون الأشياء على الحظر وعدمه ، أو الشكّ في الملازمة بين حكم العقل والشرع إذا قلنا بالحظر عقلاً ، فيكون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لكلا الشكّين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أنّ الأصل في الأشياء هو الحظر أو عدمه تفيد الرواية كونها على الإباحة ، وكذا لو قلنا بأنّ الأصل الأوّلي هو الحظر ولكن شككنا في الملازمة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قوله عليه‌السلام ناظراً إلى ما إذا شكّ في الحكم الشرعي لأجل الشكّ في أنّ الأصل في الأشياء هو الحظر أو عدمه ، أو لأجل الشكّ في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الشكّ محقّق مطلقاً ؛ حتّى مع العلم بعدم ورود النهي في الشرع ؛ لأنّ متعلّق الشكّ كون الأصل في الأشياء قبل الشرع هل هو الحظر أو لا ؟</w:t>
      </w:r>
    </w:p>
    <w:p>
      <w:pPr>
        <w:pStyle w:val="BookText"/>
        <w:rPr/>
      </w:pPr>
      <w:r>
        <w:rPr>
          <w:rFonts w:ascii="Amiri" w:hAnsi="Amiri" w:eastAsia="Amiri" w:cs="Amiri"/>
          <w:color w:val="111111"/>
          <w:sz w:val="28"/>
          <w:sz w:val="28"/>
          <w:szCs w:val="28"/>
          <w:rtl w:val="true"/>
          <w:lang w:bidi="ar-SA"/>
        </w:rPr>
        <w:t xml:space="preserve">وهذا لا ينافي العلم بعدم ورود النهي من الشارع ، وهذا نحو آخر من الحكم الظاهري المجعول في حقّ الشاكّ 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عامّة إشكالاته واضحة الدفع ؛ خصوصاً الثالث منها ؛ فإنّه على فرض تسليمه لا يرد في هذا الفرض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محتملات الرواية حسب الثبوت ، وأمّا مفادها حسب الإثبات فلا شكّ أنّ معنى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الإطلاق والإرسال باقٍ إلى ورود النهي ، وليس المراد من الورود هو الورود من جانب الشارع ؛ لانقطاع الوحي في زمان صدور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النواهي المخزونة عند وليّ العصر عليه‌السلام بعيد جدّاً ؛ فإنّه على فرض وجود تلك النواهي عنده فتعيّن أن يكون المراد من الورود هو الوصول على المكلّف ، وهذا عرفاً عين الحكم الظاهري المجعول في حقّ الشاكّ إلى أن يظفر على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استقبالية ، والنهي المتوقّع وروده في زمان الصادق ليست من النواهي الأوّلية الواردة على الموضوعات ؛ لأنّ ذلك بيد الشارع ، وقد فعل ذلك وختم طوماره بموت النبي صلى‌الله‌عليه‌و‌آله‌وسلم وانقطاع الوحي ، غير أنّ كلّ ما يرد من العترة الطاهرة كلّها حاكيات عن التشريع والورود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الورود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يرتفع بذلك الحكم المجعول للشاكّ ، وهذا عين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كون الإطلاق بمعنى اللا حظر ؛ حتّى يكون بصدد بيان حكم عقلي ومسألة اُصولية أو كلامية ، أو بمعنى الحلّية الواقعية قبل الشرع المستكشف بحكم العقل الحاكم بكون الأشياء على الإباحة ، وبملازمة حكم العقل والشرع ، ففي غاية البعد ؛ فإنّ ظواهر هذه الكلمات كون الإمام بصدد بيان الفتوى ورفع حاجة المكلّفين ، لا بيان مسألة اُصولية أو كلامية أو 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كونها بصدد بيان الحكم العقلي أو بيان التلازم يشكل إثباته بالرواية ؛ لعدم صحّة التعبّد في الأحكام العقلية أو ملازماتها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عبدالرحمان بن الحجّاج المنقولة في أبواب ما يحرم بالمصاهرة عن أبي إبراهيم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في عدّتها بجهالة ، أهي ممّن لا تحلّ له أبداً ؟</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أمّا إذا كان بجهالة فليتزوّجها بعد ما تنقضي عدّتها، فقد يعذر الناس في الجهالة بما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أعذر؛ بجهالة أنّ ذلك محرّم عليه أم بجهالة أ نّها في العدّة ؟</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الجهالتين أهون من الاُخرى ؛ الجهالة بأنّ اللّه تعالى حرّم عليه ذلك ؛ وذلك لأ نّه لا يقدر معها على الاحتياط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الاُخرى معذور ؟</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إذا انقضت عدّتها فهو معذور في أن يتزوّجها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بالأهونية في جواب الإمام وبالأعذرية لا يناسب الأحكام الوضعية ؛ فإنّ كون الجهل عذراً وموجباً لعدم التحريم الأبدي لا مراتب له ، فلا بدّ من الحمل على الحكم التكليفي ؛ إذ هو الذي يتفاوت فيه بعض الأعذار، ويكون بعضها</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النكاح ، أبواب ما يحرم بالمصاهرة ،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أهون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فالغافل المرتكب للمحرّم أعذر من الجاهل الملتفت المرتكب له ؛ وإن كان ارتكابه بحكم أصل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دالّة على كون الجهل مطلقاً عذراً في ارتكاب المحرّمات ؛ وإن كان الأعذار ذات مراتب ، والجهالات ذات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بعض محقّقي العصر قدس‌سره من تقريب دلالتها بأنّ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يعذر الناس بما هو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معذورية الجاهل من حيث العقوبة عند الجهل ، الشامل بإطلاقه للمعذورية عن العقوبة والنكال الاُخروي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فضعيف جدّاً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منه الإطلاق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للتقليل لا للتحقيق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بها للمقام محلّ إشكال ؛ لأنّ التعليل بأ نّه كان غير قادر على الاحتياط يجعلها مختصّة بالغافل ، وهو غير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وإلغاء الخصوصية مع التفاوت الفاحش لا يمكن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حتّى تعرف الحرام منه بعينه ، فتدعه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 هذه الكبرى عنهم عليهم‌السلام في عدّة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عبداللّه بن سنان المنقولة في أبواب ما يكتسب به ، عن أبي عبداللّه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حرام وحلال فهو لك حلال حتّى تعرف الحرام منه بعينه، فتدعه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عبداللّه بن سليمان عن أبي جعفر عليه‌السلام المنقولة في الأطعمة المباحة ، بعد السؤال عن الجبن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فيه حلال وحرام فهو لك حلال حتّى تعرف الحرام</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ما يكتسب به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بعينه ، فتدعه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البرقي بسنده عن معاوية بن عمّار عن رجل من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فسأله رجل عن الجبن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لطعام يعجبني ، وساُخبرك عن الجبن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فيه الحلال والحرام فهو لك حلال حتّى تعرف أ نّه حرام ، فتدعه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عبداللّه بن سليمان عن أبي عبداللّه عليه‌السلام في الجبن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يجيئك شاهدان يشهدان أنّ فيه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هو لك حلال حتّى تعلم أ نّه حرام بعينه ، فتدعه من قبل نفسك ، وذلك مثل الثوب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الروايات المذكورة فيها هذه الكبرى مع اختلاف يسير ، وما يظهر من الشيخ الأعظم من كون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 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مستقلّة غير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الأطعمة والأشربة ، أبواب الأطعمة المباحة ،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الأطعمة والأشربة ، أبواب الأطعمة المباحة ،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الأطعمة والأشربة ، أبواب الأطعمة المباحة ،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ما يكتسب به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 ضمن تراث الشيخ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المذكورة في رواية عبداللّه بن سليمان عين ما ذكر في صحيحة ابن سنان ؛ لوحدة العبارة ؛ وإن كانت الاُولى مصدّرة بحكم الجبن ، فيكون الاُولى مختصّة بالشبهات الموضوعية ، ولأجل ذلك يشكل تعميم صحيحة ابن سنان على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العرفان المستعملة في الاُمور الجزئية ؛ فإنّ كلّ واحد من هذه الاُمور وإن كان في حدّ نفسه قابلاً للمناقشة ، إلاّ أنّ ملاحظة المجموع ربّما تصير قرينة على الاختصاص أو سلب الاعتماد بمثل هذا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تلك الصحيحة موثّقة مسعدة بن صدقة ؛ فإنّ الأمثلة المذكورة فيها كلّها من الشبهات الموضوعية ، وفيها إشكالات ذكرها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بعض ما أجاب به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بالإجماع والعقل على البراءة</w:t>
      </w:r>
    </w:p>
    <w:p>
      <w:pPr>
        <w:pStyle w:val="BookText"/>
        <w:rPr/>
      </w:pPr>
      <w:r>
        <w:rPr>
          <w:rFonts w:ascii="Amiri" w:hAnsi="Amiri" w:eastAsia="Amiri" w:cs="Amiri"/>
          <w:color w:val="111111"/>
          <w:sz w:val="28"/>
          <w:sz w:val="28"/>
          <w:szCs w:val="28"/>
          <w:rtl w:val="true"/>
          <w:lang w:bidi="ar-SA"/>
        </w:rPr>
        <w:t xml:space="preserve">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في المقام أصلاً ؛ لكون المسألة ممّا تظافرت به الأدلّة النقلية وحكم به العقل ، فمن القريب جدّاً أن يكون المدرك لإجماعهم هو تلك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أنّ العقل يحكم 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حكم قطعي للعقل ، يرتفع موضوع ذاك الحكم بوصول البيان إلى المكلّف بالعنوان الأوّلي ، أو بإيجاب الاحتياط والتوقّف في الشبهات ، وهذا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يحتاج الاُصولي إلى هذه الكبرى ؛ لأنّ الملاك في استحقاق عقوبة العبد في مخالفة مولاه هو عنوان الظلم ؛ فإنّ مخالفة ما قامت عليه الحجّة خروج عن رسم العبودية ، وهو ظلم من العبد إلى مولاه ، يستوجب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قيام الحجّة فلا يكون ظالماً ، فلا يستحقّ العقوبة ، وهو كافٍ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 ضمن تراث الشيخ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كون العقاب بلا بيان قبيحاً فغير محتاج إليه فيما يرتأيه الاُصولي ؛ وإن كان في نفسه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مستقلّ بوجوب إطاعة المنعم وقبح مخالفته واستحقاق المتخلّف للعقوبة ، 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للعقوبة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بمناط انطباق عنوان الظلم عليه ، بل العقل يستقلّ بهذا مع الغفلة عن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كون مطلق المخالفة ظلماً للمولى محلّ بحث وإشكال ، 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المرميّ في المقام هو تحصيل المؤمّن عن العقاب ؛ حتّى يتسنّى له الارتكاب ، وهو لا يحصل إلاّ بالتمسّك بهذه الكبرى التي مآلها إلى قبح صدور العقاب من المولى الحكيم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مجرّد دفع الاستحقاق بمناط أنّ الارتكاب ليس بظلم فلا يكفي في ذلك ؛ لأنّ دفع الاستحقاق عن ناحية الظلم وحصول الطمأنينة من تلك الناحية لا يصير مؤمّناً عن عامّة الجهات ما لم ينضمّ إليه الكبرى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حكم العقل بقبح العقاب بلا بيان واقعي غير مناط حكمه بقبح العقاب حتّى من غير بيان واصل إلى المكلّف ؛ فإنّه لم يحصل في الأوّل تفويت لمراد المولى ، ولم تتمّ مبادئ الإرادة الآمرية ، فلا مقتضي لاستحقاق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 ؛ فإنّ ملاك عدم الاستحقاق فيه عدم استناد فوت المطلوب إلى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الفرق غير فارق ، ولا يتجاوز عن بيان خصوصية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اختلافهما في المناط فلا يستفاد منه ، بل المناط فيهما واحد ؛ وهو قبح العقاب بلا حجّة ؛ سواء لم يكن بيان من رأس أو كان ولم يصل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فالعقاب في كلا القسمين عقاب بلا جهة ولا حجّة ، وكلاهما من مصاديق الظلم ، والمناط في كلا القسمين واحد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حكم العقل بوجوب دفع الضرر المحتمل على الحكم العقلي المذكور من قبح العقاب بلا بيان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بيان بلسانه ، فيصير العقاب 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فاسد ؛ سواء اُريد من الضرر العقاب الاُخروي أو اُريد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الواضح أنّ الكبرى بما هي هي لا تنتج شيئاً في عامّة الموارد ما لم ينضمّ إليها الصغرى ، فالعلم بوجوب دفع الضرر كالعلم بقبح العقاب بلا بيان لا ينتجان إلاّ إذا انضمّ إلى كلّ واحد صغراه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العقاب في ارتكاب محتمل الحرمة أو ترك محتمل الوجوب محتمل ، ويجب دفع الضرر المحتمل ؛ فينتج وجوب الاحتراز عن محتمل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العقاب على محتمل التكليف بعد الفحص التامّ وعدم العثور عليه عقاب بلا بيان ، والعقاب بلا بيان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يمتنع صدوره عن المولى الحكيم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العقاب على محتمل التكليف 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الثاني مركّب من صغرى وجدانية وكبرى برهانية ، فالنتيجة المتحصّلة منهما قطعية بتّية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فالصغرى فيه ليست أمراً وجدانياً فعلياً ، بل صحّة صغراه يتوقّف على اُمور ؛ إمّا تقصير العبد في الفحص عن تكاليفه ، أو كون المولى غير حكيم أو غير عادل ، أو كون العقاب بلا بيان أمراً غير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واحد من هذه الاُمور يصير العقاب محتملاً ، والمفروض عدم تحقّق 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الصغرى في الثاني وجدانية قطعية فعلية ، أمّا الصغرى في الأوّل معلّقة على تحقّق واحد من هذه الاُمور ، والمفروض عدم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القياس تامّ فعلي غير معلّق على شيء ، وتمامية ذاك مبنيّة ومعلّقة على بطلان القواعد المسلّمة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عندئذٍ في حكومة القياس المنظّم من المقدّمات الفعلية على المتوقّف على اُمور لم يحصل واحد منها ؛ بمعنى أنّ القياس الثاني دافع لصغرى القياس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ذلك ينظر كلمات القوم ، وإلاّ فظاهر كلماتهم من ورود إحدى الكبريين على الاُخرى غير صحيح ؛ فإنّ النزاع ليس بين الكبريين ، بل صحّتهما ممّا لا إشكال فيه ، وصدقهما لا يتوقّف على وجود مصداق لصغراهما ؛ إذ العقاب بلا بيان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بيان في العالم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دفع الضرر المحتمل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الضرر محتملاً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الضرر في بعض الموضوعات وتحقّق البيان كذلك غير مربوط بحكم الكبريين وموضوعهما ، فلا يكون إحدى الكبريين واردة أو حاكمة على الاُخرى قطّ ، بل أحد القياسين بعد تمامية مقدّماته وجداناً أو برهاناً يدفع صغرى القياس الآخر بالبيان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أعني ما إذا اُريد من الضرر غير العقاب الاُخروي الموعود جزاءً للأعمال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منه اللوازم القهرية للأعمال التي يعبّر عنه بتجسّم الأعمال وتجسّد الأفعال ، بتقريب أ نّها ليست من العقوبات السياسية المجعولة ؛ حتّى يرتفع بحكم العقل ، بل صور غيبية لأفعال الإنسان ، وقد استدلّ أصحاب هذا الرأي بعدّة آيات وأخبار ظاهرة فيما 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فلا بدّ من دفع 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المقرّر عند أصحاب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الأعمال التي تبقى آثارها في النفس هي الآثار الحسنة النورانية أو السيّئة الظلمانية ، وأمّا مطلق الأعمال ممّا هي متصرّمة في عالم الطبع فلا يمكن تحقّقها في عالم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تلك الأفعال موجبة لخلاّقية النفس صوراً غيبية تناسب تلك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الأعمال هي الصور المتجسّدة بتبع فعّالية النفس إذا خرجت عن الجسد</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 الشيخ البهائي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الحكمة المتعالية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البرازخ أو بعد الرجوع إليه في القيامة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فالأفعال الطبيعية التي لم تورث في النفس صورة ، لا يمكن حشرها وتصوّرها في سائر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ومناط هذه التصوّرات هو الإطاعة والعصيان ، لا إتيان مطلق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الضرر الدنيوي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مطلق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دنيوياً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واجب الدفع ما لم يوجب احتمال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احتمال الضرر يحكم العقل بقبح الارتكاب ، وبالملازمة تثبت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ارتكاب الضرر ليس قبيحاً ، بل هو بلا داعٍ عقلائي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ذلك البيان هو العلم بالتكليف في صورة احتماله ،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احتمال الضرر مستوجب لاحتمال القبح ، وهو مستلزم لاحتمال العقاب ، وقد علم وجوب دفعه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أوردنا على الأوّل من أنّ ارتكاب الضرر بلا داعٍ عقلائي سفه لا قبيح ، ومعه لا سفه ولا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بوجوده الواقعي لا يؤثّر في القبح ، بل على فرضه لا بدّ من العلم به ، فالعلم به موضوع للقبح ، فمع احتمال الضرر لا يكون قبيحاً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الموضوعية والوجوبية مشتركتان مع الشبهة التحريمية في هذه التوالي المدّعاة ، فلو كانت للأفعال لوازم قهرية مؤذية لصاحبها لكان على الشارع الرؤوف الرحيم إيجاب الاحتياط ؛ حتّى يصون صاحبها عن هذه اللوازم القهرية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فالترخيص فيهما إجماعاً بل ضرورة ، دليل على بطلان تلك المزعمة ، وأ نّه ليس هاهنا ضرر اُخروي أو دنيوي واجب الدفع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من الأدلّة كافٍ في إثبات البراءة الشرعية ، ولنعطف عنان الكلام إلى مقالة الأخباريين</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نتيجة ما أصّلناه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المختار وآراء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على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جواب بعض الأعاظم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مناقشة الجواب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القاعدة على أدلّة الأحكام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تحمّل الضرر وفيما إذا اُكره على الإضرار بالغير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التصرّف في ملكه موجباً لتضرّر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نتيجة ما أصّلناه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المختار وآراء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على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جواب بعض الأعاظم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مناقشة الجواب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القاعدة على أدلّة الأحكام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تحمّل الضرر وفيما إذا اُكره على الإضرار بالغير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التصرّف في ملكه موجباً لتضرّر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نتيجة ما أصّلناه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المختار وآراء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على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جواب بعض الأعاظم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مناقشة الجواب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القاعدة على أدلّة الأحكام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تحمّل الضرر وفيما إذا اُكره على الإضرار بالغير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التصرّف في ملكه موجباً لتضرّر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نتيجة ما أصّلناه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المختار وآراء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على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جواب بعض الأعاظم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مناقشة الجواب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القاعدة على أدلّة الأحكام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تحمّل الضرر وفيما إذا اُكره على الإضرار بالغير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التصرّف في ملكه موجباً لتضرّر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نتيجة ما أصّلناه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المختار وآراء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على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جواب بعض الأعاظم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مناقشة الجواب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القاعدة على أدلّة الأحكام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تحمّل الضرر وفيما إذا اُكره على الإضرار بالغير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التصرّف في ملكه موجباً لتضرّر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نتيجة ما أصّلناه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المختار وآراء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على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جواب بعض الأعاظم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مناقشة الجواب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القاعدة على أدلّة الأحكام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تحمّل الضرر وفيما إذا اُكره على الإضرار بالغير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التصرّف في ملكه موجباً لتضرّر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2132_127831"/>
      <w:bookmarkStart w:id="70" w:name="pg12132_127831"/>
      <w:bookmarkEnd w:id="70"/>
    </w:p>
    <w:p>
      <w:pPr>
        <w:pStyle w:val="Heading2"/>
        <w:numPr>
          <w:ilvl w:val="1"/>
          <w:numId w:val="1"/>
        </w:numPr>
        <w:rPr/>
      </w:pPr>
      <w:bookmarkStart w:id="71" w:name="pg12132_127831"/>
      <w:bookmarkStart w:id="72" w:name="__RefHeading___Toc3352604_417432637"/>
      <w:bookmarkStart w:id="73" w:name="_Toc23"/>
      <w:bookmarkEnd w:id="71"/>
      <w:bookmarkEnd w:id="72"/>
      <w:r>
        <w:rPr>
          <w:rtl w:val="true"/>
        </w:rPr>
        <w:t xml:space="preserve">حول </w:t>
      </w:r>
      <w:r>
        <w:rPr>
          <w:rtl w:val="true"/>
        </w:rPr>
        <w:t xml:space="preserve">: </w:t>
      </w:r>
      <w:r>
        <w:rPr>
          <w:rtl w:val="true"/>
        </w:rPr>
        <w:t>استدلال الأخباريّين على وجوب الاحتياط</w:t>
      </w:r>
      <w:bookmarkEnd w:id="73"/>
    </w:p>
    <w:p>
      <w:pPr>
        <w:pStyle w:val="BookText"/>
        <w:rPr/>
      </w:pPr>
      <w:r>
        <w:rPr>
          <w:rFonts w:ascii="Amiri" w:hAnsi="Amiri" w:eastAsia="Amiri" w:cs="Amiri"/>
          <w:color w:val="111111"/>
          <w:sz w:val="28"/>
          <w:sz w:val="28"/>
          <w:szCs w:val="28"/>
          <w:rtl w:val="true"/>
          <w:lang w:bidi="ar-SA"/>
        </w:rPr>
        <w:t>استدلال الأخباريّين على وجوب الاحتياط</w:t>
      </w:r>
    </w:p>
    <w:p>
      <w:pPr>
        <w:pStyle w:val="Heading2"/>
        <w:numPr>
          <w:ilvl w:val="1"/>
          <w:numId w:val="1"/>
        </w:numPr>
        <w:rPr/>
      </w:pPr>
      <w:bookmarkStart w:id="74" w:name="__RefHeading___Toc3352606_417432637"/>
      <w:bookmarkStart w:id="75" w:name="_Toc24"/>
      <w:bookmarkEnd w:id="74"/>
      <w:r>
        <w:rPr>
          <w:rtl w:val="true"/>
        </w:rPr>
        <w:t>الاستدلال بالكتاب</w:t>
      </w:r>
      <w:bookmarkEnd w:id="7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فبالآيات الناهية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احتجّ الأخباريون على وجوب الاحتياط بآيات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بظاهره على لزوم التورّع والاتّقاء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فِى اللّه‌ِ حَقَّ جِهادِهِ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أجاب عنها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الاتّقاء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المندوبات وترك المكروهات ، ولا إشكال في عدم وجوبهما ، فيدور الأمر بين </w:t>
      </w:r>
    </w:p>
    <w:p>
      <w:pPr>
        <w:pStyle w:val="BookText"/>
        <w:rPr/>
      </w:pPr>
      <w:r>
        <w:rPr>
          <w:rFonts w:ascii="Amiri" w:hAnsi="Amiri" w:eastAsia="Amiri" w:cs="Amiri"/>
          <w:color w:val="111111"/>
          <w:sz w:val="28"/>
          <w:sz w:val="28"/>
          <w:szCs w:val="28"/>
          <w:rtl w:val="true"/>
          <w:lang w:bidi="ar-SA"/>
        </w:rPr>
        <w:t>تقييد المادّة بغيرهما ، وبين التصرّف في الهيئة بحملها على إرادة مطلق الرجحان حتّى لا ينافي فعل المندوب وترك المكروه ، ولا إشكال في عدم أولوية الأوّل إن لم نقل بأولوية الثاني من جهة كثرة استعمالها في غير الوجوب ، حتّى قيل</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المجازات الراجحة المساوي احتمالها مع الحقيقة</w:t>
      </w:r>
      <w:r>
        <w:rPr>
          <w:rStyle w:val="FootnoteAnchor"/>
          <w:rtl w:val="true"/>
        </w:rPr>
        <w:footnoteReference w:id="10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فبالمنع من شمول الاتّقاء لفعل المندوب وترك المكروه ؛ فإنّ التقوى عرفاً عبارة عن الاحتراز عمّا يوجب الضرر أو محتمله ، مثل ترك المحرّمات ومشتبهاتها ، واستعمالها في فعل الواجب ومشتبهه إنّما هو بمناسبة أنّ في تركه ضرراً أو احتماله ، ويتّضح ما ذكرنا بمراجعة موارد استعمال مادّة التقوى في الكتاب والسنّة والمحاورات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فبالمنع من أكثرية استعمال الأمر في غير الوجوب من تقييد المادّة ؛ فإنّ تقييدها شائع كثير في جميع أبواب الفقه حتّى يشكل الاطّلاع على مطلق باقٍ على إطلاقه ، ولو كان فإنّه نادر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استعمال الأمر في الوجوب فإلى ما شاء اللّه ، ولا أظنّ أنّ ما أفاد في المقام وتكرّر منه في مجلس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رجحان التصرّف في الهيئة على التصرّف في المادّة عند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مورداً لعمله قدّس سرّه في الفقه ؛ لأ نّه يلزم منه تأسيس فقه جديد ، كما لا يخفى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يتعيّن في المقام حمل الهيئة على مطلق الرجحان ، وعدم ارتكاب </w:t>
      </w:r>
      <w:bookmarkStart w:id="76" w:name="pg12132_127833"/>
    </w:p>
    <w:p>
      <w:pPr>
        <w:pStyle w:val="BookText"/>
        <w:rPr/>
      </w:pPr>
      <w:bookmarkEnd w:id="76"/>
      <w:r>
        <w:rPr>
          <w:rFonts w:ascii="Amiri" w:hAnsi="Amiri" w:eastAsia="Amiri" w:cs="Amiri"/>
          <w:color w:val="111111"/>
          <w:sz w:val="28"/>
          <w:sz w:val="28"/>
          <w:szCs w:val="28"/>
          <w:rtl w:val="true"/>
          <w:lang w:bidi="ar-SA"/>
        </w:rPr>
        <w:t xml:space="preserve">التقييد في المادّة لخصوصية فيه ، لا لما ذكره ؛ وذلك لأنّ الآيات الشريفة آبية عن التقييد ؛ فإنّ الاستثناء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يكون بشيعاً ، فلا يجوز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ما استطعتم إلاّ في مورد 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كانت الآيات الشريفة شاملة للشبهات الموضوعية والحكمية ولا يجب الاحتياط فيها بلا إشكال ، يدور الأمر بين تقييدها بغيرها وبين حمل الأوامر على مطلق الرجحان ، وحيث كان التقييد غير جائز يتعيّن الحمل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الآيات شاملة للمحرّمات والواجبات المعلومة ، ولا إشكال في امتناع تعلّق الأمر التعبّدي بوجوب إطاعتهما ، فيجب حمل الأوامر فيها على الإرشاد ، فتصير تابعة للمرشد إليه </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3352608_417432637"/>
      <w:bookmarkStart w:id="78" w:name="_Toc25"/>
      <w:bookmarkEnd w:id="77"/>
      <w:r>
        <w:rPr>
          <w:rtl w:val="true"/>
        </w:rPr>
        <w:t>الاستدلال على وجوب الاحتياط بالسنّة</w:t>
      </w:r>
      <w:bookmarkEnd w:id="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دلّ على وجوب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ما دلّ على وجوبه طائفتان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 كصحيحة عبدالرحمان بن حجّاج</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القضاء ، أبواب صفات القاضي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w:t>
      </w:r>
    </w:p>
    <w:p>
      <w:pPr>
        <w:pStyle w:val="BookText"/>
        <w:rPr/>
      </w:pPr>
      <w:r>
        <w:rPr>
          <w:rFonts w:ascii="Amiri" w:hAnsi="Amiri" w:eastAsia="Amiri" w:cs="Amiri"/>
          <w:color w:val="111111"/>
          <w:sz w:val="28"/>
          <w:sz w:val="28"/>
          <w:szCs w:val="28"/>
          <w:rtl w:val="true"/>
          <w:lang w:bidi="ar-SA"/>
        </w:rPr>
        <w:t>عبداللّه بن وضّاح</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الاحتمالات المسقطة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نّهما شاملتان للشبهات الموضوعية والحكمية الوجوبية ، فيدور أمرهما بين التصرّف في المادّة والهيئة ، والثاني أولى ؛ لإبائهما عن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العامّة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حديث الرفع له نحو حكومة عليها ؛ فإنّ الدين عبارة عن الأحكام ؛ أي احتط في مورد تكون شبهة مخالفة الحكم الإلهي ، ولسان حديث الرفع هو رفع الحكم الإلهي عن مورد الشبهة ، ومع عدم الحكم لا يكون مورد للاحتياط لأجل التحفّظ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ما ذكر يمكن الجواب عن خبر التثليث</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القضاء ، أبواب صفات القاضي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فإنّ حديث الرفع يرفع موضوع الريب ، ويرفع الإشكال والشبهة </w:t>
      </w:r>
      <w:r>
        <w:rPr>
          <w:rFonts w:eastAsia="Amiri" w:cs="Amiri" w:ascii="Amiri" w:hAnsi="Amiri"/>
          <w:color w:val="111111"/>
          <w:sz w:val="28"/>
          <w:szCs w:val="28"/>
          <w:rtl w:val="true"/>
          <w:lang w:bidi="ar-SA"/>
        </w:rPr>
        <w:t>.</w:t>
      </w:r>
      <w:bookmarkStart w:id="79" w:name="pg12132_127835"/>
    </w:p>
    <w:p>
      <w:pPr>
        <w:pStyle w:val="BookText"/>
        <w:rPr/>
      </w:pPr>
      <w:bookmarkEnd w:id="79"/>
      <w:r>
        <w:rPr>
          <w:rFonts w:ascii="Amiri" w:hAnsi="Amiri" w:eastAsia="Amiri" w:cs="Amiri"/>
          <w:color w:val="111111"/>
          <w:sz w:val="28"/>
          <w:sz w:val="28"/>
          <w:szCs w:val="28"/>
          <w:rtl w:val="true"/>
          <w:lang w:bidi="ar-SA"/>
        </w:rPr>
        <w:t xml:space="preserve">مضافاً إلى أنّ لسان خبر التثليث هو لسان الإرشاد إلى عدم الوقوع في المحرّمات بواسطة التعوّد على ارتكاب الشبهات ، كما تشهد عليه الروايات </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3352610_417432637"/>
      <w:bookmarkStart w:id="81" w:name="_Toc26"/>
      <w:bookmarkEnd w:id="80"/>
      <w:r>
        <w:rPr>
          <w:rtl w:val="true"/>
        </w:rPr>
        <w:t>الاستدلال على وجوب الاحتياط بالدليل العقلي</w:t>
      </w:r>
      <w:bookmarkEnd w:id="8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العقل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استدلّوا بالعلم الإجمالي بوجود واجبات ومحرّمات كثيرة ، فلا بدّ من الاحتياط</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يتوقّف على بيان ميزان انحلال العلم الإجمالي حقيقةً أو حكماً ؛ حتّى يتّضح الحال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ميزان الانحلال الحقيقي أن يتعلّق العلم بأنّ ما علم إجمالاً من التكليف هو هذا المعلوم بالتفصيل</w:t>
      </w:r>
      <w:r>
        <w:rPr>
          <w:rStyle w:val="FootnoteAnchor"/>
          <w:rtl w:val="true"/>
        </w:rPr>
        <w:footnoteReference w:id="108"/>
      </w:r>
      <w:r>
        <w:rPr>
          <w:rFonts w:ascii="Amiri" w:hAnsi="Amiri" w:eastAsia="Amiri" w:cs="Amiri"/>
          <w:color w:val="111111"/>
          <w:sz w:val="28"/>
          <w:sz w:val="28"/>
          <w:szCs w:val="28"/>
          <w:rtl w:val="true"/>
          <w:lang w:bidi="ar-SA"/>
        </w:rPr>
        <w:t xml:space="preserve">فإذا علم بموطوئية غنم بين قطيعة لا بدّ في الانحلال أن يتعلّق العلم بأنّ هذه الغنم هي الغنم التي تعلّق بها العلم الإجمالي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الانحلال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التفصيلي بمقدار المعلوم بالإجمال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بانطباق المعلوم بالإجمال على المعلوم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قلّما ينحلّ علم إجمالي ، خصوصاً في الشبهات الحكمية ، بل يمكن دعوى عدم مورد فيها 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هذا خلاف التحقيق ؛ لعدم تقوّم الانحلال بالعلم بالانطباق ، بل احتماله كافٍ فيه ؛ وذلك لأنّ العلم الإجمالي إنّما يكون منجّزاً للأطراف إذا بقيت الأطراف على طرفيته ، وإنّما تبقى عليها فيما إذا كان الإجمال باقياً في النفس ، وإنّما يبقى الإجمال إذا كان كلّ طرف طرفاً للاحتمال بنحو القضيّة الحقيقية ، أو مانعة الخلوّ ، فيصدق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واجب أو الطرف الآخر ، ومع العلم التفصيلي بوجوب طرف لا يبقى الترديد ؛ ضرورة خروج الطرف المعلوم بالتفصيل عن طرفية العلم الإجمالي ، لمناقضة مفاديهما ، فينحلّ العلم الإجمالي ، ولا يبقى إجمال في النفس ، فيصير أحد الأطراف معلوماً بالتفصيل ، والبقيّة محتملة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القضيّة الحقيقية أو مانعة الخلوّ إلى قضيّة حملية بتّية ، وإلى قضيّة اُخرى كذلك ، أو قضيّة مشكوك فيها ، من غير بقاء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أحد الطرفين عن طرفية العلم بالسبب الحادث ، لانحلّت القضيّة المنفصلة إلى قضيّة بتّية ومشكوك فيها ، مع بقاء أثر العلم الإجمالي بلا إشكال ، كما لو علم إجمالاً بنجاسة أحد الإناءين في أوّل النهار ، ثمّ وقعت نجاسة في أحدهما المعيّن في آخر النهار ، فإنّ إحداهما تصير معلومة تفصيلاً ، والاُخرى مشكوك فيها ، مع بقاء أثر العلم الإجمالي ، ووجوب الاجتناب عن الاُخرى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بقاء أثر العلم الإجمالي أن يكون باقياً بالنسبة إلى الزمان الأوّل ؛ أي يكون المكلّف عالماً في الزمان الثاني بوجود التكليف في الزمان الأوّل ، وبهذا يفرّق بين صيرورة بعض الأطراف مفصّلاً بالسبب الحادث ، وبين </w:t>
      </w:r>
      <w:bookmarkStart w:id="82" w:name="pg12132_127837"/>
    </w:p>
    <w:p>
      <w:pPr>
        <w:pStyle w:val="BookText"/>
        <w:rPr/>
      </w:pPr>
      <w:bookmarkEnd w:id="82"/>
      <w:r>
        <w:rPr>
          <w:rFonts w:ascii="Amiri" w:hAnsi="Amiri" w:eastAsia="Amiri" w:cs="Amiri"/>
          <w:color w:val="111111"/>
          <w:sz w:val="28"/>
          <w:sz w:val="28"/>
          <w:szCs w:val="28"/>
          <w:rtl w:val="true"/>
          <w:lang w:bidi="ar-SA"/>
        </w:rPr>
        <w:t xml:space="preserve">احتمال الانطباق من أوّل الأمر ؛ فإنّ الثاني يوجب الانحلال دون الأوّل ، كما أنّ هذا وجه الافتراق بين ما نحن فيه وبين الخروج عن محلّ الابتلاء ، أو إتيان بعض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ميزان الانحلال الحقيقي هو صيرورة القضيّة المنفصلة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حملية بتّية موجبة ، وحملية بتّية سالبة إن كانت المنفصلة حقيقية ، وقضيّة مشكوكاً فيها إن كانت مانعة الخلوّ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الانحلال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صيرورة القضيّتين كذلك ، لكن بإعمال تعبّد من الشارع ولو إمضاءً ، كما لو قامت أمارة على أحد الأطراف ؛ فإنّه يصير المعلوم الإجمالي بها مفصّلاً ، ولا يبقى أثره بحكم التعبّد </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3352612_417432637"/>
      <w:bookmarkStart w:id="84" w:name="_Toc27"/>
      <w:bookmarkEnd w:id="83"/>
      <w:r>
        <w:rPr>
          <w:rtl w:val="true"/>
        </w:rPr>
        <w:t>فيما اُجيب عن استدلال الأخباريّين بالدليل العقلي</w:t>
      </w:r>
      <w:bookmarkEnd w:id="84"/>
    </w:p>
    <w:p>
      <w:pPr>
        <w:pStyle w:val="BookText"/>
        <w:rPr/>
      </w:pPr>
      <w:r>
        <w:rPr>
          <w:rFonts w:ascii="Amiri" w:hAnsi="Amiri" w:eastAsia="Amiri" w:cs="Amiri"/>
          <w:color w:val="111111"/>
          <w:sz w:val="28"/>
          <w:sz w:val="28"/>
          <w:szCs w:val="28"/>
          <w:rtl w:val="true"/>
          <w:lang w:bidi="ar-SA"/>
        </w:rPr>
        <w:t xml:space="preserve">إذا عرفت ذلك ، فاعلم أ نّه قد اُجيب عن الأخباريين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منحلّ حقيقة ؛ وذلك لأنّ العلم لمّا كان صفة قائمة بالنفس ، وله إضافة كشف إلى المعلوم ، يكون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كونه صفة نفسانية كالقدرة والإرادة ، وجهة كونه كاشفاً عن الواقع ، وموضوع حكم العقل في تنجيز الواقع هو جهة كونه طريقاً إلى الواقع ، لا كونه صفة قائمة بالنفس ، والأمارات مشتركات معه من هذه الحيثية ، وامتيازه عنها إنّما هو في كونه صفة ، وهو غير دخيل في التنجيز ، فما هو ملاك حكم العقل مفصّل ، وما بقي على إجماله ليس ملاكاً لحكم العقل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مصداق حقيقي للعلم بما هو طريق إلى الواقع وكاشف </w:t>
      </w:r>
    </w:p>
    <w:p>
      <w:pPr>
        <w:pStyle w:val="BookText"/>
        <w:rPr/>
      </w:pPr>
      <w:r>
        <w:rPr>
          <w:rFonts w:ascii="Amiri" w:hAnsi="Amiri" w:eastAsia="Amiri" w:cs="Amiri"/>
          <w:color w:val="111111"/>
          <w:sz w:val="28"/>
          <w:sz w:val="28"/>
          <w:szCs w:val="28"/>
          <w:rtl w:val="true"/>
          <w:lang w:bidi="ar-SA"/>
        </w:rPr>
        <w:t>عنه ، فينحلّ العلم بقيامها ببعض الأطراف</w:t>
      </w:r>
      <w:r>
        <w:rPr>
          <w:rStyle w:val="FootnoteAnchor"/>
          <w:rtl w:val="true"/>
        </w:rPr>
        <w:footnoteReference w:id="109"/>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العلم صفة نفسانية مقابل القدرة والإرادة أمر ، وكونه كاشفاً مطلقاً أمر ، وكونه متّصفاً بتمام الكشف وكمال الإراءة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وإن كان حقيقة بسيطة ،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إلى مطلق الكشف الجامع بينه وبين سائر الأمارات بل الظنون ، وإلى تمام الكشف وكمال الإراءة عن الواقع ، وبهذا يمتاز عن سائر الأمارات والظنون ، وما هو ملاك حكم العقل في التنجيز هو الكاشفية التامّة التي هي ما بها الامتياز بين العلم وغيره ؛ حيث يحكم العقل بعدم تطرّق الجعل إليه لأجلها نفياً وإثباتاً دون غيره ، وأمّا مطلق الكاشفية المشتركة فليس ملاك حكم العقل في التنجيز ، وإلاّ لزم كون مطلق الكواشف حجّة عقلية بنفسها من دون جعل ، ولزم امتناع الردع عنها أو تطرّق الجعل إليها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ملاك حكم العقل في التنجيز في العلم ليس هو في الأمارات المجعولة أو الغير المردوعة ؛ فإنّ ملاك حكم العقل فيه هو تمامية الكشف ، وملاكه فيها هو البناء العقلائي ، أو التعبّد الشرعي جعلاً أو إمضاء ، فالانحلال بها</w:t>
      </w:r>
    </w:p>
    <w:p>
      <w:pPr>
        <w:pStyle w:val="BookText"/>
        <w:rPr/>
      </w:pPr>
      <w:r>
        <w:rPr>
          <w:rFonts w:ascii="Amiri" w:hAnsi="Amiri" w:eastAsia="Amiri" w:cs="Amiri"/>
          <w:color w:val="111111"/>
          <w:sz w:val="28"/>
          <w:sz w:val="28"/>
          <w:szCs w:val="28"/>
          <w:rtl w:val="true"/>
          <w:lang w:bidi="ar-SA"/>
        </w:rPr>
        <w:t xml:space="preserve">إن كان إنّما يكون انحلالاً تعبّدياً لا حقيقياً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الخراساني رحمه الله علیه 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الإجمالي بالأحكام ينحلّ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تعبّداً وحكماً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العلم الإجمالي بثبوت طرق واُصول معتبرة مثبتة لتكاليف بمقدار التكاليف المعلومة أو أزيد ، وحينئذٍ لا علم بتكاليف </w:t>
      </w:r>
    </w:p>
    <w:p>
      <w:pPr>
        <w:pStyle w:val="BookText"/>
        <w:rPr/>
      </w:pPr>
      <w:r>
        <w:rPr>
          <w:rFonts w:ascii="Amiri" w:hAnsi="Amiri" w:eastAsia="Amiri" w:cs="Amiri"/>
          <w:color w:val="111111"/>
          <w:sz w:val="28"/>
          <w:sz w:val="28"/>
          <w:szCs w:val="28"/>
          <w:rtl w:val="true"/>
          <w:lang w:bidi="ar-SA"/>
        </w:rPr>
        <w:t xml:space="preserve">اُخر غير التكاليف الفعلية في الموارد المثبتة في الطرق والاُصول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لكنّه إذا لم يكن العلم بها مسبوقاً بالعلم بالواجبات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يضرّ السبق إذا كان المعلوم اللاحق حادثاً ، وأمّا إذا لم يكن كذلك ، بل ممّا ينطبق عليه ما علم أوّلاً ، ينحلّ العلم الإجمالي إلى التفصيلي والشكّ البدوي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 ما أفاد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ميزان انحلال العلم الإجمالي في الدائرة الكبيرة بالعلم الإجمالي في الدائرة الصغيرة ، إنّما هو تنجيز الأطراف بالعلم الصغير بحيث لا يبقى مجال لتنجيزها بالكبير ، فلا محالة يصير العلم الصغير بمنجّزيته للأطراف ممّا ينحلّ به العلم الكبير ؛ وذلك إنّما يكون فيما إذا تقدّم المعلوم بالعلم الإجمالي الصغير على المعلوم بالعلم الكبير ؛ فإنّ المنجّزية في هذه الصورة تختصّ بالصغير ، وتكون منجّزية الكبير بالنسبة إليها من قبيل تنجيز المنجّز ، وهو محال ، فلا محالة يصير العلم الكبير غير مؤثّر بالنسبة إلى الأطراف ، فتنحلّ أطرافه إلى العلم بالمنجّز الفعلي بالنسبة إلى أطراف الصغير وإلى الشكّ البدوي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صورة مقارنة المعلومين أو تقدّم الكبير ، فلا وجه للانحلال ؛ لأنّ العلم الكبير لا يصير بلا أثر ، أمّا في صورة تقدّمه على الصغير فواضح ؛ فإنّ الكبير منجّز للأطراف دون الصغير إلاّ على نحو التعليق ، وأمّا في صورة مقارنتهما ؛ فلأنّ الصغير والكبير يشتركان في تنجيز أطراف الصغير ؛ لمقارنة علّتي التنجيز فيها ، ويختصّ الكبير بتنجيز أطرافه المختصّة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تنجيز الصغير لأطرافه يتنجّز أطراف الكبير به أيضاً ؛ لعدم استحالة مقارنة المنجّزين لشيء واحد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الانحلال بالعلم الإجمالي ممّا لا يمكن فيما نحن فيه ؛ لأنّ المعلوم بالعلم الإجمالي في الدائرة الصغيرة يقارن المعلوم في الكبيرة أو يتأخّر عنه ، ولا يكون مقدّماً عليه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فيما أفاده ، مضافاً إلى الخلل في كلامه من تناقض الصدر والذيل ، ومن الخلط بين قيام الأمارة على أحد الأطراف معيّناً وبين قيامها بنحو الإجمال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Style w:val="FootnoteAnchor"/>
          <w:rtl w:val="true"/>
        </w:rPr>
        <w:footnoteReference w:id="1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نّه بعد قيام الأدلّة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الواجبات والمحرّمات بمقدار المعلوم ، ينحلّ العلم الإجمالي إلى العلم التفصيلي والشكّ البدوي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أنّ خبر الثقة كافٍ في الفقه ؛ بحيث لا يبقى لنا علم بالتكليف زائداً عمّا يكون مفاد الأخبار ، ولا إشكال في انحلال العلم الإجمالي تعبّداً ؛ لأجل قيام الأمارات على بعض الأطراف على نحو التعيين بمقدار المعلوم بالإجمال ؛ فإنّها دالّة على التكاليف الواقعية ، ويجب ترتيب الآثار عليها ، فتصير الأطراف بين ما يجب أو يحرم معيّناً وبين مشكوكهما ، فلا معنى لبقاء الإجمال والترديد بكون التكليف إمّا في هذا الطرف أو هذا ، فتنحلّ القضيّة المنفصلة الحقيقية إلى قضايا حملية بتّية موجبة وسالبة إن كانت المنفصلة حقيقية ، </w:t>
      </w:r>
    </w:p>
    <w:p>
      <w:pPr>
        <w:pStyle w:val="BookText"/>
        <w:rPr/>
      </w:pPr>
      <w:r>
        <w:rPr>
          <w:rFonts w:ascii="Amiri" w:hAnsi="Amiri" w:eastAsia="Amiri" w:cs="Amiri"/>
          <w:color w:val="111111"/>
          <w:sz w:val="28"/>
          <w:sz w:val="28"/>
          <w:szCs w:val="28"/>
          <w:rtl w:val="true"/>
          <w:lang w:bidi="ar-SA"/>
        </w:rPr>
        <w:t xml:space="preserve">والقضيّة المنفصلة المانعة للخلوّ إلى قضايا حملية بتّية موجبة وقضايا 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الانحلال إنّما هو إذا كان مفاد أدلّة حجّية الأمارات التعبّد بالأحكام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للحجّة وجوداً واقعياً وإن لم نعثر عليها ، ينحلّ العلم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معنى للوجود الواقعي لها ، بل الحجّة إنّما تتقوّم بالعلم ، فلا ينحلّ العلم الإجمالي ؛ لأ نّها حادثة عند تحقّق العلم ، والتكليف الحادث ممّا لا ينحلّ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ولكن يمكن أن يقال بالانحلال في هذه الصورة أيضاً ؛ لأنّ الحجّة وإن كانت حادثة ، لكنّها حجّة على التكليف الواقعي من أوّل الأمر ، وقد عرفت</w:t>
      </w:r>
      <w:r>
        <w:rPr>
          <w:rStyle w:val="FootnoteAnchor"/>
          <w:rtl w:val="true"/>
        </w:rPr>
        <w:footnoteReference w:id="114"/>
      </w:r>
      <w:r>
        <w:rPr>
          <w:rFonts w:ascii="Amiri" w:hAnsi="Amiri" w:eastAsia="Amiri" w:cs="Amiri"/>
          <w:color w:val="111111"/>
          <w:sz w:val="28"/>
          <w:sz w:val="28"/>
          <w:szCs w:val="28"/>
          <w:rtl w:val="true"/>
          <w:lang w:bidi="ar-SA"/>
        </w:rPr>
        <w:t xml:space="preserve">أنّ ميزان الانحلال بمقارنة المعلوم بالتفصيل للمعلوم بالإجمال ، أو تقدّمه عليه ، من غير دخالة لتقدّم العلم وتأخّره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لا معنى لجعل الحجّية ، بل قد عرفت سابقاً </w:t>
      </w:r>
      <w:r>
        <w:rPr>
          <w:rStyle w:val="FootnoteAnchor"/>
          <w:rtl w:val="true"/>
        </w:rPr>
        <w:footnoteReference w:id="115"/>
      </w:r>
      <w:r>
        <w:rPr>
          <w:rFonts w:ascii="Amiri" w:hAnsi="Amiri" w:eastAsia="Amiri" w:cs="Amiri"/>
          <w:color w:val="111111"/>
          <w:sz w:val="28"/>
          <w:sz w:val="28"/>
          <w:szCs w:val="28"/>
          <w:rtl w:val="true"/>
          <w:lang w:bidi="ar-SA"/>
        </w:rPr>
        <w:t xml:space="preserve">أنّ خبر الثقة أمارة عقلائية أمضاها الشارع ، وحجّة عند العقلاء لأجل كشفه عن الواقع وطريقيته إليه ، والحجّية من آثار الطريقية ، وأمّا نفس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احتجاج المولى على العبد ، وهو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غير قابلة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 الأمارة بحيث ينتزع منها الحجّية ممكن ، لكنّه غير جعل الحجّية </w:t>
      </w:r>
      <w:r>
        <w:rPr>
          <w:rFonts w:eastAsia="Amiri" w:cs="Amiri" w:ascii="Amiri" w:hAnsi="Amiri"/>
          <w:color w:val="111111"/>
          <w:sz w:val="28"/>
          <w:szCs w:val="28"/>
          <w:rtl w:val="true"/>
          <w:lang w:bidi="ar-SA"/>
        </w:rPr>
        <w:t xml:space="preserve">. </w:t>
      </w:r>
      <w:bookmarkStart w:id="85" w:name="pg12132_127842"/>
    </w:p>
    <w:p>
      <w:pPr>
        <w:pStyle w:val="Heading2"/>
        <w:numPr>
          <w:ilvl w:val="1"/>
          <w:numId w:val="1"/>
        </w:numPr>
        <w:rPr/>
      </w:pPr>
      <w:bookmarkStart w:id="86" w:name="__RefHeading___Toc3352614_417432637"/>
      <w:bookmarkStart w:id="87" w:name="_Toc28"/>
      <w:bookmarkEnd w:id="85"/>
      <w:bookmarkEnd w:id="86"/>
      <w:r>
        <w:rPr>
          <w:rtl w:val="true"/>
        </w:rPr>
        <w:t>تنبيهات البراءة</w:t>
      </w:r>
      <w:r>
        <w:rPr>
          <w:rtl w:val="true"/>
        </w:rPr>
        <w:t>:</w:t>
      </w:r>
      <w:bookmarkEnd w:id="87"/>
    </w:p>
    <w:p>
      <w:pPr>
        <w:pStyle w:val="Heading2"/>
        <w:numPr>
          <w:ilvl w:val="1"/>
          <w:numId w:val="1"/>
        </w:numPr>
        <w:rPr/>
      </w:pPr>
      <w:bookmarkStart w:id="88" w:name="__RefHeading___Toc3352616_417432637"/>
      <w:bookmarkStart w:id="89" w:name="_Toc29"/>
      <w:bookmarkEnd w:id="88"/>
      <w:r>
        <w:rPr>
          <w:rtl w:val="true"/>
        </w:rPr>
        <w:t xml:space="preserve">التنبيه الأوّل </w:t>
      </w:r>
      <w:r>
        <w:rPr>
          <w:rtl w:val="true"/>
        </w:rPr>
        <w:t xml:space="preserve">: </w:t>
      </w:r>
      <w:r>
        <w:rPr>
          <w:rtl w:val="true"/>
        </w:rPr>
        <w:t>في اشتراط جريان البراءة بعدم وجود أصل موضوعي</w:t>
      </w:r>
      <w:bookmarkEnd w:id="8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أ نّه إنّما تجري أصالة البراءة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جريان أصالة البراءة يتوقّف على عدم أصل حاكم أو وارد في موردها ، موافقاً كان أو مخالفاً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تقديم الأمارات على الاُصول فسيأتي تفصيله في محلّه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شكّ في حلّية حيوان أو طهارته من جهة الشكّ في قبوله التذكية ، حكم عليه بالحرمة والنجاسة بناءً على جريان أصالة عدم التذكية ، ولا تجري أصالة الحلّ والطهارة فيه </w:t>
      </w:r>
      <w:r>
        <w:rPr>
          <w:rFonts w:eastAsia="Amiri" w:cs="Amiri" w:ascii="Amiri" w:hAnsi="Amiri"/>
          <w:color w:val="111111"/>
          <w:sz w:val="28"/>
          <w:szCs w:val="28"/>
          <w:rtl w:val="true"/>
          <w:lang w:bidi="ar-SA"/>
        </w:rPr>
        <w:t xml:space="preserve">. </w:t>
      </w:r>
      <w:bookmarkStart w:id="90" w:name="pg12132_127843"/>
    </w:p>
    <w:p>
      <w:pPr>
        <w:pStyle w:val="Heading2"/>
        <w:numPr>
          <w:ilvl w:val="1"/>
          <w:numId w:val="1"/>
        </w:numPr>
        <w:rPr/>
      </w:pPr>
      <w:bookmarkStart w:id="91" w:name="__RefHeading___Toc3352618_417432637"/>
      <w:bookmarkStart w:id="92" w:name="_Toc30"/>
      <w:bookmarkEnd w:id="90"/>
      <w:bookmarkEnd w:id="91"/>
      <w:r>
        <w:rPr>
          <w:rtl w:val="true"/>
        </w:rPr>
        <w:t>حول أصالة عدم التذكية</w:t>
      </w:r>
      <w:bookmarkEnd w:id="92"/>
    </w:p>
    <w:p>
      <w:pPr>
        <w:pStyle w:val="BookText"/>
        <w:rPr/>
      </w:pPr>
      <w:r>
        <w:rPr>
          <w:rFonts w:ascii="Amiri" w:hAnsi="Amiri" w:eastAsia="Amiri" w:cs="Amiri"/>
          <w:color w:val="111111"/>
          <w:sz w:val="28"/>
          <w:sz w:val="28"/>
          <w:szCs w:val="28"/>
          <w:rtl w:val="true"/>
          <w:lang w:bidi="ar-SA"/>
        </w:rPr>
        <w:t xml:space="preserve">ولا بأس بالإشارة إلى ما يتعلّق بالمثال من جهة الشبهة الحكمية والموضوعية على سبيل الاحتمالات الاُصولية ، لا على سبيل التصديق الفقهي ؛ فإنّه خارج عن المقام ، وذلك يتمّ برسم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حكمية أو موضوعية ، والحكمية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تكون لأجل الشكّ في قابلية الحيوان الكذائي للتذكية ، وإمّا لأجل الشكّ في شرطية شيء أو جزئيته لها ، وإمّا لأجل الشكّ في مانعية شيء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قبول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الشبهة المفهومية ، كما لو شكّ في حيوان أ نّه داخل في نوع الكلب ، وإمّا من جهة اُخرى ، كما لو شكّ في أنّ الحيوان المتولّد من الحيوانين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دخوله في عنوان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يقبل التذكية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لأجل وصف لازم ، وتارةً يكون لأجل وصف حادث كالجَلل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لأجل الشكّ في حيوان بأ نّه غنم أو كلب لأجل الشبهة الخارجية ، وتارةً يكون الشكّ في جزء من الحيوان أ نّه جزء من الغنم أو الكلب ، وتارةً يكون الشكّ في جزء من الحيوان بأ نّه مأخوذ ممّا يعلم تذكيته أو ممّا لم يعلم تذكيته ، وتارةً في جزء منه بأ نّه مأخوذ ممّا يعلم تذكيته أو يعلم عدم تذكيته ، وأيضاً تارةً يكون الشكّ لأجل الشكّ في تحقّق التذكية خارجاً ، مع عدم كونه في يد مسلم أو سوق المسلمين ، وعدم مسبوقيته بهما ، </w:t>
      </w:r>
    </w:p>
    <w:p>
      <w:pPr>
        <w:pStyle w:val="BookText"/>
        <w:rPr/>
      </w:pPr>
      <w:r>
        <w:rPr>
          <w:rFonts w:ascii="Amiri" w:hAnsi="Amiri" w:eastAsia="Amiri" w:cs="Amiri"/>
          <w:color w:val="111111"/>
          <w:sz w:val="28"/>
          <w:sz w:val="28"/>
          <w:szCs w:val="28"/>
          <w:rtl w:val="true"/>
          <w:lang w:bidi="ar-SA"/>
        </w:rPr>
        <w:t xml:space="preserve">وتارةً يكون لأجل الشكّ في طروّ المانع بعد إحراز المانعية ، كما لو قلنا بأنّ الجلَل مانع ، وشككنا في حصوله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التذكية الموجبة للطهارة ، أو هي مع الحلّية ، إمّا أن تكون أمراً بسيطاً ، أو مركّباً خارجياً ، أو مركّباً تقييدياً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أمراً متحصّلاً مسبّباً من الأجزاء الخارجية ، وتارةً تكون منتزعاً منها موجودة بعين وجودها كسائر الانتزاعيات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المركّب الخارجي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التذكية عبارة عن الاُمور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فري الأوداج ، بالحديد ، إلى القبلة ، مع التسمية ، وكون الذابح مسلماً ، والحيوان قابلاً ولا يكون أمر آخر معتبراً فيها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المركّب التقييدي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التذكية عبارة عن أمر متقيّد بأمر آخر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أمراً بسيطاً متحصّلاً من الاُمور الخمسة متقيّداً بقابلية</w:t>
      </w:r>
    </w:p>
    <w:p>
      <w:pPr>
        <w:pStyle w:val="BookText"/>
        <w:rPr/>
      </w:pPr>
      <w:r>
        <w:rPr>
          <w:rFonts w:ascii="Amiri" w:hAnsi="Amiri" w:eastAsia="Amiri" w:cs="Amiri"/>
          <w:color w:val="111111"/>
          <w:sz w:val="28"/>
          <w:sz w:val="28"/>
          <w:szCs w:val="28"/>
          <w:rtl w:val="true"/>
          <w:lang w:bidi="ar-SA"/>
        </w:rPr>
        <w:t xml:space="preserve">المحلّ مثلاً ، وتارةً تكون أمراً منتزعاً منها متقيّداً بها ، وتارةً تكون أمراً مركّباً منها متقيّداً بها ، ففي جميع هذه الصور يكون المركّب تقييدياً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تكون التذكية بسيطة متقيّدة ، وقد تكون مركّبة متقيّدة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 دليل شرعي على تعيين أحد المحتملات ورفع الشبهة من جهة أو جهات ، فهو ، وإلاّ فالمرجع هو الاُصول الموضوعية أو الحكمية على اختلاف الموارد في جريانها ، كما ستأتي الإشارة إليه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تصديق بعض المحتملات فهو منوط بالبحث الفقهي</w:t>
      </w:r>
      <w:r>
        <w:rPr>
          <w:rStyle w:val="FootnoteAnchor"/>
          <w:rtl w:val="true"/>
        </w:rPr>
        <w:footnoteReference w:id="118"/>
      </w:r>
      <w:r>
        <w:rPr>
          <w:rFonts w:ascii="Amiri" w:hAnsi="Amiri" w:eastAsia="Amiri" w:cs="Amiri"/>
          <w:color w:val="111111"/>
          <w:sz w:val="28"/>
          <w:sz w:val="28"/>
          <w:szCs w:val="28"/>
          <w:rtl w:val="true"/>
          <w:lang w:bidi="ar-SA"/>
        </w:rPr>
        <w:t xml:space="preserve">، وخارج عمّا </w:t>
      </w:r>
    </w:p>
    <w:p>
      <w:pPr>
        <w:pStyle w:val="BookText"/>
        <w:rPr/>
      </w:pPr>
      <w:r>
        <w:rPr>
          <w:rFonts w:ascii="Amiri" w:hAnsi="Amiri" w:eastAsia="Amiri" w:cs="Amiri"/>
          <w:color w:val="111111"/>
          <w:sz w:val="28"/>
          <w:sz w:val="28"/>
          <w:szCs w:val="28"/>
          <w:rtl w:val="true"/>
          <w:lang w:bidi="ar-SA"/>
        </w:rPr>
        <w:t xml:space="preserve">نحن بصدده من بيان الأصل في كلّ 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الشكّ من جهة قابلية الحيوان للتذكية ، سواء كانت الشبهة لأجل الشبهة المفهومية أو لا ، ولم يدلّ دليل على قابلية كلّ حيوان للتذكية ، فهل تجري أصالة عدم القابلية وتحرز الموضوع ، أم لا ؟</w:t>
      </w:r>
    </w:p>
    <w:p>
      <w:pPr>
        <w:pStyle w:val="BookText"/>
        <w:rPr/>
      </w:pPr>
      <w:r>
        <w:rPr>
          <w:rFonts w:ascii="Amiri" w:hAnsi="Amiri" w:eastAsia="Amiri" w:cs="Amiri"/>
          <w:color w:val="111111"/>
          <w:sz w:val="28"/>
          <w:sz w:val="28"/>
          <w:szCs w:val="28"/>
          <w:rtl w:val="true"/>
          <w:lang w:bidi="ar-SA"/>
        </w:rPr>
        <w:t xml:space="preserve">قد يقال بجريانها ، 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العارض قد يكون عارض المهية ، وقد يكون عارض الوجود ، وعلى أيّ تقدير قد يكون لازماً وقد يكون مفارقاً ، فالعرض اللازم للمهية كزوجية الأربعة ، وكون زوايا المثلّث مساوية للقائمتين ، والمفارق لها كعروض الوجود لمهية الممكن ، تأ 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اللازم للوجود كموجوديته المصدرية ، ونوريته ، ومنشئيته للآثار ، والمفارق كالسواد والبياض العارضين للموجود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قابلية الحيوان للتذكية من العوارض اللازمة للوجود أو الموجود ، وليست من العوارض اللازمة للمهية ، وتكون من العوارض المفارقة للمهية بتبع الوجود كجميع عوارض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الحيوان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إلى مهيته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قابلاً للتذكية قبل وجوده ، ونشكّ في أ نّه حين تلبّسه به عرض له القابلية لها ، أو لا ، فالأصل عدم عروضها له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الموضوع هو الوجود ، أو كانت القابلية من لوازم المهية ، لم يكن وجه لهذا الاستصحاب ؛ لعدم الحالة السابقة ، لكن الموضوع هو المهية ، والقابلية عارضة لها بعد وجودها ، فهذه المهية قبل تحقّقها لم تكن متّصفة بالقابلية بنحو السالبة المحصّلة ، والآن كما كانت </w:t>
      </w:r>
      <w:r>
        <w:rPr>
          <w:rFonts w:eastAsia="Amiri" w:cs="Amiri" w:ascii="Amiri" w:hAnsi="Amiri"/>
          <w:color w:val="111111"/>
          <w:sz w:val="28"/>
          <w:szCs w:val="28"/>
          <w:rtl w:val="true"/>
          <w:lang w:bidi="ar-SA"/>
        </w:rPr>
        <w:t xml:space="preserve">. </w:t>
      </w:r>
      <w:bookmarkStart w:id="93" w:name="pg12132_127846"/>
    </w:p>
    <w:p>
      <w:pPr>
        <w:pStyle w:val="BookText"/>
        <w:rPr/>
      </w:pPr>
      <w:bookmarkEnd w:id="93"/>
      <w:r>
        <w:rPr>
          <w:rFonts w:ascii="Amiri" w:hAnsi="Amiri" w:eastAsia="Amiri" w:cs="Amiri"/>
          <w:color w:val="111111"/>
          <w:sz w:val="28"/>
          <w:sz w:val="28"/>
          <w:szCs w:val="28"/>
          <w:rtl w:val="true"/>
          <w:lang w:bidi="ar-SA"/>
        </w:rPr>
        <w:t xml:space="preserve">ومن ذلك يعلم جريان أصالة عدم القرشية وأمثالها ، فأصالة عدم القابلية جارية وحاكمة على أصالة عدم التذكية ، وعلى الاُصول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أصرّ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جريانه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التحقيق أنّ هذا الأصل ممّا لا أصل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يتوقّف على بيان اعتبارات القضايا السالبة ، ولا بأس بالإشارة إلى مطلق القضايا لكي يتّضح المقصود </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3352620_417432637"/>
      <w:bookmarkStart w:id="95" w:name="_Toc31"/>
      <w:bookmarkEnd w:id="94"/>
      <w:r>
        <w:rPr>
          <w:rtl w:val="true"/>
        </w:rPr>
        <w:t>في بيان اعتبارات القضايا</w:t>
      </w:r>
      <w:bookmarkEnd w:id="9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القضايا المعتبرة في العلوم إمّا تكون موجبة ، أو سالبة ، أو معدولة المحمول موجبة وسالبة ، والاُوليان قد تكونان بنحو الهلية البسيطة ، وقد تكونان بنحو الهلية المركّبة ، فإذن القضايا التي لها اعتبار عند العقل والعقلاء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الموجبة بنحو الهلية المركّبة ،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 نّها تنحلّ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 ومحمول، ونسبة</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منها محكيّ ، فالموضوع يحكي عن زيد الخارجي ، والمحمول عن القيام ، والنسبة عن حصوله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تحقيق أنّ الكون الرابط متحقّق في الخارج أو لا ، وعلى فرض تحقّقه فبأيّ نحو ، فأمر صعب خارج عن مقصدنا ومذكور في محلّه</w:t>
      </w:r>
      <w:r>
        <w:rPr>
          <w:rStyle w:val="FootnoteAnchor"/>
          <w:rtl w:val="true"/>
        </w:rPr>
        <w:footnoteReference w:id="121"/>
      </w:r>
      <w:r>
        <w:rPr>
          <w:rFonts w:ascii="Amiri" w:hAnsi="Amiri" w:eastAsia="Amiri" w:cs="Amiri"/>
          <w:color w:val="111111"/>
          <w:sz w:val="28"/>
          <w:sz w:val="28"/>
          <w:szCs w:val="28"/>
          <w:rtl w:val="true"/>
          <w:lang w:bidi="ar-SA"/>
        </w:rPr>
        <w:t xml:space="preserve">، وعلى أيّ حال للقضيّة حكاية وكشف عن أمر خارجي ، موضوعاً ، ومحمولاً ، ونسبة أو كوناً رابطاً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الموجبة بنحو الهلية البسيطة ،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إشكال في أنّ هذه القضيّة مركّبة ذهناً من الموضوع والمحمول والنسبة ، كما لا إشكال في أنّ المحكيّ عنه فيها لم يكن بنحو المحكيّ عنه في القضيّة الاُولى ؛ فإنّ موجودية المهية لم تكن على نحو عروض الأعراض الخارجية للموضوع ، كما أنّ موجودية الوجود لم تكن عارضة له في الخارج ، بل المحكيّ الخارجي ليس إلاّ الوجود البسيط ، فيحلّله العقل إلى موضوع ومحمول ، ويخترع له نسبة من دون أن يكون في الخارج معروض وعرض ، وموضوع ومحمول ونسبة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ممّا ذكرنا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المحكيّ ليس إلاّ نفس ذات الموضوع ، ومناط الصدق في أمثال هذه القضايا هو تحقّق الموضوع بنفس ذاته ، أو تحقّق المحمول بذاته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الموجبة المعدولة ، والميزان في اعتبارها أن يكون للمعنى العدمي المنتسب إلى الموضوع نحو حصول في الموضوع كأعدام الملكات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إثبات العمى واللا بصير للموضوع </w:t>
      </w:r>
    </w:p>
    <w:p>
      <w:pPr>
        <w:pStyle w:val="BookText"/>
        <w:rPr/>
      </w:pPr>
      <w:r>
        <w:rPr>
          <w:rFonts w:ascii="Amiri" w:hAnsi="Amiri" w:eastAsia="Amiri" w:cs="Amiri"/>
          <w:color w:val="111111"/>
          <w:sz w:val="28"/>
          <w:sz w:val="28"/>
          <w:szCs w:val="28"/>
          <w:rtl w:val="true"/>
          <w:lang w:bidi="ar-SA"/>
        </w:rPr>
        <w:t xml:space="preserve">إنّما هو باعتبار أنّ لهذا المعنى العدمي نحو تحقّق فيه ، وهو قابليته للاتّصاف بالبصر ، وهذا الاعتبار ليس في القضيّة السالبة المحصّلة ؛ للفرق الواضح بين سلب شيء عن موضوع وإثبات السلب له ؛ فإنّ معنى الإثبات هو حصول الأمر العدمي له ، ومعنى السلب البسيط سلب هذا الثبوت عنه ، ولهذا تكون القضيّة المعدولة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اعتبار في مقابل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للسلب ثبوت بنحو العدم والملكة ، 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معتبرة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معتبرة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الجدار لا بصير أو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فمناط الصدق في مثلها هو نحو تحقّق للمعنى السلبي في الموضوع ، وثبوته له بنحو من الثبوت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الجدار لا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غير صادقة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ليس 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السالبة المعدولة ،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الجدار ليس بلا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قضيّة معتبرة ، ومفادها سلب تحصّل هذا الأمر العدمي للموضوع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السالبة بنحو الهلية البسيطة ،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مفادها سلب الموضوع ففي مثل هذه القضايا ليست حكاية حقيقية ولا كشف واقعي عن أمر أصلاً ، وليس لها محكيّ بوجه ، لكنّ العقل يدرك بنحو من الإدراك بطلان الموضوع ، وهذا الإدراك أيضاً يكون بتبع أمر وجودي ، كالصورة المدركة الذهنية التي يخترعها العقل ، وتكون مناط إدراكه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المعدوم المطلق ليس بشيء ، أو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يحكي عن أمر واقعي ، بل ينبّه على بطلان المعدوم وعدم شيئيته ، وليس للبطلان وعدم الشيئية واقعية حتّى يحكي شيء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فصرف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يخترع العقل له مفهوماً يكون بالحمل الأوّلي هو البطلان ويحكم عليه ببطلان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مناط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يتوهّم العقل المشوب أنّ للبطلان واقعية ، والمفهوم يحكي عنه ، والتخلّص عن ملاعبة الواهمة أمر 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السالبة المحصّلة بنحو الهلية المركّبة ،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مثلها قد يكون الموضوع محقّقاً يسلب عنه المحمول ، وقد يكون السلب بسلب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تحقّق الموضوع يكون لموضوع القضيّة حكاية وكشف ، دون محمولها ، لكنّ العقل يدرك بوسيلة الصورة المخترعة الموجودة في الذهن أنّ الموضوع لم يكن متّصفاً بالمحمول ، فيحكم به من دون أن يكون لعدم الاتّصاف حقيقة خارجية ، ولهذا المعنى السلبي واقعية 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ومناط صدقه عدم اتّصاف الموضوع بالمعنى المقابل للمعنى العدمي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تحقّق الموضوع ليس للقضيّة حقيقة واقعية أصلاً ، لا موضوعاً ولا محمولاً ولا نسبة ، وليست هذه القضيّة مثل القضيّة الموجبة المركّبة ممّا تحكي القضيّة اللفظية عن موضوع ومحمول ونسبة ، بل هذه القضيّة اختراع صرف من العقل ، منشؤه إدراك البطلان للموضوع بصورة ذهنية ، وإدراك البطلان للمحمول بصورة ذهنية اُخرى ، وتوهّم سلب المحمول عن الموضوع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بملاعبة الواهمة ودعابة المتصرّفة ، وأمّا بحسب الواقع فليس أعدام ممتازة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الموضوع ، والآخر المحمول ، والثالث النسبة ؛ لعدم الميز في الأعدام ، وعدم الكثرة والوحدة فيها ، فالبطلان الصرف لا يكون حاكياً </w:t>
      </w:r>
    </w:p>
    <w:p>
      <w:pPr>
        <w:pStyle w:val="BookText"/>
        <w:rPr/>
      </w:pPr>
      <w:r>
        <w:rPr>
          <w:rFonts w:ascii="Amiri" w:hAnsi="Amiri" w:eastAsia="Amiri" w:cs="Amiri"/>
          <w:color w:val="111111"/>
          <w:sz w:val="28"/>
          <w:sz w:val="28"/>
          <w:szCs w:val="28"/>
          <w:rtl w:val="true"/>
          <w:lang w:bidi="ar-SA"/>
        </w:rPr>
        <w:t xml:space="preserve">ولامحكيّاً ، ولا دالاًّ ولا مدلولاً ، ولا موضوعاً ولا محمولاً ، فهذه القضايا غير حاكية عن شيء أصلاً ، إلاّ بتوهّم شيطنة الواهمة واُكذوبتها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حال القضايا اتّضح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سلب شيء عن شيء قبل تحقّق الموضوع ليس له واقع ، وإنّما هو من اختراع العقل ، لا كاشفية ومكشوفية في البين ، 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المرأة قبل تحقّقها لم تكن قرشية ، أو هذا الحيوان قبل تحقّقه</w:t>
      </w:r>
    </w:p>
    <w:p>
      <w:pPr>
        <w:pStyle w:val="BookText"/>
        <w:rPr/>
      </w:pPr>
      <w:r>
        <w:rPr>
          <w:rFonts w:ascii="Amiri" w:hAnsi="Amiri" w:eastAsia="Amiri" w:cs="Amiri"/>
          <w:color w:val="111111"/>
          <w:sz w:val="28"/>
          <w:sz w:val="28"/>
          <w:szCs w:val="28"/>
          <w:rtl w:val="true"/>
          <w:lang w:bidi="ar-SA"/>
        </w:rPr>
        <w:t>لم يكن قابلاً للتذكية ، والآن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معنى له ، لأنّ هذه المرأة قبل تحقّقها لم تكن هذه ، وهذا الحيوان لم يكن هذا ، ولا يمكن أن يشار إليهما حسّاً ولا عقلاً ، وإنّما تتوهّم الواهمة أنّ لهذا المشار إليه هذية قبل تحقّقه ، فهذه المرأة</w:t>
      </w:r>
    </w:p>
    <w:p>
      <w:pPr>
        <w:pStyle w:val="BookText"/>
        <w:rPr/>
      </w:pPr>
      <w:r>
        <w:rPr>
          <w:rFonts w:ascii="Amiri" w:hAnsi="Amiri" w:eastAsia="Amiri" w:cs="Amiri"/>
          <w:color w:val="111111"/>
          <w:sz w:val="28"/>
          <w:sz w:val="28"/>
          <w:szCs w:val="28"/>
          <w:rtl w:val="true"/>
          <w:lang w:bidi="ar-SA"/>
        </w:rPr>
        <w:t xml:space="preserve">قبل وجودها لم تكن مشاراً إليها ، ولا مسلوباً عنها شيء على نعت سلب شيء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المشكوك فيها ليست لها حالة سابقة ، وإنّما سابقتها في عالم الاختراع بتبع اُمور وجودية ، وتوهّم الواهمة لما ليس له تحقّق تحقّقاً ، ولما ليس له واقع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 مّل فيما ذكرنا يدفع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الكذائية قبل تحقّقها إمّا قرشية أو ليست بقرشية ، لامتناع ارتفاع النقيضين ، فإذا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نّها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نّها ليست بقرشية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لأنّ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نّها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نّها ليست بقرشية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نعت سلب شيء عن شيء له واقعية ، بل نقيضه أعمّ من ذلك ومن بطلان الموضوع ، وهو يلازم بطلان المحمول والنسبة ، فليتأ مّل فإنّه دقيق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الحيوان لم يكن هذا الحيوان ، لا أ نّه حيوان سابقاً </w:t>
      </w:r>
      <w:bookmarkStart w:id="96" w:name="pg12132_127851"/>
    </w:p>
    <w:p>
      <w:pPr>
        <w:pStyle w:val="BookText"/>
        <w:rPr/>
      </w:pPr>
      <w:bookmarkEnd w:id="96"/>
      <w:r>
        <w:rPr>
          <w:rFonts w:ascii="Amiri" w:hAnsi="Amiri" w:eastAsia="Amiri" w:cs="Amiri"/>
          <w:color w:val="111111"/>
          <w:sz w:val="28"/>
          <w:sz w:val="28"/>
          <w:szCs w:val="28"/>
          <w:rtl w:val="true"/>
          <w:lang w:bidi="ar-SA"/>
        </w:rPr>
        <w:t xml:space="preserve">ولم يكن قابلاً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السلب المطلق لإثبات بعض حالاته أو مصاديقه مثبت ، وهو نظير استصحاب الحيوان الجامع بين البقّ والفيل لإثبات الفيل وآثاره ، 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القابلية في الحيوان كأصالة عدم القرشية في المرأة ، ليس لها أساس ، من غير فرق في الشكّ في القابلية بين الشبهة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الحيوان هل هو داخل في مفهوم السبع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غيرها ، كالشكّ في الحيوان المتولّد من الحيوانين مع عدم الشكّ في المفهوم ، فمع عدم جريان أصالة عدم القابلية يكون المرجع هو أصالة عدم التذكية </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3352622_417432637"/>
      <w:bookmarkStart w:id="98" w:name="_Toc32"/>
      <w:bookmarkEnd w:id="97"/>
      <w:r>
        <w:rPr>
          <w:rtl w:val="true"/>
        </w:rPr>
        <w:t>التحقيق في جريان أصالة عدم التذكية في المحتملات</w:t>
      </w:r>
      <w:bookmarkEnd w:id="98"/>
    </w:p>
    <w:p>
      <w:pPr>
        <w:pStyle w:val="BookText"/>
        <w:rPr/>
      </w:pPr>
      <w:r>
        <w:rPr>
          <w:rFonts w:ascii="Amiri" w:hAnsi="Amiri" w:eastAsia="Amiri" w:cs="Amiri"/>
          <w:color w:val="111111"/>
          <w:sz w:val="28"/>
          <w:sz w:val="28"/>
          <w:szCs w:val="28"/>
          <w:rtl w:val="true"/>
          <w:lang w:bidi="ar-SA"/>
        </w:rPr>
        <w:t xml:space="preserve">والتحقيق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التذكية إن كانت أمراً مركّباً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ككونها نفس الاُمور الستّة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عدمها غير جارية بعد وقوع الاُمور الخمسة على حيوان شُكّ في قابليته ؛ لعدم جريان أصالة عدم القابلية ، وعدم كون التذكية أمراً مسبوقاً بالعدم ؛ لكونها عبارة عن الاُمور الخارجية ، والفرض حصول خمسة منها ، وعدم جريان الأصل في السادس منها ، فحينئذٍ يكون المرجع أصالة الحلّ والطهارة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التذكية أمراً بسيطاً محضاً ، أو بسيطاً متقيّداً ، أو مركّباً تقييدياً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التذكية جارية مع الغضّ عن الإشكال الآتي المشترك الورود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كانت أمراً بسيطاً متحصّلاً من الاُمور الخارجية فواضح ؛ لأ نّه مسبوق بالعدم قبل تحقّق الاُمور الخارجية ، والآن كما كان ، واختلاف منشأ الشكّ واليقين لا يضرّ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كانت أمراً بسيطاً منتزعاً ؛ لأنّ هذا الأمر الانتزاعي الموضوع للحكم وإن كان على فرض وجوده يتحقّق بعين منشأ انتزاعه لكنّه مسبوق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أمراً مركّباً تقييدياً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بسيطة متحصّلة أو منتزعة من الاُمور الخمسة متقيّدةً بقابلية المحلّ ، أو مركّبة منها ومتقيّدة بالقابلية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أصالة عدم التذكية لا مانع منها ؛ لأنّ المتقيّد بما أ نّه متقيّد مسبوق بالعدم ، ومشكوك تحقّقه ، والفرض أنّ موضوع الحكم متقيّد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النظر فيما أفاد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التذكية إذا كانت الاُمور الخمسة ، وتكون قابلية المحلّ شرطاً للتأثير ، ولها دخالة في تأثير الاُمور الخمسة ، لا تجري أصالة عدم التذكية ، بل المرجع أصالة الحلّ والطهارة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دخالة القابلية في التأثير عبارة اُخرى عن تقيّد موضوع الحكم ، فموضوع حكم الشارع بالحلّية والطهارة الواقعيتين هو الاُمور الخمسة المشترطة بالقابلية ، وهذا المعنى المتقيّد المشترط مسبوق بالعدم ، واختلاف منشأ الشكّ واليقين ممّا لا يمنع عن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إشكال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الإشكال في جريان أصالة عدم التذكية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بسيطة كانت التذكية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 وهي أنّ حقيقة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من فعل المذكّي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إزهاق روح الحيوان بكيفية خاصّة وشرائط مقرّرة ، وهي فَري الأوداج الأربعة ، مع كون الذابح مسلماً ، وكون الذبح عن تسمية ، وإلى القبلة ، وآلته من حديد ، وكون المذبوح قابلاً للتذكية ، وعدم هذه الحقيقة بعدم الإزهاق بالكيفية الخاصّة والشرائط المقرّرة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هذا الأمر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موضوعاً للحكم الشرعي ؛ فإنّ هذا المعنى العدمي متحقّق قبل تحقّق الحيوان وفي زمان حياته ، ولم يكن موضوعاً له ، وما هو الموضوع عبارة عن الميتة ، وهي الحيوان الذي زهق روحه بغير الكيفية الخاصّة بنحو الإيجاب العدولي ، أو زهوق الروح من الحيوان زهوقاً لم يكن بكيفية خاصّة ،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أو الموجبة السالبة المحمول ، وهما غير مسبوقين بالعدم ؛ فإنّ زهوق الروح لم يكن في زمان محقّقاً بلا كيفية خاصّة ، أو مسلوباً عنه الكيفية الخاصّة ، فما هو موضوع الحكم غير مسبوق بالعدم ، وما هو مسبوق به ليس موضوعاً له ، واستصحاب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لا يثبت زهوق الروح بالكيفية الخاصّة إلاّ على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الإشكال الذي سبق منّا </w:t>
      </w:r>
      <w:r>
        <w:rPr>
          <w:rStyle w:val="FootnoteAnchor"/>
          <w:rtl w:val="true"/>
        </w:rPr>
        <w:footnoteReference w:id="124"/>
      </w:r>
      <w:r>
        <w:rPr>
          <w:rFonts w:ascii="Amiri" w:hAnsi="Amiri" w:eastAsia="Amiri" w:cs="Amiri"/>
          <w:color w:val="111111"/>
          <w:sz w:val="28"/>
          <w:sz w:val="28"/>
          <w:szCs w:val="28"/>
          <w:rtl w:val="true"/>
          <w:lang w:bidi="ar-SA"/>
        </w:rPr>
        <w:t xml:space="preserve">بالنسبة إلى تلك القضايا السلبية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للحرمة والنجاسة مركّب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زهوق روح الحيوان ، وعدم تذكيته ، ويكفي في تحقّق الموضوع اجتماع الجزءين في الزمان ؛ </w:t>
      </w:r>
    </w:p>
    <w:p>
      <w:pPr>
        <w:pStyle w:val="BookText"/>
        <w:rPr/>
      </w:pPr>
      <w:r>
        <w:rPr>
          <w:rFonts w:ascii="Amiri" w:hAnsi="Amiri" w:eastAsia="Amiri" w:cs="Amiri"/>
          <w:color w:val="111111"/>
          <w:sz w:val="28"/>
          <w:sz w:val="28"/>
          <w:szCs w:val="28"/>
          <w:rtl w:val="true"/>
          <w:lang w:bidi="ar-SA"/>
        </w:rPr>
        <w:t xml:space="preserve">لأ نّهما عرضيان لمحلّ واحد ، والموضوع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عرضين لمحلّ واحد ، أو من جوهرين ، أو من جوهر وعرض لمحلّ آخر ، كوجود زيد وقيام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أزيد من الاجتماع في الزمان ، إلاّ إذا استفيد من الدليل كون الإضافة</w:t>
      </w:r>
    </w:p>
    <w:p>
      <w:pPr>
        <w:pStyle w:val="BookText"/>
        <w:rPr/>
      </w:pPr>
      <w:r>
        <w:rPr>
          <w:rFonts w:ascii="Amiri" w:hAnsi="Amiri" w:eastAsia="Amiri" w:cs="Amiri"/>
          <w:color w:val="111111"/>
          <w:sz w:val="28"/>
          <w:sz w:val="28"/>
          <w:szCs w:val="28"/>
          <w:rtl w:val="true"/>
          <w:lang w:bidi="ar-SA"/>
        </w:rPr>
        <w:t xml:space="preserve">الحاصلة من اجتماعهما في الزمان دخيلة في الحكم ، كعنوان الحالية ، والتقارن ، والسبق ، واللحوق ، من الإضافات الحاصلة من وجود الشيئين في الزمان ، ولكن هذا يحتاج إلى قيام الدليل عليه ، وإلاّ فالموضوع المركّب من جزءين لا رابط بينهما إلاّ الوجود في الزمان ، لا يقتضي أزيد من اجتماعهما في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الموضوع مركّباً من خروج الروح وعدم التذكية ، وهما عرضيان للحيوان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إحراز أحدهما بالأصل ، وهو عدم التذكية ، والآخر بالوجدان ، وهو خروج الروح ، فمن ضمّ الوجدان إلى الأصل يلتئم كلا جزأي المركّب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يقال ، وهو الذي أفاده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التذكية ليس في عرض زهوق الروح ؛ فإنّه عبارة عن زهوقه بلا كيفية خاصّة ، كما أنّ التذكية عبارة عن إزهاقه بالكيفية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نّهما عرضيان لموضوع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عدم التذكية عرض المحلّ إن كان الموضوع بنحو القضيّة المعدولة ؛ أي الحيوان الغير المذكّى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زهوق الروح بلا كيفية خاصّة ، </w:t>
      </w:r>
    </w:p>
    <w:p>
      <w:pPr>
        <w:pStyle w:val="BookText"/>
        <w:rPr/>
      </w:pPr>
      <w:r>
        <w:rPr>
          <w:rFonts w:ascii="Amiri" w:hAnsi="Amiri" w:eastAsia="Amiri" w:cs="Amiri"/>
          <w:color w:val="111111"/>
          <w:sz w:val="28"/>
          <w:sz w:val="28"/>
          <w:szCs w:val="28"/>
          <w:rtl w:val="true"/>
          <w:lang w:bidi="ar-SA"/>
        </w:rPr>
        <w:t xml:space="preserve">فالكيفية الخاصّة من حالات زهوق الروح ، وزهوق الروح بلا كيفية خاصّة من حالات الحيوان ، فالحيوان قد تعرضه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زهوق الروح بالكيفية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تسلب عنه التذكية ، أي لم يزهق روحه بالكيفية الخاصّة ، لكن هذا الأمر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الزهوق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موضوعاً للحكم ، بل الموضوع هو زهوق الروح بلا كيفية خاصّة ، أو مسلوباً عنه الكيفية الخاصّة ، وهما ممّا لم يكن لهما حالة سابقة ، فالموضوع للحكم الشرعي هو الحيوان الذي زهق روحه بلا كيفية خاصّة بنحو العدول ، أو بنحو الموجبة السالبة المحمول ، أو مسلوباً عنه الكيفية الخاصّة بنحو السلب الناقص ، لا التامّ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أفاده رحمه الله علیه لا يخلو من اختلاط ومغالطة ؛ فإنّ جعل زهوق الروح وعدم التذكية عرضيين لمحلّ واحد تفكيك بين الشيء وذاتياته ؛ لما عرفت من أنّ عدم التذكية عبارة عن زهوق الروح بغير الكيفية الكذائية ، فزهوق الروح جزء مفهوم عدم التذكية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هو موضوع حكم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زهوق الروح وعدم التذكية جزءان للموضوع كما أفاده رحمه اللّه تعالى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إنّما يصحّ لو كان الموضوع هو الحيوان الذي زهق روحه بلا كيفية خاصّة ، أو مسلوباً عنه الكيفية الخاصّة ، وأمّا لو كان الموضوع هو الحيوان الذي زهق روحه ولم ترد عليه الكيفية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نحو القبلة ، ولم يكن المسلم ذابحاً له ، ولم يذكر اسم اللّه عليه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لأنّ هذه الاُمور كلّها مسبوقات بالعدم ، فبعد زهوق الروح وجداناً ، ولم ترد عليه الكيفيات بالأصل ، يحرز الموضوع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مجرّد فرض لا واقع له ؛ فإنّ الموضوع في التذكية هو الحيوان الذي زهق روحه بيد المسلم ، إلى القبلة ، وعن التسمية ، وبآلة الحديد ، فهذه الاُمور اُخذت حالات للذبح وزهوق الروح ، وعدم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الميتة التي هي الموضوع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الزهوق لا بالكيفيات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تقيّدات للموضوع المفروض الوجود ؛ أي الزهوق ، وليس لواحد منها حالة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الأعدام المطلقة لها حالة سابقة ، لكنّها ليست بموضوعة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شككنا في أنّ الموضوع ما ذكر أو ما ذكرنا أو غير ذلك ، لا يجري الأصل ؛ لعدم إحراز الحالة السابقة ، ويصير المرجع هو أصالة الحلّية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أنّ من تأ مّل فيما ذكرنا حقّ التأ مّل يصدّقه ، ويتّضح له أنّ أصالة عدم التذكية مطلقاً ممّا لا أساس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ما ذكرنا ، بل يشهد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علیه السلام سئل عن سُفرة وجدت في الطريق مطروحة ، كثير لحمها وخبزها وجبنها وبيضها ، وفيها سكّين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ما فيها ثمّ يؤكل ؛ لأ نّه يفسد ، وليس له بقاء ، فإن جاء طالبها غَرِموا له الثمن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يدرى سفرة مسلم أو سُفرة مجوسي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99" w:name="pg12132_127857"/>
    </w:p>
    <w:p>
      <w:pPr>
        <w:pStyle w:val="BookText"/>
        <w:rPr/>
      </w:pPr>
      <w:bookmarkEnd w:id="99"/>
      <w:r>
        <w:rPr>
          <w:rFonts w:ascii="Amiri" w:hAnsi="Amiri" w:eastAsia="Amiri" w:cs="Amiri"/>
          <w:color w:val="111111"/>
          <w:sz w:val="28"/>
          <w:sz w:val="28"/>
          <w:szCs w:val="28"/>
          <w:rtl w:val="true"/>
          <w:lang w:bidi="ar-SA"/>
        </w:rPr>
        <w:t>فإنّ التمسّك بدليل أصل الإباحة لا يتّضح وجهه إلاّ بما ذكرنا من عدم جريان أصالة عدم التذكية ، وإلاّ فالسفرة إمّا كانت في أرض المسلمين وقلنا بأماريتها كيَد المسلمين للتذكية ، وإمّا لم تكن فيها ، أو كانت وقلنا بعدم الأمارية ، وعلى أيّ</w:t>
      </w:r>
    </w:p>
    <w:p>
      <w:pPr>
        <w:pStyle w:val="BookText"/>
        <w:rPr/>
      </w:pPr>
      <w:r>
        <w:rPr>
          <w:rFonts w:ascii="Amiri" w:hAnsi="Amiri" w:eastAsia="Amiri" w:cs="Amiri"/>
          <w:color w:val="111111"/>
          <w:sz w:val="28"/>
          <w:sz w:val="28"/>
          <w:szCs w:val="28"/>
          <w:rtl w:val="true"/>
          <w:lang w:bidi="ar-SA"/>
        </w:rPr>
        <w:t xml:space="preserve">حال لا وجه للتمسّك بأصالة الإباحة في مقابل الأمارة والاستصحاب ، وأمّا مع عدم جريان الاستصحاب فيتّضح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يشهد لما ذكرنا بعض الروايات الواردة في باب الجلود ، فراجع</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فيما إذا كان منشأ الشكّ ، الشكّ في قابلية الحيوان للتذكية ، سواء كانت الشبهة من جهة الاشتباه المفهومي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الشكّ في شرطية شيء للتذكية ، أو مانعية شيء عنها ؛ أي الشكّ في جعل الشارع شيئاً زائداً عمّا ثبت اشتراطه أو منعه ، فأصالة عدم الجعل في بعض الموارد جارية ، وفي بعضها مثبتة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يهمّنا البحث في أطراف الصور الاُخرى التي ذكرناها ؛ لأنّ حالها معلومة غالباً </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3352624_417432637"/>
      <w:bookmarkStart w:id="101" w:name="_Toc33"/>
      <w:bookmarkEnd w:id="100"/>
      <w:r>
        <w:rPr>
          <w:rtl w:val="true"/>
        </w:rPr>
        <w:t>أصالة عدم التذكية في الشبهة الموضوعية</w:t>
      </w:r>
      <w:bookmarkEnd w:id="10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فيما إذا كان الشكّ من جهة الشبهة الموضوعية ، ويكون الشكّ في أنّ الحيوان الكذائي هل ذُكّي ، أم لا ؟ أو شكّ في أنّ الجزء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المذكّى أو غيره أو من مشكوكه ممّا هو محلّ الابتلاء ، ففي جريان أصالة عدم التذكية مطلقاً أو التفصيل بين الصور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قطع النظر عن </w:t>
      </w:r>
    </w:p>
    <w:p>
      <w:pPr>
        <w:pStyle w:val="BookText"/>
        <w:rPr/>
      </w:pPr>
      <w:r>
        <w:rPr>
          <w:rFonts w:ascii="Amiri" w:hAnsi="Amiri" w:eastAsia="Amiri" w:cs="Amiri"/>
          <w:color w:val="111111"/>
          <w:sz w:val="28"/>
          <w:sz w:val="28"/>
          <w:szCs w:val="28"/>
          <w:rtl w:val="true"/>
          <w:lang w:bidi="ar-SA"/>
        </w:rPr>
        <w:t>الإشكال الذي مرّ ذكره</w:t>
      </w:r>
      <w:r>
        <w:rPr>
          <w:rStyle w:val="FootnoteAnchor"/>
          <w:rtl w:val="true"/>
        </w:rPr>
        <w:footnoteReference w:id="128"/>
      </w:r>
      <w:r>
        <w:rPr>
          <w:rFonts w:ascii="Amiri" w:hAnsi="Amiri" w:eastAsia="Amiri" w:cs="Amiri"/>
          <w:color w:val="111111"/>
          <w:sz w:val="28"/>
          <w:sz w:val="28"/>
          <w:szCs w:val="28"/>
          <w:rtl w:val="true"/>
          <w:lang w:bidi="ar-SA"/>
        </w:rPr>
        <w:t xml:space="preserve">ممّا يعمّ جميع صور المسألة وأقسام الشكوك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فهاهنا 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حيوان مذبوح أ نّه مذكّى أو لا ، أو في جزء من حيوان شكّ في تذكيته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مورد تسالمهم على جريان أصالة عدم التذكية ولا إشكال فيها غير الإشكال السيّال الذي مرّ ذكره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جزء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مأخوذ ممّا علم تذكيته ، أو ممّا علم عدم تذكيته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الحيوانان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أجزائهما مشتبهين موردين للابتلاء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أصالة الحلّية والطهارة فيه ، ولا أصالة عدم التذكية ؛ للعلم الإجمالي المنجّز ، بناءً على عدم جريان الأصل في أطراف العلم مطلقاً ، وإلاّ فبأصالة عدم التذكية في الحيوانين يحكم بنجاسة الجزء وحرمته ؛ لعدم المخالفة العملية في جريانهما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جزء من الحيوان ، كالجلود التي تأتي من البلاد النائية ممّا ليس الحيوان المأخوذ منه مورداً للابتلاء ، فالظاهر عدم جريان أصالة عدم التذكية ، بناءً على عدم جريان الأصل في الخارج عن محلّ الابتلاء ، وعدم تأثير العلم الإجمالي ؛ وذلك لأنّ التذكية وعدمها إنّما هما وصفان للحيوان ، لا لأجزائه ، فما هو غير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زهق روحه بلا كيفية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ذبح بالشرائط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الحيوان ، وأمّا الحكم بنجاسة الأجزاء </w:t>
      </w:r>
    </w:p>
    <w:p>
      <w:pPr>
        <w:pStyle w:val="BookText"/>
        <w:rPr/>
      </w:pPr>
      <w:r>
        <w:rPr>
          <w:rFonts w:ascii="Amiri" w:hAnsi="Amiri" w:eastAsia="Amiri" w:cs="Amiri"/>
          <w:color w:val="111111"/>
          <w:sz w:val="28"/>
          <w:sz w:val="28"/>
          <w:szCs w:val="28"/>
          <w:rtl w:val="true"/>
          <w:lang w:bidi="ar-SA"/>
        </w:rPr>
        <w:t>وحرمتها ، أو طهارتها وحلّيتها ، إنّما هو من جهة أ نّها أجزاء للمذكّى أو غيره ، فالأصل بالنسبة إلى الجزء ممّا لا معنى لجريانه ، وأصالة عدم التذكية في الحيوان المأخوذ منه الجزء ممّا لا مسرح لجريانها ؛ لأ نّه مردّد بين معلوم التذكية</w:t>
      </w:r>
    </w:p>
    <w:p>
      <w:pPr>
        <w:pStyle w:val="BookText"/>
        <w:rPr/>
      </w:pPr>
      <w:r>
        <w:rPr>
          <w:rFonts w:ascii="Amiri" w:hAnsi="Amiri" w:eastAsia="Amiri" w:cs="Amiri"/>
          <w:color w:val="111111"/>
          <w:sz w:val="28"/>
          <w:sz w:val="28"/>
          <w:szCs w:val="28"/>
          <w:rtl w:val="true"/>
          <w:lang w:bidi="ar-SA"/>
        </w:rPr>
        <w:t xml:space="preserve">ومعلوم عدمها ، وليس في البين ما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الخارج شكّ ، وإنّما الشكّ في أنّ هذا من المعلوم تذكيته أو من المعلوم عدمها ، وفي مثله لا يجري الأصل ، مع أنّ جريان الأصل في الحيوان لا يثبت كون الجزء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جزء من الحيوان بأ نّه مأخوذ من الحيوان المشكوك تذكيته ، أو من المعلوم تذكيته ، أو من المعلوم عدمها ؛ كالجلود التي صنعت في بلاد الكفر ، ممّا هي مشتبهة بين الجلود التي نقلت من بلاد المسلمين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فصنعوا بها ما صنعوا ورُدّت بضاعتهم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غيرها ممّا هو من جلود ذبائحهم ، أو ممّا هو مشكوك تذكيته ، ففي مثله أيضاً لا تجري أصالة عدم التذكية ؛ لما عرفت من أنّ التذكية واللا تذكية إنّما هما ممّا تعرض الحيوان ، لا أجزاءه ، فلا يجري الأصل بالنسبة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الحيوان المأخوذ منه فلا يجري أيضاً نظراً إلى الشبهة المصداقية لدليل الأصل ؛ فإنّ المأخوذ منه أمره دائر بين معلوم التذكية وغيره ، فإن اُخذ من المعلوم يكون من نقض اليقين باليقين ، وإلاّ فيكون من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جريانه في الحيوان لا يثبت كون الجزء منه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الجزء قد يشكّ في أخذه من معلوم التذكية تفصيلاً أو معلوم عدم التذكية تفصيلاً ، وقد يشكّ في أخذه من أحد الحيوانين اللذين علم إجمالاً </w:t>
      </w:r>
      <w:bookmarkStart w:id="102" w:name="pg12132_127860"/>
    </w:p>
    <w:p>
      <w:pPr>
        <w:pStyle w:val="BookText"/>
        <w:rPr/>
      </w:pPr>
      <w:bookmarkEnd w:id="102"/>
      <w:r>
        <w:rPr>
          <w:rFonts w:ascii="Amiri" w:hAnsi="Amiri" w:eastAsia="Amiri" w:cs="Amiri"/>
          <w:color w:val="111111"/>
          <w:sz w:val="28"/>
          <w:sz w:val="28"/>
          <w:szCs w:val="28"/>
          <w:rtl w:val="true"/>
          <w:lang w:bidi="ar-SA"/>
        </w:rPr>
        <w:t xml:space="preserve">بتذكية أحدهما وعدم تذكية الآخر ، وقد يشكّ في أخذه من معلوم التذكية تفصيلاً أو مشكوكها ، ففي جميع هذه الصور لا تجري أصالة عدم التذكية ، وإن كان الوجه فيها مختلفاً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الجلود التي صنعت في أرض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يشكّ في كونها من المذكّى أو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فيها أصالة عدم التذكية ، والمرجع فيها أصالة الطهارة والحلّية ، إلاّ أن يدلّ دليل على خلاف ذلك </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3352626_417432637"/>
      <w:bookmarkStart w:id="104" w:name="_Toc34"/>
      <w:bookmarkEnd w:id="103"/>
      <w:r>
        <w:rPr>
          <w:rtl w:val="true"/>
        </w:rPr>
        <w:t>تتمّة</w:t>
      </w:r>
      <w:r>
        <w:rPr>
          <w:rtl w:val="true"/>
        </w:rPr>
        <w:t xml:space="preserve">: </w:t>
      </w:r>
      <w:r>
        <w:rPr>
          <w:rtl w:val="true"/>
        </w:rPr>
        <w:t>في التفصيل بين الطهارة والحلّية</w:t>
      </w:r>
      <w:bookmarkEnd w:id="104"/>
    </w:p>
    <w:p>
      <w:pPr>
        <w:pStyle w:val="BookText"/>
        <w:rPr/>
      </w:pPr>
      <w:r>
        <w:rPr>
          <w:rFonts w:ascii="IRNazanin" w:hAnsi="IRNazanin" w:eastAsia="IRNazanin"/>
          <w:color w:val="111111"/>
          <w:sz w:val="28"/>
          <w:sz w:val="28"/>
          <w:szCs w:val="28"/>
          <w:rtl w:val="true"/>
          <w:lang w:bidi="fa-IR"/>
        </w:rPr>
        <w:t>نقل</w:t>
      </w:r>
      <w:r>
        <w:rPr>
          <w:rStyle w:val="FootnoteAnchor"/>
          <w:rtl w:val="true"/>
        </w:rPr>
        <w:footnoteReference w:id="130"/>
      </w:r>
      <w:r>
        <w:rPr>
          <w:rFonts w:ascii="Amiri" w:hAnsi="Amiri" w:eastAsia="Amiri" w:cs="Amiri"/>
          <w:color w:val="111111"/>
          <w:sz w:val="28"/>
          <w:sz w:val="28"/>
          <w:szCs w:val="28"/>
          <w:rtl w:val="true"/>
          <w:lang w:bidi="ar-SA"/>
        </w:rPr>
        <w:t>عن ظاهر بعض الأساطين</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الطهارة والحلّية في المثال المتقدّم فحكم عليه بالطهارة وحرمة اللحم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لهذا التفصيل ؛ فإنّ مقتضى أصالة عدم التذكية النجاسة والحرمة ، ومقتضى أصالتي الطهارة والحلّية الطهارة والحلّية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في وجهه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حلّ أكله من الحيوانات محصور معدود في الكتاب والسنّة ، وكذلك النجاسات محصورة معدودة فيهما ، فالمشكوك إذا لم يدخل في المحصور منهما كان الأصل فيه الطهارة وحرمة اللحم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إن كان أنّ المستفاد من الأدلّة حصر المحلّل في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دلّت بمفهوم الحصر على حرمة 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النجاسات ، فهو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إنّما يشعر به بعض الروايات ،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لكن لا يمكن إثبات هذا الحكم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المدّعى أنّ كون المحلّلات معدودة في عدّة محصورة لازمه الحرمة فيما يشكّ ، مع عدم كونه من جملة تلك المعدودات ، فهو أيضاً ممنوع ؛ لأنّ تعديد المحلّل لا يدلّ على تحريم غيره ، فأصالة الحلّية كأصالة الطهارة ممّا لا مانع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أعاظم العصر فوجّه قوله بما لا يخلو من غرابة ومناقشة ،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تعليق الحكم على أمر وجودي يقتضي إحرازه ، فمع الشكّ في هذا الأمر يبنى ظاهراً على عدم تحقّقه ؛ للملازمة العرفية بين تعليقه عليه وبين عدمه عند عدم إحرازه ، وهذه الملازمة تستفاد من دليل الحكم ، وهي ملازمة ظاهرية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فروع مهمّة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نجاسة الماء المشكوك الكرّية عند ملاقاته للنجاسة مع عدم العلم بالحالة السابقة ، كمخلوق الساعة المجهول كرّيته ؛ فإنّ الحكم بالعاصمية قد علّق على كون الماء كرّاً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يحمل خبثاً</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ينجّسه شيء</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فلا يجوز ترتيب آثار الطهارة عند الشكّ في الكرّية مع ملاقاته للنجاسة ؛ لأ نّه يستفاد من دليل الحكم أنّ العاصمية إنّما تكون عند إحراز الكرّية ، لا من جهة أخذ العلم في موضوع الحكم ، بل من جهة الملازمة العرفية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الحرمة في باب الدماء والفروج والأموال ؛ فإنّ الحكم بجواز الوط‌ء قد علّق على الزوجة وملك اليمين ، والحكم بجواز التصرّف قد علّق على كون المال ممّا قد أحلّه اللّه ، فلا يجوز الوط‌ء والتصرّف مع الشكّ في الزوجية وكون المال ممّا قد أحلّه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تخيّل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النجاسات واللحوم من صغريات تلك الكبرى ؛ بتقريب أنّ النجاسات معدودة في عناوين خاصّة ، كالدم والميتة وغير ذلك ، وقد علّق وجوب الاجتناب على تلك العناوين الوجودية ، فلا بدّ في الحكم بالنجاسة من إحرازها ، ومع الشكّ في تحقّقها يبنى على الطهارة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جواز الأكل قد علّق على عنوان الطيّب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وهو أمر وجودي عبارة عمّا تستلذّه النفس ويأنس به الطبع ، والحيوان المتولّد من حيوانين لم يعلم كونه من الطيّب ، فلا يحكم عليه بالحلّية ، بل يبنى على حرمته ظاهراً ما لم يحرز كونه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تعليق الحكم على أمر وجودي يقتضي إحرازه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 المسلّمات ، إلاّ أنّ ذلك في خصوص ما علّق الحكم الترخيصي الإباحي على عنوان وجودي ، لا الحكم العزيمتي التحريمي ؛ فإنّ الملازمة العرفية بين الأمرين إنّما هي فيما إذا كان الحكم لأجل التسهيل والامتنان ، لا في مثل وجوب الاجتناب عن النجاسة ، وإلاّ لم يبق موضوع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 نّه قذر</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فإدراج باب النجاسات في تلك الكبرى ليس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إدراج الحكم بحلّ الطيّبات فيها في محلّه لو سلم عمّا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الطيّب أمراً وجودياً ، بل هو عبارة عمّا لا تستقذره النفس ولا يستنفر منه الطبع ، في مقابل الخبيث الذي هو عبارة عمّا يستنفر منه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كون الطيّب أمراً وجودياً ، ولكن الخبيث الذي علّقت عليه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وجودي ، والكبرى المذكورة إنّما هي في مورد لم يعلّق نقيض الحكم على أمر وجودي آخر ، وإلاّ كان المرجع عند الشكّ في تحقّق أحد الأمرين الوجوديين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علّق الحكمان المتضادّان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الاُصول العملية ، وهي في المورد ليست إلاّ أصالة الحلّ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يجري استصحاب الحرمة الثابتة للحيوان في حال حياته ؛ فإنّ للحياة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الحرمة ، ولا أقلّ من الشكّ ، فلا مجال للاستصحاب </w:t>
      </w:r>
    </w:p>
    <w:p>
      <w:pPr>
        <w:pStyle w:val="BookText"/>
        <w:rPr/>
      </w:pPr>
      <w:r>
        <w:rPr>
          <w:rFonts w:ascii="Amiri" w:hAnsi="Amiri" w:eastAsia="Amiri" w:cs="Amiri"/>
          <w:color w:val="111111"/>
          <w:sz w:val="28"/>
          <w:sz w:val="28"/>
          <w:szCs w:val="28"/>
          <w:rtl w:val="true"/>
          <w:lang w:bidi="ar-SA"/>
        </w:rPr>
        <w:t>والطهارة ، فالأقوى ثبوت الملازمة بين الحلّ والطهارة في جميع فروض المسألة</w:t>
      </w:r>
      <w:r>
        <w:rPr>
          <w:rStyle w:val="FootnoteAnchor"/>
          <w:rtl w:val="true"/>
        </w:rPr>
        <w:footnoteReference w:id="139"/>
      </w:r>
      <w:r>
        <w:rPr>
          <w:rFonts w:ascii="Amiri" w:hAnsi="Amiri" w:eastAsia="Amiri" w:cs="Amiri"/>
          <w:color w:val="111111"/>
          <w:sz w:val="28"/>
          <w:sz w:val="28"/>
          <w:szCs w:val="28"/>
          <w:rtl w:val="true"/>
          <w:lang w:bidi="ar-SA"/>
        </w:rPr>
        <w:t xml:space="preserve">، انتهى كلامه بطوله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الملازمة العرفية ممنوعة ، لا دليل عليها ، وإنّما هي دعوى مجرّدة عن البيّنة ، وهذه نظير 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أساس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وجهاً للدعوى المذكورة ، وعدّ تلك الكبرى من المسلّمات لا يخلو من غرابة ومجازفة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الفروع التي رتّبها عليها فمنظور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الحكم بنجاسة الماء المشكوك كرّيته عند ملاقاته للنجاسة فممنوع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المستفاد من الأدلّة أنّ الماء القليل ينفعل ، والماء البالغ حدّ الكرّ لا ينفعل ، وأمّا أنّ الماء مقتضٍ له ، والكرّية مانعة ، فلا يستفاد من شيء منها ، فأصالة الطهارة في الماء المذكور محكّمة ، لا مانع من جريانها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لو سلّم أنّ العاصم هو وصف الكرّية ، والماء مقتضٍ للانفعال ، لكنّ الحكم بالمقتضى مع إحراز المقتضي والشكّ في المانع ممنوع ، بل لا بدّ من إحراز عدمه حتّى يحكم بوجوده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أصالة الحرمة في باب الفروج والأموال فليست من جهة هذه الكبرى ؛ فإنّه لو كانت من جهتها لم يختصّ الحكم بتلك الموارد ، بل لا بدّ من إسرائه إلى كلّ مورد علّق الحكم على أمر وجودي ، سواء كان في الأموال والأعراض أو غيرهما مع أنّ الأمر ليس 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في هذه الموارد تكون الحلّية معلّقة على أسباب حادثة تكون مسبوقة بالعدم ، ويستصحب عدم حدوثها ، كأصالة عدم حدوث العلاقة الزوجية ، وأصالة عدم طيب نفس المالك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من تخيّل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باب النجاسات واللحوم من صغريات تلك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شاهد عليه ، بل الظاهر من كلامه المنقول ما احتملناه من تخيّله استفادة الحصر من الأدلّة ، فيدلّ الدليل الاجتهادي على حرمة ما عدا المحصور ، كما تشعر به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المنقول من كلامه أنّ ما حلّ أكله من الحيوانات محصور معدود في الكتاب والسُنّة لا أنّ الحلّية علّقت على أمر وجودي مثل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حمل كلامه على ما ذكره بعيد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مثل هذا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إثبات حكم لأمر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مورداً لتوهّم الدخول في الكبرى المدّعاة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 حكم تعلّق بموضوع وجودي أو عدمي لا بدّ في الحكم بثبوته من إحراز الموضوع ، فإذا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الحكم بوجوب إكرام الأشخاص الخارجية أن يحرز كونها مصداقاً للعالم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إحراز الصغرى والكبرى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الموضوع وجودياً أو عدمياً ، وهذا غير ما يدّعى من الملازمة العرفية ؛ فإنّ تلك الدعوى إنّما كانت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مال إلاّ من حيثُ ما </w:t>
      </w:r>
    </w:p>
    <w:p>
      <w:pPr>
        <w:pStyle w:val="BookText"/>
        <w:rPr/>
      </w:pPr>
      <w:r>
        <w:rPr>
          <w:rFonts w:ascii="Amiri" w:hAnsi="Amiri" w:eastAsia="Amiri" w:cs="Amiri"/>
          <w:color w:val="111111"/>
          <w:sz w:val="28"/>
          <w:sz w:val="28"/>
          <w:szCs w:val="28"/>
          <w:rtl w:val="true"/>
          <w:lang w:bidi="ar-SA"/>
        </w:rPr>
        <w:t>أحلّه اللّه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ممّا سلب حكم بنحو كلّي ، وجعل سبب انقلابه إلى ضدّه منحصراً في أمر وجودي ، ففي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طريق الحلّية منحصراً في أمر وجودي هو طيب نفس صاحب المال ، فيدّعى أنّ العرف لا يحكم بالحلّية إلاّ إذا اُحرز طيب نفسه ، كما أنّ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كان يدّعي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من نفسك أنّ في مورد الشكّ في تحقّق طيب نفس صاحب المال يتصرّف الإنسان فيه ، ويتعذّر بأ نّه شبهة مصداقية للعامّ لا يجوز التمسّك به ، ويجوز التصرّف تمسّكاً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 .»</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ادّعى رحمه الله علیه في خصوص المثال وإن كان صحيحاً ، لكن لا من جهة الضابط الكلّي والقانون العامّ في كلّ مورد استثني حكم وجودي من حكم كلّي بنحو الانحصار ، فإذا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مائعاً 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مائع مردّداً بين كونه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أو غيره ، لا يمكن أن يدّعى أنّ نفس هذه القضيّة مانعة عن شربه ؛ لأ نّه تمسّك بالعامّ في الشبهة المصداقية لنفسه لا لمخصّصه ؛ لأنّ الاستثناء المتّصل بالكلام يوجب عدم انعقاد الظهور للعامّ ، ففي المثال المذكور يتقيّد المائع بغير الماء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عدم جواز التمسّك بالعموم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الملازمة العرفية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في مثل الأموال لأجل الأهمّية في نظر العقلاء ، أو لأجل استصحاب عدم طيب النفس ؛ </w:t>
      </w:r>
    </w:p>
    <w:p>
      <w:pPr>
        <w:pStyle w:val="BookText"/>
        <w:rPr/>
      </w:pPr>
      <w:r>
        <w:rPr>
          <w:rFonts w:ascii="Amiri" w:hAnsi="Amiri" w:eastAsia="Amiri" w:cs="Amiri"/>
          <w:color w:val="111111"/>
          <w:sz w:val="28"/>
          <w:sz w:val="28"/>
          <w:szCs w:val="28"/>
          <w:rtl w:val="true"/>
          <w:lang w:bidi="ar-SA"/>
        </w:rPr>
        <w:t xml:space="preserve">لأ نّه أصل عقلائي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الملازمة العرفية إنّما هي في خصوص ما علّق فيه الحكم الترخيصي الإباحي على أمر وجودي ؛ فإنّها هي فيما إذا كان الحكم لأجل التسهيل والامتنان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منه ؛ لخلوّ هذه الدعوى عن الشاهد ، بل هي دعوى مجرّدة لا دليل عليها من عقل ونقل وحكم عقلائي ، وإن كان أمثاله منه قدّس سرّه غير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الامتنان والتسهيل يقتضيان التوسعة ، لا التضييق ، فإذا علّق حكم اعتصام الماء على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امتناناً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ذلك أن يكون الأمر مضيّقاً عليهم ؛ بحيث لا يحكم بعدم الانفعال إلاّ مع إحراز الكرّية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 ما ذكره هاهنا لا يخلو من قصور وخلط ، فما هذا الحكم الترخيصي الامتناني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إلاّ من حيث ما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علّق جواز الوط‌ء على الزوجية وملك اليمين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ذلك من الأحكام التضييقية ، لا التسهيلية الامتنانية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الطيّب أمر عدمي هو ما لا تستقذره النفس ، ولا يستنفر منه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لأنّ حقيقة الطيّب ليست عبارة عن عدم الاستقذار والاستنفار ، بل هما من لوازم الطيّب ، بل هو عبارة عن صفة وحالة وجودية يكون الطبع غير مستنفر منها </w:t>
      </w:r>
      <w:r>
        <w:rPr>
          <w:rFonts w:eastAsia="Amiri" w:cs="Amiri" w:ascii="Amiri" w:hAnsi="Amiri"/>
          <w:color w:val="111111"/>
          <w:sz w:val="28"/>
          <w:szCs w:val="28"/>
          <w:rtl w:val="true"/>
          <w:lang w:bidi="ar-SA"/>
        </w:rPr>
        <w:t xml:space="preserve">. </w:t>
      </w:r>
      <w:bookmarkStart w:id="105" w:name="pg12132_127868"/>
    </w:p>
    <w:p>
      <w:pPr>
        <w:pStyle w:val="Heading2"/>
        <w:numPr>
          <w:ilvl w:val="1"/>
          <w:numId w:val="1"/>
        </w:numPr>
        <w:rPr/>
      </w:pPr>
      <w:bookmarkStart w:id="106" w:name="__RefHeading___Toc3352628_417432637"/>
      <w:bookmarkStart w:id="107" w:name="_Toc35"/>
      <w:bookmarkEnd w:id="105"/>
      <w:bookmarkEnd w:id="106"/>
      <w:r>
        <w:rPr>
          <w:rtl w:val="true"/>
        </w:rPr>
        <w:t xml:space="preserve">التنبيه الثاني </w:t>
      </w:r>
      <w:r>
        <w:rPr>
          <w:rtl w:val="true"/>
        </w:rPr>
        <w:t xml:space="preserve">: </w:t>
      </w:r>
      <w:r>
        <w:rPr>
          <w:rtl w:val="true"/>
        </w:rPr>
        <w:t>في حسن الاحتياط</w:t>
      </w:r>
      <w:bookmarkEnd w:id="107"/>
    </w:p>
    <w:p>
      <w:pPr>
        <w:pStyle w:val="Heading2"/>
        <w:numPr>
          <w:ilvl w:val="1"/>
          <w:numId w:val="1"/>
        </w:numPr>
        <w:rPr/>
      </w:pPr>
      <w:bookmarkStart w:id="108" w:name="__RefHeading___Toc3352630_417432637"/>
      <w:bookmarkStart w:id="109" w:name="_Toc36"/>
      <w:bookmarkEnd w:id="108"/>
      <w:r>
        <w:rPr>
          <w:rtl w:val="true"/>
        </w:rPr>
        <w:t>تقرير إشكال الاحتياط في العبادة</w:t>
      </w:r>
      <w:bookmarkEnd w:id="109"/>
    </w:p>
    <w:p>
      <w:pPr>
        <w:pStyle w:val="BookText"/>
        <w:rPr/>
      </w:pP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يشكل في جريان الاحتياط في العبادات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يقال في تقرير الإشكال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 الشيخ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العبادة لا بدّ فيها من نيّة القربة المتوقّفة على العلم بأمر الشارع تفصيلاً أو إجمالاً ، وفي الشبهات البدوية لا علم بالأمر ، فلا يمكن الاحتياط</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العبادة متقوّمة بقصد التقرّب ، وفي الشبهات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يقصد ذات الشيء بلا قصد التقرّب ، أو ذات الشيء مع قصد التقرّب ، أو ذات الشيء مع احتمال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ممتنع ؛ لأنّ القصد الحقيقي لا يتعلّق بالأمر المجهول المشكوك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غير مفيد ؛ لأنّ الإتيان باحتمال التقرّب غير الإتيان بقصده ، وما يعتبر فيها قصده ، لا احتماله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عبارة اُخرى عن اعتبار الجزم في النيّة ، ولا دليل عليه ، وما </w:t>
      </w:r>
    </w:p>
    <w:p>
      <w:pPr>
        <w:pStyle w:val="BookText"/>
        <w:rPr/>
      </w:pPr>
      <w:r>
        <w:rPr>
          <w:rFonts w:ascii="Amiri" w:hAnsi="Amiri" w:eastAsia="Amiri" w:cs="Amiri"/>
          <w:color w:val="111111"/>
          <w:sz w:val="28"/>
          <w:sz w:val="28"/>
          <w:szCs w:val="28"/>
          <w:rtl w:val="true"/>
          <w:lang w:bidi="ar-SA"/>
        </w:rPr>
        <w:t xml:space="preserve">يعتبر في عبادية العبادة ليس إلاّ أن يكون الإتيان بداعٍ إلهي ، ويكون الإتيان للتوصّل إلى أغراض المولى ولو احتمالاً ؛ فإنّ العقل الحاكم في أمثاله لا يحكم بأزيد من ذلك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الإطاعة عبارة عن الانبعاث ببعث المولى والتحرّك بتحريكه ، ولا يعقل أن يكون الأمر بوجوده الواقعي محرّكاً للعبد وباعثاً إيّاه نحو العمل ، ففي صورة احتمال الأمر يكون المحرّك هو احتمال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الواقع ،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الأمر بوجوده النفس الأمري محرّكاً ، وإلاّ لزم أن لا يكون الاحتمال مع عدم مطابقته للواقع محرّكاً ، مع أ نّه محرّك ولو لم يطابق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انبعاث العبد لا يكون في الشبهات البدوية ببعث المولى ، فلا يكون العبد مطيعاً ، ولا هذا الإتيان إطاعة ، مع أنّ صدور الفعل عن إطاعة المولى من مقوّمات العبادة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الإطاعة أمر عقلائي ، ولا إشكال عند العقلاء في أنّ العبد الآتي بالمحتمل يكون مطيعاً للمولى في صورة المطابقة ، ويكون إتيانه به نحو إطاعة وامتثال له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تقوّم الإطاعة بكون الانبعاث ببعثه ممنوع ، بل الانبعاث والتحرّك التكويني لا يكون في شيء من الموارد بواسطة البعث والتحريك التشريعيين في نفسهما ؛ فإنّ مبادئ الانبعاث تكون اُموراً اُخر في النفس ، كحبّ </w:t>
      </w:r>
      <w:bookmarkStart w:id="110" w:name="pg12132_127870"/>
    </w:p>
    <w:p>
      <w:pPr>
        <w:pStyle w:val="BookText"/>
        <w:rPr/>
      </w:pPr>
      <w:bookmarkEnd w:id="110"/>
      <w:r>
        <w:rPr>
          <w:rFonts w:ascii="Amiri" w:hAnsi="Amiri" w:eastAsia="Amiri" w:cs="Amiri"/>
          <w:color w:val="111111"/>
          <w:sz w:val="28"/>
          <w:sz w:val="28"/>
          <w:szCs w:val="28"/>
          <w:rtl w:val="true"/>
          <w:lang w:bidi="ar-SA"/>
        </w:rPr>
        <w:t xml:space="preserve">المولى ، أو معرفته ، أو الخوف من عقابه ، أو الطمع في ثوابه ، إلى غير ذلك من المبادئ حسب اختلاف العباد ، وإنّما الأمر موضوع للطاعة ، لا باعث نحوها ، فإذا كان الأمر كذلك قد يكون بعض المبادئ موجوداً في نفس العبد فيحرّكه نحو العمل مع احتمال أمره ، فإن طابق الواقع يكون مطيعاً حقيقةً لأمره ، وإلاّ يكون منقاداً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الإطاعة عبارةً عن الانبعاث ببعث المولى ممنوع ، والشاهد هو حكم العقل </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3352632_417432637"/>
      <w:bookmarkStart w:id="112" w:name="_Toc37"/>
      <w:bookmarkEnd w:id="111"/>
      <w:r>
        <w:rPr>
          <w:rtl w:val="true"/>
        </w:rPr>
        <w:t>تصحيح عبادية الشيء بأوامر الاحتياط</w:t>
      </w:r>
      <w:bookmarkEnd w:id="112"/>
    </w:p>
    <w:p>
      <w:pPr>
        <w:pStyle w:val="BookText"/>
        <w:rPr/>
      </w:pPr>
      <w:r>
        <w:rPr>
          <w:rFonts w:ascii="Amiri" w:hAnsi="Amiri" w:eastAsia="Amiri" w:cs="Amiri"/>
          <w:color w:val="111111"/>
          <w:sz w:val="28"/>
          <w:sz w:val="28"/>
          <w:szCs w:val="28"/>
          <w:rtl w:val="true"/>
          <w:lang w:bidi="ar-SA"/>
        </w:rPr>
        <w:t>ثمّ لو قلنا بعدم إمكان الاحتياط مع احتمال الأمر ، هل يمكن تصحيح العبادة لأجل أوامر الاحتياط ، فيقصد المكلّف الأمر الاحتياطي المتعلّق بالعبادة ، أم لا ؟</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إمكانه ؛ لأنّ الاحتياط في العبادات إذا كان غير ممكن حسب الفرض ، فلا بدّ من تقييد أوامر الاحتياط بغير الشبهات الوجوبية التعبّدية ؛ لامتناع إطلاقها بالنسبة إليها ؛ لحكم العقل بعدم إمكانه فيها ، فتعلّق أوامر الاحتياط بالعبادات يتوقّف على إمكانه فيها ، ولو توقّف إمكانه عليه لزم توقّف الشيء على نفسه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وتخيّل تعلّق أوامر الاحتياط بذات العمل ، مع قطع النظر عن قصد التقرّب ، أو مع قطع النظر عن الإتيان بداعي احتمال الأمر</w:t>
      </w:r>
      <w:r>
        <w:rPr>
          <w:rStyle w:val="FootnoteAnchor"/>
          <w:rtl w:val="true"/>
        </w:rPr>
        <w:footnoteReference w:id="145"/>
      </w:r>
      <w:r>
        <w:rPr>
          <w:rFonts w:ascii="IRNazanin" w:hAnsi="IRNazanin" w:eastAsia="IRNazanin"/>
          <w:color w:val="111111"/>
          <w:sz w:val="28"/>
          <w:sz w:val="28"/>
          <w:szCs w:val="28"/>
          <w:rtl w:val="true"/>
          <w:lang w:bidi="fa-IR"/>
        </w:rPr>
        <w:t xml:space="preserve">، فاسد وخروج عن موضوع </w:t>
      </w:r>
    </w:p>
    <w:p>
      <w:pPr>
        <w:pStyle w:val="BookText"/>
        <w:rPr/>
      </w:pPr>
      <w:r>
        <w:rPr>
          <w:rFonts w:ascii="Amiri" w:hAnsi="Amiri" w:eastAsia="Amiri" w:cs="Amiri"/>
          <w:color w:val="111111"/>
          <w:sz w:val="28"/>
          <w:sz w:val="28"/>
          <w:szCs w:val="28"/>
          <w:rtl w:val="true"/>
          <w:lang w:bidi="ar-SA"/>
        </w:rPr>
        <w:t>الاحتياط ، والتزام بالإشكال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تصدّى بعض مشايخ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للجواب عمّن تصدّى تصحيح العبادات بأوامر الاحتياط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بالعمل قد يكون بنفسه عبادياً كالأمر بالصلاة ، وقد يكتسب العبادية من أمر آخر ، وشرط اكتساب العبادية أن يكون متعلّق الأمر التوصّلي والعبادي متّحداً ، كنذر صلاة الليل ؛ فإنّ النذر يتعلّق بذات الصلاة ، ولا يمكن تعلّقه بها بما أ نّها مستحبّة ، وإلاّ كان النذر باطلاً ؛ لعدم القدرة على وفائه ؛ لصيرورتها بالنذر واجبة ، فلا يمكن إتيانها بعد النذر بعنوان الاستحباب ، فالنذر لا بدّ أن يتعلّق بذات الصلاة ، والأمر الاستحبابي أيضاً متعلّق بذاتها ، لا بوصف كونها مستحبّة ؛ لأ نّه جاء من قِبل الأمر ، ولا يمكن أن يؤخذ فيه ، فإذا اتّحد متعلّقهما يكتسب كلّ منهما من الآخر ما كان فاقداً له ، فالأمر النذري يكتسب العبادية من الاستحبابي ، وهو يكتسب الوجوب من النذري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يتّحد متعلّقهما فلا يمكن الاكتساب المذكور ، كالأمر بالوفاء بالإجارة إذا اُوجر الشخص على الصلاة الواجبة أو المستحبّة على الغير ، فإنّ الأجير إنّما يستأجر لتفريغ ذمّة الغير ، وما في ذمّته إنّما هي الصلاة بوصف كونها واجبة أو مستحبّة ، فمتعلّقه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قيد الاستحباب ، ومتعلّق الأمر الاستحبابي </w:t>
      </w:r>
    </w:p>
    <w:p>
      <w:pPr>
        <w:pStyle w:val="BookText"/>
        <w:rPr/>
      </w:pPr>
      <w:r>
        <w:rPr>
          <w:rFonts w:ascii="Amiri" w:hAnsi="Amiri" w:eastAsia="Amiri" w:cs="Amiri"/>
          <w:color w:val="111111"/>
          <w:sz w:val="28"/>
          <w:sz w:val="28"/>
          <w:szCs w:val="28"/>
          <w:rtl w:val="true"/>
          <w:lang w:bidi="ar-SA"/>
        </w:rPr>
        <w:t xml:space="preserve">نفس الصلاة ، فلا يتّحد المتعلّقان ، فلا يكتسب أحدهما وصف الآخر ، فالأمر الاستحبابي باقٍ على استحبابه ؛ لأ نّه مستحبّ على المنوب عنه ، والأمر الوجوبي باقٍ على توصّليته ؛ لأ نّه متعلّق بالأجير ، فلا ربط لأحدهما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فالأوامر الاحتياطية فاقدة لكلتا الجهتين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كونها عبادية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 فإنّها توصّلية ، وإلاّ يلزم بطلان الاحتياط في التوصّليات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متعلّق الأمر بالاحتياط إنّما هو العمل مع قيد كونه محتمل الوجوب ؛ لأ نّه مأخوذ في موضوعه ، وإلاّ لم يكن من الاحتياط ، بخلاف الأمر المتعلّق بالعمل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بذات العمل ، فلا يتّحد المتعلّقان ، فلا يكتسب الأمر بالاحتياط العبادية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إتيان العمل بداعي الاحتمال كافياً في العبادية ، فلا يحتاج إلى أوامر الاحتياط ، وإلاّ فهي لا توجب عبادية العمل</w:t>
      </w:r>
      <w:r>
        <w:rPr>
          <w:rStyle w:val="FootnoteAnchor"/>
          <w:rtl w:val="true"/>
        </w:rPr>
        <w:footnoteReference w:id="147"/>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الأمرين المستقلّين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الوجوبيين أو الاستحبابيين أو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بموضوع واحد ذاتاً وجهةً مستحيل ، كاجتماع الأمر والنهي في موضوع واحد ، لا من جهة التضادّ بين الأحكام ؛ فإنّه لا أصل له ، بل من جهة امتناع تعلّق الإرادتين كذلك من شخص واحد على موضوع واحد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 وحدة الإرادة لا مانع من تكرار الأوامر الوجوبية أو الاستحبابية على نعت التأكيد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الأمر النذري غير متعلّق الاستحبابي المتعلّق بذات الصلاة ؛ فإنّ تمام متعلّق الأمر النذري هو الوفاء بالنذر ، لا الصلاة أو غيرها ، فعنوان الوفاء بالنذر شيء لا مساس له في عالم متعلّقيته للأمر النذري مع متعلّق الأمر الصلاتي ، وإنّما يتّحد العنوانان في الخارج ، وهو ظرف سقوط الأمر ، لا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نظير باب اجتماع الأمر والنهي ، فكما أنّ الأمر هناك تعلّق بعنوان الصلاة ، والنهي تعلّق بعنوان الغصب ، ولا مساس بين العنوانين في ظرف التعلّق وإن اتّحدا في الخارج ، فكذلك فيما نحن فيه ، وهذا واضح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اتّحاد المتعلّقين ، فأيّ دليل على اكتساب الأمر التوصّلي وصف التعبّدية ، والأمر الاستحبابي وصف الوجوب من صاحبه ، وهل هذا إلاّ دعوى بلا برهان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الدليل على بطلانها ؛ فإنّ مبادئ الإرادات إذا كانت مختلفة تختلف الإرادات حسب اختلافها ، فإذا صارت الإرادات مختلفة تختلف الأوامر الناشئة منها حسب اختلافها ، فمبادئ الأوامر التوصّلية غير مبادئ الأوامر التعبّدية ، وكذا مبادئ الأوامر الوجوبية تغاير مبادئ الأوامر الاستحبابية ، فانقلاب أحدها إلى الآخر لا يمكن مع اختلاف مبادئها ، وهي مختلفة ذاتاً لا يمكن تبديل واحد منها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لهذا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الوجوب والاستحباب والتوصّلي والتعبّدي كالمائعات الخارجية المختلطة المنفعلة بعضها عن بعض نحو انفعال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كلامه مواقع اُخرى للنظر تركناها مخافة التطويل ، مع أ نّه لا طائل تحته </w:t>
      </w:r>
      <w:r>
        <w:rPr>
          <w:rFonts w:eastAsia="Amiri" w:cs="Amiri" w:ascii="Amiri" w:hAnsi="Amiri"/>
          <w:color w:val="111111"/>
          <w:sz w:val="28"/>
          <w:szCs w:val="28"/>
          <w:rtl w:val="true"/>
          <w:lang w:bidi="ar-SA"/>
        </w:rPr>
        <w:t xml:space="preserve">. </w:t>
      </w:r>
      <w:bookmarkStart w:id="113" w:name="pg12132_127874"/>
    </w:p>
    <w:p>
      <w:pPr>
        <w:pStyle w:val="Heading2"/>
        <w:numPr>
          <w:ilvl w:val="1"/>
          <w:numId w:val="1"/>
        </w:numPr>
        <w:rPr/>
      </w:pPr>
      <w:bookmarkStart w:id="114" w:name="__RefHeading___Toc3352634_417432637"/>
      <w:bookmarkStart w:id="115" w:name="_Toc38"/>
      <w:bookmarkEnd w:id="113"/>
      <w:bookmarkEnd w:id="114"/>
      <w:r>
        <w:rPr>
          <w:rtl w:val="true"/>
        </w:rPr>
        <w:t xml:space="preserve">الاستدلال لإمكان الاحتياط بأخبار </w:t>
      </w:r>
      <w:r>
        <w:rPr>
          <w:rtl w:val="true"/>
        </w:rPr>
        <w:t>«</w:t>
      </w:r>
      <w:r>
        <w:rPr>
          <w:rtl w:val="true"/>
        </w:rPr>
        <w:t>من بلغ</w:t>
      </w:r>
      <w:r>
        <w:rPr>
          <w:rtl w:val="true"/>
        </w:rPr>
        <w:t>»</w:t>
      </w:r>
      <w:bookmarkEnd w:id="115"/>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مؤيّدات إمكان الاحتياط في التعبّديات بل من أدلّته هو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فإنّ الظاهر منها أنّ العمل المأتيّ به برجاء إدراك الواقع والتوصّل إلى الثواب والأجر إذا صادف الواقع يكون عين ما هو الواقع ، ويستوفي المكلّف نفس ثواب الأمر الواقعي ، وإن لم يصادف الواقع يعطى له مثل ثواب الواقع تفضّلاً ، ولو كان الإتيان باحتمال الأمر لغواً أو تشريعاً محرّماً لما كان وجه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تصحيح الاحتياط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إلاّ على وجه دائر ، كما ذكرنا في أوامر الاحتياط</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3352636_417432637"/>
      <w:bookmarkStart w:id="117" w:name="_Toc39"/>
      <w:bookmarkEnd w:id="116"/>
      <w:r>
        <w:rPr>
          <w:rtl w:val="true"/>
        </w:rPr>
        <w:t xml:space="preserve">البحث عن أخبار </w:t>
      </w:r>
      <w:r>
        <w:rPr>
          <w:rtl w:val="true"/>
        </w:rPr>
        <w:t>«</w:t>
      </w:r>
      <w:r>
        <w:rPr>
          <w:rtl w:val="true"/>
        </w:rPr>
        <w:t>من بلغ</w:t>
      </w:r>
      <w:r>
        <w:rPr>
          <w:rtl w:val="true"/>
        </w:rPr>
        <w:t>»</w:t>
      </w:r>
      <w:bookmarkEnd w:id="117"/>
    </w:p>
    <w:p>
      <w:pPr>
        <w:pStyle w:val="BookText"/>
        <w:rPr/>
      </w:pPr>
      <w:r>
        <w:rPr>
          <w:rFonts w:ascii="Amiri" w:hAnsi="Amiri" w:eastAsia="Amiri" w:cs="Amiri"/>
          <w:color w:val="111111"/>
          <w:sz w:val="28"/>
          <w:sz w:val="28"/>
          <w:szCs w:val="28"/>
          <w:rtl w:val="true"/>
          <w:lang w:bidi="ar-SA"/>
        </w:rPr>
        <w:t xml:space="preserve">ثمّ الأظهر أن يكون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جعل الثواب لمن بلغه ثواب فعمله باحتمال إدراكه ، أو طلباً لقول النبي رحمهما اللّه ، فهذا الجعل نظير الجعل في باب الجعالة 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ضالّتي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ذلك جعل معلّق على ردّ الضالّة ، فهذا أيضاً جعل معلّق على إتيان العمل بعد البلوغ برجاء الثواب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 الثواب على ذلك حثّاً على إتيان كلّية مؤدّيات الأخبار الدالّة على السنن ؛ لعلم الشارع بأنّ فيها كثيراً من السنن الواقعية ، فلأجل التحفّظ عليها </w:t>
      </w:r>
    </w:p>
    <w:p>
      <w:pPr>
        <w:pStyle w:val="BookText"/>
        <w:rPr/>
      </w:pPr>
      <w:r>
        <w:rPr>
          <w:rFonts w:ascii="Amiri" w:hAnsi="Amiri" w:eastAsia="Amiri" w:cs="Amiri"/>
          <w:color w:val="111111"/>
          <w:sz w:val="28"/>
          <w:sz w:val="28"/>
          <w:szCs w:val="28"/>
          <w:rtl w:val="true"/>
          <w:lang w:bidi="ar-SA"/>
        </w:rPr>
        <w:t xml:space="preserve">جعل الثواب على مطلق ما بلغ عن النبي رحمهما اللّه ،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حيث جعل تضاعف الأجر للحثّ على إتيان الحسنات ، فالأخبار الشريفة بصدد الترغيب والحثّ على ما بلغ ، ولها إطلاق بالنسبة إلى كلّ ما بلغ بسند معتبر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استفادة الاستحباب الشرعي منها مشكل ؛ فإنّ المستحبّ ما يتعلّق به الأمر لأجل خصوصية راجحة في ذاته ، ويكون الثواب لأجل استيفاء تلك الخصوصية الراجحة ، والمستفاد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إعطاء الثواب بما بلغ ليس لأجل خصوصية ذاتية فيما بلغ مطلقاً ، بل لأجل إدراك المكلّف ما هو الواقع المجهول بينها ، كما لو جعل الثواب على مقدّمات علمية لأجل إدراك الواقع ، وكما في جعل الثواب للمشي إلى زيارة قبر مولانا أبي عبداللّه الحسين عليه الصلاة والسلام</w:t>
      </w:r>
      <w:r>
        <w:rPr>
          <w:rStyle w:val="FootnoteAnchor"/>
          <w:rtl w:val="true"/>
        </w:rPr>
        <w:footnoteReference w:id="151"/>
      </w:r>
      <w:r>
        <w:rPr>
          <w:rFonts w:ascii="Amiri" w:hAnsi="Amiri" w:eastAsia="Amiri" w:cs="Amiri"/>
          <w:color w:val="111111"/>
          <w:sz w:val="28"/>
          <w:sz w:val="28"/>
          <w:szCs w:val="28"/>
          <w:rtl w:val="true"/>
          <w:lang w:bidi="ar-SA"/>
        </w:rPr>
        <w:t xml:space="preserve">؛ ضرورة أنّ المشي ليس له خصوصية ذاتية سوى المقدّمية ، لكنّه تعالى جعل الثواب في كلّ خطوة لأجل الحثّ على زيارته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إلاّ أن يناقش في هذا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المشي له خصوصية هي الأقربية إلى الخضوع للّه تعالى ولأوليائه علیهم السلام ، فيكون له جهة زائدة على المقدّمية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الاحتمالات 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يظهر ما في قول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لا يبعد دلالة بعض تلك الأخبار على استحباب ما بلغ عليه الثواب ؛ لظهوره في أنّ الأجر كان مترتّباً </w:t>
      </w:r>
    </w:p>
    <w:p>
      <w:pPr>
        <w:pStyle w:val="BookText"/>
        <w:rPr/>
      </w:pPr>
      <w:r>
        <w:rPr>
          <w:rFonts w:ascii="Amiri" w:hAnsi="Amiri" w:eastAsia="Amiri" w:cs="Amiri"/>
          <w:color w:val="111111"/>
          <w:sz w:val="28"/>
          <w:sz w:val="28"/>
          <w:szCs w:val="28"/>
          <w:rtl w:val="true"/>
          <w:lang w:bidi="ar-SA"/>
        </w:rPr>
        <w:t>على نفس العمل الذي بلغ عن النبي رحمهما اللّه أ نّه ذو ثواب</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عرفت من أنّ الظاهر منها أنّ جعل الثواب إنّما هو لأجل الحثّ على الإتيان بمؤدّى الروايات ؛ لإدراك ما هو محبوب ومستحبّ واقعاً ، وفي مثله لا يصير العمل مستحبّاً بذاته ، ولا يسمّى مستحبّاً اصطلاحاً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اختاره بعض علماء العصر رحمه الله علیه بعد ذكر احتمالات وجعله أقرب الاحتمالات ، فهو على الظاهر أبعدها من مساق الأخبار ، بل مدّعي القطع بخلافه ليس مجازفاً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بعض الأنظار في كلامه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ما حاصله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من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الجملة الخبرية بمعنى الإنشاء وفي مقام بيان استحباب العمل ، ويمكن أن يكون ذلك على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القضيّة مسوقةً لبيان اعتبار قول المبلّغ وحجّيته ، سواء كان واجداً لشرائط الحجّية أو لا ، كما هو ظاهر الإطلاق ، فيكون مفاد الأخبار مسألة اُصولية هي حجّية الخبر الضعيف ، ومخصّصة لما دلّ على اعتبار الوثاقة والعدالة في الراوي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بينهما عموم من وجه ؛ حيث ما دلّ على اعتبار الشرائط يعمّ القائم على الوجوب والاستحباب ، وأخبار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الواجد للشرائط وغيره ، وتختصّ بالمستحبّات ، فيقع التعارض بينهما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إلغاء الشرائط ، فتكون حاكمة على ما دلّ 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لها ؛ لعمل المشهور بها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أ نّه لو قدّم ما دلّ على اعتبار الشرائط عليها لم يبق لها مورد ، بخلاف تقديمها عليها ؛ فإنّ الواجبات والمحرّمات تبقى مشمولة لها ، بل يظهر من الشيخ رحمه الله علیه اختصاص ما دلّ على اعتبار الشرائط بالواجبات والمحرّمات ؛ فإنّ ما 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الإجماع وإ مّا آية النبأ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والإجماع مفقود في المقام ، بل يمكن دعوى الإجماع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بملاحظة ذيلها من التعليل مختصّة بالواجبات والمحرّمات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لا يخلو من ضعف ؛ فإنّ الدليل على اعتبار الشرائط لا ينحصر بالإجماع والآية ، بل العمدة هي الأخبار المتضافرة أو المتواترة ، وهي تعمّ المستحبّات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هذا الوجه أقرب ، كما عليه المشهور</w:t>
      </w:r>
      <w:r>
        <w:rPr>
          <w:rStyle w:val="FootnoteAnchor"/>
          <w:rtl w:val="true"/>
        </w:rPr>
        <w:footnoteReference w:id="155"/>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بعيد غايته عن مساق الأخبار ؛ فإنّ لسان إعطاء الحجّية هو إلقاء احتمال الخلاف وكون المؤدّى هو الواقع ، وهو ينافي فرض عدم كون الحديث كما بلغه ، أو فرض عدم صدوره عن رسول اللّه رحمهما اللّه ، فلو</w:t>
      </w:r>
    </w:p>
    <w:p>
      <w:pPr>
        <w:pStyle w:val="BookText"/>
        <w:rPr/>
      </w:pPr>
      <w:r>
        <w:rPr>
          <w:rFonts w:ascii="Amiri" w:hAnsi="Amiri" w:eastAsia="Amiri" w:cs="Amiri"/>
          <w:color w:val="111111"/>
          <w:sz w:val="28"/>
          <w:sz w:val="28"/>
          <w:szCs w:val="28"/>
          <w:rtl w:val="true"/>
          <w:lang w:bidi="ar-SA"/>
        </w:rPr>
        <w:t xml:space="preserve">جمع قائل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معالم دينك من فلان ، وأنّ ما يؤدّي عنّي فعنّي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المؤدّى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بين المتنافيين ، فلسان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آبية عن جعل الحجّية والطريقية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مخصّصة أو معارضة لأدلّة اعتبار قول الثقة </w:t>
      </w:r>
    </w:p>
    <w:p>
      <w:pPr>
        <w:pStyle w:val="BookText"/>
        <w:rPr/>
      </w:pPr>
      <w:r>
        <w:rPr>
          <w:rFonts w:ascii="Amiri" w:hAnsi="Amiri" w:eastAsia="Amiri" w:cs="Amiri"/>
          <w:color w:val="111111"/>
          <w:sz w:val="28"/>
          <w:sz w:val="28"/>
          <w:szCs w:val="28"/>
          <w:rtl w:val="true"/>
          <w:lang w:bidi="ar-SA"/>
        </w:rPr>
        <w:t xml:space="preserve">في غير موقعه ؛ لأنّ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منطوق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متوافقان ، ولا استبعاد في أن يكون خبر الثقة مطلقاً حجّة ، والخبر مطلقاً حجّة في المستحبّات ،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الاعتبار ما دلّ على عدم اعتبار قول الفاسق أو غير الثقة إلاّ إشعارات أو ما هو قابل للمناقشة، فالنسبة بينهما وإن كانت عموماً من وجه ، لكنّهما متوافقتان من غير تعارض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الأخبار ممنوعة ؛ لفقدان مناط الحكومة ، وما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إلقاء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تحكيمها عليها ممّا لا وجه له ؛ فإنّ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قول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المستحبّات مطلقاً ، ومفاد أدلّة اعتبار قول الثقة حجّية قول الثقة مطلقاً ، وليس إحدى الطائفتين ناظرة إلى الاُخرى ، ولا متصرّفة في جهة من جهاتها ممّا هي دخيلة في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ترجيح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 المشهور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 لعدم معلومية وجه فتواهم ، ولعلّهم عملوا بها لأجل عدم فهم التنافي بينهما ، كما أشرنا إليه ، أو لعلّ فتواهم بالاستحباب لأجل ذهابهم إلى أنّ نفس البلوغ من أيّ مخبر موضوع لاستحباب المضمون ، وموجب لحدوث المصلحة فيه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 عنوان المشهور لا ينطبق إلاّ على القول بإلقاء شرائط الحجّية في الخبر القائم على الاستحباب ؛ حيث إنّ بناءهم على 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 لأنّ التسامح في أدلّة السنن كما يمكن أن يكون لأجل </w:t>
      </w:r>
    </w:p>
    <w:p>
      <w:pPr>
        <w:pStyle w:val="BookText"/>
        <w:rPr/>
      </w:pPr>
      <w:r>
        <w:rPr>
          <w:rFonts w:ascii="Amiri" w:hAnsi="Amiri" w:eastAsia="Amiri" w:cs="Amiri"/>
          <w:color w:val="111111"/>
          <w:sz w:val="28"/>
          <w:sz w:val="28"/>
          <w:szCs w:val="28"/>
          <w:rtl w:val="true"/>
          <w:lang w:bidi="ar-SA"/>
        </w:rPr>
        <w:t xml:space="preserve">إلقاء شرائط الحجّية ؛ يمكن أن يكون لأجل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بعملهم فرع انقداح التعارض بينهما عندهم ، وهو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لو قدّم ما دلّ على اعتبار الشرائط لم يبق لتلك الأخبار مورد ، 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لا يخفى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إحدى المرجّحات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ممنوعية عدم بقاء مورد لها ؛ لأ نّها شاملة بإطلاقها لخبر الثقة وغيره ، ومورد التعارض بينهما إنّما يكون في مورد الخبر الفاقد للشرط ، وأمّا الواجد له في المستحبّات فيكون مورداً لكلتا الطائفتين ، ولا يلزم أن يكون المورد الباقي مختصّاً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مضمونها إلقاء اعتبار الشرائط ، أو حجّية الخبر الضعيف بالخصوص ، لكان لما ذكره وجه ، لكن إذا كان مضمونها حجّية قول المخبر في المستحبّات، وكان إطلاقها شاملاً للواجد للشرائط وغيره لما كان وجه لقوله قدّس سرّه ؛ لأ نّها بعد تقديم مورد التعارض تصير من أدلّة حجّية خبر الثقة في المستحبّات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لم يحضرني رسالة الشيخ رحمه الله علیه في مسألة التسامح في أدلّة السنن ، لكن من المحتمل أن يكون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جعل التعارض بين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الإجماع وآية النبأ دون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أشرنا إليه من أنّ مفاد تلك الأخبار موافق 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الإجماع المنعقد على عدم حجّية قول الفاسق ومنطوق آية النبأ المعارض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 فأجاب عنهما بما أجاب ، وبناءً عليه يكون اعتراضه غير وارد عليه </w:t>
      </w:r>
      <w:r>
        <w:rPr>
          <w:rFonts w:eastAsia="IRNazanin" w:cs="IRNazanin"/>
          <w:color w:val="111111"/>
          <w:sz w:val="28"/>
          <w:szCs w:val="28"/>
          <w:rtl w:val="true"/>
          <w:lang w:bidi="fa-IR"/>
        </w:rPr>
        <w:t xml:space="preserve">. </w:t>
      </w:r>
      <w:bookmarkStart w:id="118" w:name="pg12132_127880"/>
    </w:p>
    <w:p>
      <w:pPr>
        <w:pStyle w:val="Heading2"/>
        <w:numPr>
          <w:ilvl w:val="1"/>
          <w:numId w:val="1"/>
        </w:numPr>
        <w:rPr/>
      </w:pPr>
      <w:bookmarkStart w:id="119" w:name="__RefHeading___Toc3352638_417432637"/>
      <w:bookmarkStart w:id="120" w:name="_Toc40"/>
      <w:bookmarkEnd w:id="118"/>
      <w:bookmarkEnd w:id="119"/>
      <w:r>
        <w:rPr>
          <w:rtl w:val="true"/>
        </w:rPr>
        <w:t xml:space="preserve">التنبيه الثالث </w:t>
      </w:r>
      <w:r>
        <w:rPr>
          <w:rtl w:val="true"/>
        </w:rPr>
        <w:t xml:space="preserve">: </w:t>
      </w:r>
      <w:r>
        <w:rPr>
          <w:rtl w:val="true"/>
        </w:rPr>
        <w:t>في أنحاء متعلّق الأمر والنهي</w:t>
      </w:r>
      <w:bookmarkEnd w:id="12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يخفى أنّ النهي عن شيء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الأوامر والنواهي قد يتعلّقان بالطبيعة على نحو صرف الوجود ، وقد يتعلّقان بها على نحو العامّ المجموعي ، وقد يتعلّقان بها على نحو العامّ الاُصولي ؛ أي الطبيعة السارية أو جميع أفراد الطبيعة ، وقد يتعلّقان بنفس الطبيعة من غير لحاظ الوحدة والكثرة ، والسريان وعدمه ، والاجتماع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الطبيعة المأخوذة على نحو لا تنطبق إلاّ على أوّل الوجود ، ولا تتكثّر بتكثّر الأفراد ، فإذا وجد ألف فرد من الطبيعة دفعةً لا يكون الصرف إلاّ واحداً ، وإذا وجد فرد وتحقّق الصرف به ثمّ وجد فرد آخر لا يتكرّر الصرف به ، ويكون الوجود الثاني غير منطبَق للصرف ، فصرف الوجود هو ناقض العدم والطبيعة المأخوذة بقيد الوحدة بالمعنى الحرفي ، وتكون نسبة الأفراد إليه نسبة المحصّل إلى المتحصّل ، أو نسبة الأمر المنتزع إلى المنشأ للانتزاع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تعلّق الأمر بالطبيعة على نحو صرف الوجود يسقط الأمر بإتيان أوّل الوجودات ، ولو أوجد المكلّف ألف فرد دفعةً لا يكون إلاّ إطاعة واحدة هي إتيان الصرف ، والأفراد مقدّمة عقلية له ليست متعلّقة للأمر بنفسها ، فوجوده بأوّل الوجودات ، وعدمه بعدم جميعها ، وليست الكثرة فيه ، بل هي في </w:t>
      </w:r>
    </w:p>
    <w:p>
      <w:pPr>
        <w:pStyle w:val="BookText"/>
        <w:rPr/>
      </w:pPr>
      <w:r>
        <w:rPr>
          <w:rFonts w:ascii="IRNazanin" w:hAnsi="IRNazanin" w:eastAsia="IRNazanin"/>
          <w:color w:val="111111"/>
          <w:sz w:val="28"/>
          <w:sz w:val="28"/>
          <w:szCs w:val="28"/>
          <w:rtl w:val="true"/>
          <w:lang w:bidi="fa-IR"/>
        </w:rPr>
        <w:t xml:space="preserve">المحصّلات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لوازم تعلّق الأمر بالصرف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تعلّق النهي بالطبيعة على نحو صرف الوجود ، يكون المزجور عنه واحداً هو الطبيعة المأخوذة على نحو ما ذكرنا ، ولازمه أن يكون له إطاعة واحدة وعصيان واحد ، فإن أتى المكلّف بواحد من أفرادها يسقط النهي وتتحقّق المعصية ، تأ 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بعدّة أفراد لا تكون إلاّ معصية واحدة هي إتيان الصرف ،</w:t>
      </w:r>
    </w:p>
    <w:p>
      <w:pPr>
        <w:pStyle w:val="BookText"/>
        <w:rPr/>
      </w:pPr>
      <w:r>
        <w:rPr>
          <w:rFonts w:ascii="Amiri" w:hAnsi="Amiri" w:eastAsia="Amiri" w:cs="Amiri"/>
          <w:color w:val="111111"/>
          <w:sz w:val="28"/>
          <w:sz w:val="28"/>
          <w:szCs w:val="28"/>
          <w:rtl w:val="true"/>
          <w:lang w:bidi="ar-SA"/>
        </w:rPr>
        <w:t xml:space="preserve">وإطاعته إنّما تكون بترك جميع الأفراد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تعلّق الأمر أو النهي على نحو الوجود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الطبيعة باعتبار السريان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بنحو العامّ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فرد من أفراد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إتيان جميع الأفراد في جانب الأمر ، وترك جميعها في طرف النهي ، فينحلاّن إلى الأوامر والنواهي ، ولكلّ منهما إطاعات وعصيانات ، وللطبيعة الكذائية وجودات وأعدام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تعلّق الأمر أو النهي بنفس الطبيعة ، ويكون الأمر باعثاً نحو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زاجراً عنها ، من غير لحاظ شيء في جانب المأمور به والمنهيّ عنه إلاّ نفس الطبيعة ، فلازمه العقلي في جانب الأمر أن يسقط بأوّل الوجودات ؛ لتحقّق تمام متعلّق الأمر ، وهو نفس الطبيعة بلا شرط واعتبار زائد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بعدّة أفراد دفعةً يكون المطلوب كلّ واحد منها ، ويكون مطيعاً بالنسبة إلى كلّ فرد منها ؛ فإنّ الطبيعة تتكثّر بتكثّر الأفراد ، والأمر قد تعلّق بنفس</w:t>
      </w:r>
    </w:p>
    <w:p>
      <w:pPr>
        <w:pStyle w:val="BookText"/>
        <w:rPr/>
      </w:pPr>
      <w:r>
        <w:rPr>
          <w:rFonts w:ascii="Amiri" w:hAnsi="Amiri" w:eastAsia="Amiri" w:cs="Amiri"/>
          <w:color w:val="111111"/>
          <w:sz w:val="28"/>
          <w:sz w:val="28"/>
          <w:szCs w:val="28"/>
          <w:rtl w:val="true"/>
          <w:lang w:bidi="ar-SA"/>
        </w:rPr>
        <w:t xml:space="preserve">الطبيعة القابلة للكثرة ، وإنّما يسقط الأمر بأوّل الوجودات لا لقصور في ناحية الطبيعة ، بل لقصور مقتضى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المقام وبين ما إذا تعلّق بالصرف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الصرف غير قابل للتكرار والتكثّر ، وأمّا نفس الطبيعة فقابلة لهما ، وتكون متكثّرة بتكثّر الأفراد ، ولازمه انطباق المأمور به على كلّ واحد منها ، وحصول الإطاعة بكلّ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أتى المكلّف بواحد من الأفراد وترك الباقي يكون مطيعاً محضاً ؛ لأنّ الإتيان بالفرد إتيان بتمام مقتضى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جانب النهي ، فالزجر عن الطبيعة والمنع عن تحقّقها زجر ومنع عن جميع الأفراد عقلاً ؛ لأنّ كلّ فرد هو الطبيعة نفسها ، فإذا عصى العبد وأتى بفرد منها لم يسقط النهي ؛ لأنّ النهي ليس طلب الترك</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مطلوبه ، والعصيان لا يمكن أن يصير مسقطاً للأمر ولا للنهي ، وما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الأوامر والنواهي كما يسقطان بالإطاعة قد يسقطان بالعصيان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الأمر موقّتاً وترك العبد في جميع الوقت ، يكون عاصياً ويسقط الأمر ، لا للعصيان بل لقصور مقتضاه ، كما أنّ النهي عن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مع العصيان ؛ لقصور في المقتضى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الزجر عن الطبيعة أن تكون الطبيعة في كلّ فرد مزجوراً عنها ، وما دام بقاء النهي يزجر عنها ، فلا يسقط بالعصيان ، وهذا أيضاً غير الزجر </w:t>
      </w:r>
      <w:bookmarkStart w:id="121" w:name="pg12132_127883"/>
    </w:p>
    <w:p>
      <w:pPr>
        <w:pStyle w:val="BookText"/>
        <w:rPr/>
      </w:pPr>
      <w:bookmarkEnd w:id="121"/>
      <w:r>
        <w:rPr>
          <w:rFonts w:ascii="Amiri" w:hAnsi="Amiri" w:eastAsia="Amiri" w:cs="Amiri"/>
          <w:color w:val="111111"/>
          <w:sz w:val="28"/>
          <w:sz w:val="28"/>
          <w:szCs w:val="28"/>
          <w:rtl w:val="true"/>
          <w:lang w:bidi="ar-SA"/>
        </w:rPr>
        <w:t xml:space="preserve">عن كلّ فرد ، بل زجر عن نفس الطبيعة ، ولازمه العقلي هو المزجورية عن كلّ فرد ؛ لاتّحادها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تعلّق الأمر بمجموع الوجودات من حيث المجموع بحيث يكون المأمور به أمراً واحداً ، يكون إطاعته بإتيان المجموع ، وعصيانه بترك المجموع الذي ينطبق على ترك الجميع ، وترك فرد 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تعلّق النهي به يكون إطاعته بترك المجموع ، وهو يتحقّق بترك البعض ، وعصيانه بالجمع بين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بحسب مقام الثبوت والتصوّر ، وأمّا بحسب مقام الإثبات فالأوامر والنواهي متعلّقة نوعاً بالطبائع أو بإيجادها ، بلا تقيّد بشيء أصلاً </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3352640_417432637"/>
      <w:bookmarkStart w:id="123" w:name="_Toc41"/>
      <w:bookmarkEnd w:id="122"/>
      <w:r>
        <w:rPr>
          <w:rtl w:val="true"/>
        </w:rPr>
        <w:t>اختلاف الاُصول العملية باختلاف متعلّقات الأحكام</w:t>
      </w:r>
      <w:bookmarkEnd w:id="123"/>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الاُصول العملية تختلف حسب اختلاف متعلّقات الأحكام وموضوعاتها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تعلّق الأمر أو النهي بالوجودات 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تعلّق وجوب الإكرام بكلّ فرد من العلماء ، أو تعلّقت الحرمة بكلّ فرد 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المرجع في الشبهات الموضوعية البدوية هو البراءة ؛ لأنّ العلم بالكبرى لا يصير حجّة على الصغرى ، ولا يمكن كشف حال الفرد منها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شكّ في كون زيد عالماً ، أو كون مائع خمراً ، لا تكون الكبرى حجّة عليهما ، لا لما ذكره بعض مشايخ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تقريرات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الخطاب لا يمكن أن يكون فعلياً إلاّ بعد وجود الموضوع ؛ لأنّ التكاليف إنّما </w:t>
      </w:r>
    </w:p>
    <w:p>
      <w:pPr>
        <w:pStyle w:val="BookText"/>
        <w:rPr/>
      </w:pPr>
      <w:r>
        <w:rPr>
          <w:rFonts w:ascii="Amiri" w:hAnsi="Amiri" w:eastAsia="Amiri" w:cs="Amiri"/>
          <w:color w:val="111111"/>
          <w:sz w:val="28"/>
          <w:sz w:val="28"/>
          <w:szCs w:val="28"/>
          <w:rtl w:val="true"/>
          <w:lang w:bidi="ar-SA"/>
        </w:rPr>
        <w:t>تكون على نهج القضايا الحقيقية المنحلّة إلى قضيّة شرطية مقدّمها وجود الموضوع وتاليها عنوان المحمول ، فلا بدّ من فرض وجود الموضوع في ترتّب المحمول ، فمع العلم بعدم وجود الموضوع خارجاً يعلم عدم فعلية التكليف ، ومع الشكّ فيه يشكّ فيها ؛ لأنّ وجود الصغرى ممّا له دخل في فعلية الكبرى</w:t>
      </w:r>
      <w:r>
        <w:rPr>
          <w:rStyle w:val="FootnoteAnchor"/>
          <w:rtl w:val="true"/>
        </w:rPr>
        <w:footnoteReference w:id="15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القضايا الحقيقية لا تنحلّ إلى قضايا شرطية حقيقةً ، وإن أصرّ عليه رحمه الله علیه في كثير من المواضع</w:t>
      </w:r>
      <w:r>
        <w:rPr>
          <w:rStyle w:val="FootnoteAnchor"/>
          <w:rtl w:val="true"/>
        </w:rPr>
        <w:footnoteReference w:id="159"/>
      </w:r>
      <w:r>
        <w:rPr>
          <w:rFonts w:ascii="Amiri" w:hAnsi="Amiri" w:eastAsia="Amiri" w:cs="Amiri"/>
          <w:color w:val="111111"/>
          <w:sz w:val="28"/>
          <w:sz w:val="28"/>
          <w:szCs w:val="28"/>
          <w:rtl w:val="true"/>
          <w:lang w:bidi="ar-SA"/>
        </w:rPr>
        <w:t>؛ زعماً منه أنّ ما اشتهر</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القضايا الحقيقية يكون الحكم على الأفراد المحقّقة أو المقدّرة الوجود ، في مقابل القضايا الخارجية التي يكون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مقصوراً على الأفراد الخارجية ، أنّ المقصود منه أنّ تلك القضايا تنحلّ إلى الشرطيات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يوهم ذلك بعض عبائر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ليس كذلك قطعاً ؛ فإنّ القضايا الحقيقية قضايا بتّية كالقضايا الخارجية ، ولا افتراق بينهما من هذه الجهة ، وإنّما اُريد من كون الحكم فيها على الأفراد المحقّقة أو المقدّرة دفع توهّم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 الحكم على الأفراد الخارجية ، وتفرقة بين القضيّتين ، وإلاّ فالقضايا الحقيقية يكون الحكم فيها على عنوان الموضوع ؛ بحيث يكون قابلاً للانطباق على الأفراد أعمّ من الموجود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سيوجد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جزمي وقضيّة بتّية يحكم فيها على كلّ فرد من أفراد النار ، وليس في الإخبار اشتراط أصلاً ، لكن لا تكون النار ناراً ولا حارّة إلاّ بعد الوجود الخارجي ، وهذا غير الاشتراط ، ولا يكون مربوطاً بمفاد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القضايا الحقيقية مشروطة حقيقةً ، لزم أن يكون إثبات لوازم المهيات لها بنحو القضيّة الحقيقية مشروطاً بوجودها الخارجي ، مع أ نّها لازمة لها من حيث هي ، 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مثلّث فإنّ زواياه الثلاث مساوية لقائمتين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أربعة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حقيقية جزماً ، ولو كانت مشروطة لزم أن يكون إثبات التساوي والزوجية لهما مشروطاً بالوجود الخارجي ، مع أنّ اللوازم ثابتة لذواتها من غير اشتراط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تكون المهية مهية ولا اللازم لازماً إلاّ بالوجود بنحو القضيّة الحينية ، لا المشروطة ؛ لأنّ الاشتراط معناه دخالة الشرط في ثبوت الحكم ، وهو خلاف الواقع في لوازم المهيات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يلزم أن يكون حمل ذاتيات المهية عليها مشروطاً بتحقّقها ، مع أنّ الذاتي ثابت للذات بذاته من غير 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لو كان الأمر كما زعم لزم عدّ تلك القضايا في الشرطيات ، لا الحمليات ، مع تسالم المنطقيين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حمليات بتّيات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التزام أحد من أهل التحقيق بكون القضيّة الحقيقية قضيّة شرطية على نهج سائر الشرطيات ، من غير فرق بين الإخباريات والإنشائيات ، على إشكال في إطلاق الحقيقية فيها ، فقول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فعلي بحرارة كلّ نار موجودة أو ستوجد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للحكم الفعلي </w:t>
      </w:r>
    </w:p>
    <w:p>
      <w:pPr>
        <w:pStyle w:val="BookText"/>
        <w:rPr/>
      </w:pPr>
      <w:r>
        <w:rPr>
          <w:rFonts w:ascii="Amiri" w:hAnsi="Amiri" w:eastAsia="Amiri" w:cs="Amiri"/>
          <w:color w:val="111111"/>
          <w:sz w:val="28"/>
          <w:sz w:val="28"/>
          <w:szCs w:val="28"/>
          <w:rtl w:val="true"/>
          <w:lang w:bidi="ar-SA"/>
        </w:rPr>
        <w:t xml:space="preserve">لموضوعه ؛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الإنشاء الكذائي لا أثر له إلاّ بعد تحقّق موضوعه خارجاً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من عدم فعلية الحكم قبل تحقّق موضوعه خارجاً عدم باعثيته نحو الموضوع الغير المحقّق ، فهو حقّ ، لكن لا يلزم أن يكون الحكم مشروطاً ، بل يكون فعلياً بالنسبة إلى موضوعه ، وهو العنوان المأخوذ للموضوعية ، لكن كما لا يدعو حكم إلاّ إلى متعلّقه لا يدعو إلاّ إلى موضوعه ، فكما لا يدعو وجوب إكرام العالم إلاّ إلى عنوان الإكرام ، كذلك لا يدعو إلاّ إلى إكرام العالم ، فلا معنى لدعوته إلى من ليس بعالم ، كما لا معنى لأن يدعو إلى ما ليس بإكرام ، ولكن لا يلزم من ذلك أن يكون الوجوب بالنسبة إلى الإكرام أو إلى العالم مشروطاً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اشتراط الحكم بأمر وبين عدم تحقّق موضوع الحكم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أ نّه بعد تحقّق الموضوع إذا لم يعلم المكلّف به لا تكون الكبرى حجّة عليه ، ولا يمكن للمولى الاحتجاج على العبد بالحكم المتعلّق بالكبرى الكلّية ، فذلك حقّ لا مِرية فيه ، ولكن ليس هذا معنى عدم فعلية الحكم ؛ فإنّ الظاهر أنّ مرادهم من الفعلية واللا فعلية أن تتغيّر إرادة المولى ، وتكون قبل علم المكلّف بالموضوع أو قبل تحقّقه خارجاً معلّقة على شيء ويكون حكمه إنشائياً ، وبعد تحقّقه وعلم المكلّف به تغيّر إرادته ويصير الحكم الإنشائي فعلياً والمشروط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أن تتغيّر إرادة المولى وحكمه في كلّ آن بالنسبة إلى حالات المكلّفين من حصول الشرائط العامّة وعدم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ضروري البطلان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ما هو المعقول من الإنشائية والفعلية هو أنّ الأحكام قد تصدر من الموالي العرفية أو الحقيقية على نعت القانونية وضرب القاعدة ، وأحالوا مخصّصاتها وحدودها إلى أوقات اُخر ، ثمّ بعد ذكر المخصّصات والحدود تصير فعلية ؛ بمعنى أ نّها قابلة للإجراء والبعث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حكم قانوني مضروب يحال بيان حدوده إلى خطاب آخر ، وبعد تتميم الحدود والشرائط يصير فعلياً ويقع في موقع الإجراء ، إلاّ أ نّه حكم متعلّق بعنوان خاصّ هو المستطيع ، فإذا صار المكلّف مستطيعاً يصير موضوعاً له ، وإذا تمّت شرائط التكليف بالنسبة إليه يكون هذا الحكم حجّة عليه ، وليس له عذر في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للإنشائية والفعلية المعقولتين إلاّ ما ذكرنا ، والتنجّز عبارة عن تمامية الحجّة على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إذا كانت على نحو العامّ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تنحلّ إلى أحكام مستقلّة لموضوعات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الشكّ في الموضوع لا تكون الكبرى الكلّية حجّة على الموضوع المشكوك فيه ، فتجري أصالة البراءة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الكبرى حجّة على المصاديق المشتبهة ، فلِم لا يتمسّك بالعامّ في الشبهة المصداقية للمخصّص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المخصّص لم يكن حجّة بالنسبة إلى الفرد المشكوك فيه ، والعامّ حجّة بالنسبة إلى فرده ، ولا يجوز رفع اليد عن الحجّة بلا 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المخصّص يعنون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التخصيص بالفسّاق بمنزلة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الغير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به تمسّك في الشبهة المصداقية لنفس العامّ ، وهو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يسري إجمال الخاصّ إليه في الشبهة المفهومية ، مع أنّ الأمر ليس كذلك ، وليس ذلك إلاّ لأجل عدم تعنونه بعنوانه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عدم تعنونه بعنوان الخاصّ ولا يسري الإجمال إليه ، ومع ذلك لا يجوز التمسّك به في الشبهة المصداقية ؛ وذلك لأنّ حجّية العامّ تتوقّف على اُصول عقلائية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تطابق الإرادة الاستعمالية مع الجدّية ، وهذا أصل عقلائي يتمسّك به العقلاء إذا شُكّ في أصل التخصيص ، وأمّا مع العلم به والشكّ في مصداق أ نّه من مصاديق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تتطابق الإرادتان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 فلا يجوز التمسّك بالأصل العقلائي ؛ لعدم بناء العقلاء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التمسّك بالعامّ ليس من قبيل رفع اليد عن الحجّة بلا حجّة ، بل يكون اقتضاء العامّ ناقصاً ؛ لأجل عدم تمامية الاُصول العقلائية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مرادهم من أنّ المصداق المشتبه وإن كان مصداقاً للعامّ ، إلاّ أ نّه لم يعلم أ نّه من مصاديقه بما هو حجّة ؛ لاختصاص حجّيته بغير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الإجمال فلا وجه لسرايته ؛ فإنّ الإجمال واللا إجمال من عوارض الظهورات ، والخاصّ المنفصل لا يتصرّف في ظهور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تعلّق الحكم بالطبيعة السارية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تعلّق الأمر بها على نحو صرف الوجود ، ويكون حال المصاديق حال المحصّلات ، أو المناشئ للانتزاع بالنسبة إلى الأمر المنتزع منها ، فالأصل في </w:t>
      </w:r>
    </w:p>
    <w:p>
      <w:pPr>
        <w:pStyle w:val="BookText"/>
        <w:rPr/>
      </w:pPr>
      <w:r>
        <w:rPr>
          <w:rFonts w:ascii="Amiri" w:hAnsi="Amiri" w:eastAsia="Amiri" w:cs="Amiri"/>
          <w:color w:val="111111"/>
          <w:sz w:val="28"/>
          <w:sz w:val="28"/>
          <w:szCs w:val="28"/>
          <w:rtl w:val="true"/>
          <w:lang w:bidi="ar-SA"/>
        </w:rPr>
        <w:t xml:space="preserve">المشتبهات الاشتغال ؛ لأنّ الاشتغال اليقيني بصرف الوجود يقتضي البراءة اليقينية ، ومع إتيان المشتبه يشكّ في البراءة ؛ كما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لا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تحصيل هذه الصفة لنفسه ، ومع ارتكاب المشكوك فيه يشكّ في إطاعة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تعلّق النهي بالصرف ، ويكون الأفراد من قبيل المحصّلات من غير تعلّق نهي بها ، يكون الأصل هو البراءة ؛ لأنّ النهي ليس 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باب النواهي</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مقتضاه كالأمر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إذا تعلّق بالترك لا بدّ مع الاشتغال اليقيني بهذا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عهدته يقيناً ، بل يكون مفاد النهي هو الزجر عن الطبيعة ، ومع الشكّ في كون الخارج محصّل الطبيعة أو مصداقها لا يكون النهي حجّة عليه عقلاً بالنسبة إلى المشكوك فيه ، كما قلنا في الانحلاليات ، ولا فارق بينهما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تعلّق الأمر والنهي بالمجموع ؛ فإنّ مقتضى تعلّق الأمر به هو الاشتغال ؛ لأ نّه مع ترك المشكوك فيه يشكّ في صدق المجموع على البقيّة ، ومقتضى الأمر هو الاشتغال بالمجموع ، فلا بدّ من البراءة اليقينية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وقياسه بالأقلّ والأكثر الارتباطي مع الفارق ؛ فإنّ فيما نحن فيه تعلّق الأمر بعنوان يشكّ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انطباقه على الخارج ، وفي الأقلّ والأكثر لو كان الأمر كذلك لا محيص من الاشتغال ، فإذا أمر بالصلاة ، وشكّ في جزء مع الشكّ في كونه مقوّماً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مع فقدانه شكّ في صدق الصلاة على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w:t>
      </w:r>
    </w:p>
    <w:p>
      <w:pPr>
        <w:pStyle w:val="BookText"/>
        <w:rPr/>
      </w:pPr>
      <w:r>
        <w:rPr>
          <w:rFonts w:ascii="Amiri" w:hAnsi="Amiri" w:eastAsia="Amiri" w:cs="Amiri"/>
          <w:color w:val="111111"/>
          <w:sz w:val="28"/>
          <w:sz w:val="28"/>
          <w:szCs w:val="28"/>
          <w:rtl w:val="true"/>
          <w:lang w:bidi="ar-SA"/>
        </w:rPr>
        <w:t xml:space="preserve">في لزوم الاحتياط والبراءة اليقينية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النهي إذا تعلّق بالمجموع فلا يكون حجّة على المشكوك فيه ، لما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مفاده الزجر عن متعلّقه ، لا طلب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يظهر الحال في مقتضى الأمر والنهي المتعلّقين بالطبائع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الأصل المحرز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تعلّق النهي بالطبيعة بنحو العامّ الاُصولي ويكون الأفراد موضوعة استقلالاً ، فلا إشكال في أنّ استصحاب الخمرية يحرز الموضوع ، واستصحاب عدم الخمرية يخرجه عن تحت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النهي متعلّقاً بالصرف أو يرجع إلى إيجاب عُدولي ، فاستصحاب عدم الخمرية لا يثبت أنّ ارتكابه لا يكون محصّلاً للصرف ، ولا يثبت أنّ بارتكابه لا يخرج عن وصف اللا شاربية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استصحاب عدم كونه مرتكباً للخمر إذا شرب المشكوك فيه ، أو استصحاب كونه لا شارب الخمر إذا شرب المشكوك فيه ، أو بعد شربه ، يفيد في تجويز الارتكاب له ؟ لا يخلو من إشكال </w:t>
      </w:r>
      <w:r>
        <w:rPr>
          <w:rFonts w:eastAsia="Amiri" w:cs="Amiri" w:ascii="Amiri" w:hAnsi="Amiri"/>
          <w:color w:val="111111"/>
          <w:sz w:val="28"/>
          <w:szCs w:val="28"/>
          <w:rtl w:val="true"/>
          <w:lang w:bidi="ar-SA"/>
        </w:rPr>
        <w:t xml:space="preserve">. </w:t>
      </w:r>
      <w:bookmarkStart w:id="124" w:name="pg12132_127891"/>
    </w:p>
    <w:p>
      <w:pPr>
        <w:pStyle w:val="BookText"/>
        <w:rPr/>
      </w:pPr>
      <w:bookmarkEnd w:id="124"/>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p>
    <w:p>
      <w:pPr>
        <w:pStyle w:val="Heading2"/>
        <w:numPr>
          <w:ilvl w:val="1"/>
          <w:numId w:val="1"/>
        </w:numPr>
        <w:rPr/>
      </w:pPr>
      <w:bookmarkStart w:id="125" w:name="__RefHeading___Toc3352642_417432637"/>
      <w:bookmarkStart w:id="126" w:name="_Toc42"/>
      <w:bookmarkEnd w:id="125"/>
      <w:r>
        <w:rPr>
          <w:rtl w:val="true"/>
        </w:rPr>
        <w:t xml:space="preserve">المسألة الاُولى </w:t>
      </w:r>
      <w:r>
        <w:rPr>
          <w:rtl w:val="true"/>
        </w:rPr>
        <w:t xml:space="preserve">: </w:t>
      </w:r>
      <w:r>
        <w:rPr>
          <w:rtl w:val="true"/>
        </w:rPr>
        <w:t>في دوران الأمر بين التعيين</w:t>
      </w:r>
      <w:bookmarkEnd w:id="126"/>
    </w:p>
    <w:p>
      <w:pPr>
        <w:pStyle w:val="BookText"/>
        <w:rPr/>
      </w:pPr>
      <w:r>
        <w:rPr>
          <w:rFonts w:ascii="Amiri" w:hAnsi="Amiri" w:eastAsia="Amiri" w:cs="Amiri"/>
          <w:color w:val="111111"/>
          <w:sz w:val="28"/>
          <w:sz w:val="28"/>
          <w:szCs w:val="28"/>
          <w:rtl w:val="true"/>
          <w:lang w:bidi="ar-SA"/>
        </w:rPr>
        <w:t>في دوران الأمر بين التعيين</w:t>
      </w:r>
    </w:p>
    <w:p>
      <w:pPr>
        <w:pStyle w:val="BookText"/>
        <w:rPr/>
      </w:pPr>
      <w:r>
        <w:rPr>
          <w:rFonts w:ascii="Amiri" w:hAnsi="Amiri" w:eastAsia="Amiri" w:cs="Amiri"/>
          <w:color w:val="111111"/>
          <w:sz w:val="28"/>
          <w:sz w:val="28"/>
          <w:szCs w:val="28"/>
          <w:rtl w:val="true"/>
          <w:lang w:bidi="ar-SA"/>
        </w:rPr>
        <w:t>والتخيير وأنّ الأصل فيه البراءة أو الاحتياط</w:t>
      </w:r>
    </w:p>
    <w:p>
      <w:pPr>
        <w:pStyle w:val="BookText"/>
        <w:rPr/>
      </w:pPr>
      <w:r>
        <w:rPr>
          <w:rFonts w:ascii="Amiri" w:hAnsi="Amiri" w:eastAsia="Amiri" w:cs="Amiri"/>
          <w:color w:val="111111"/>
          <w:sz w:val="28"/>
          <w:sz w:val="28"/>
          <w:szCs w:val="28"/>
          <w:rtl w:val="true"/>
          <w:lang w:bidi="ar-SA"/>
        </w:rPr>
        <w:t xml:space="preserve">وتنقيح البحث يستدعي رسم اُمور </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3352644_417432637"/>
      <w:bookmarkStart w:id="128" w:name="_Toc43"/>
      <w:bookmarkEnd w:id="127"/>
      <w:r>
        <w:rPr>
          <w:rtl w:val="true"/>
        </w:rPr>
        <w:t xml:space="preserve">الأمر الأوّل </w:t>
      </w:r>
      <w:r>
        <w:rPr>
          <w:rtl w:val="true"/>
        </w:rPr>
        <w:t xml:space="preserve">: </w:t>
      </w:r>
      <w:r>
        <w:rPr>
          <w:rtl w:val="true"/>
        </w:rPr>
        <w:t>حقيقة الواجب التخييري</w:t>
      </w:r>
      <w:bookmarkEnd w:id="128"/>
    </w:p>
    <w:p>
      <w:pPr>
        <w:pStyle w:val="BookText"/>
        <w:rPr/>
      </w:pPr>
      <w:r>
        <w:rPr>
          <w:rFonts w:ascii="Amiri" w:hAnsi="Amiri" w:eastAsia="Amiri" w:cs="Amiri"/>
          <w:color w:val="111111"/>
          <w:sz w:val="28"/>
          <w:sz w:val="28"/>
          <w:szCs w:val="28"/>
          <w:rtl w:val="true"/>
          <w:lang w:bidi="ar-SA"/>
        </w:rPr>
        <w:t xml:space="preserve">هل الواجب التخييري قسم خاصّ من الواجب متعلّق بشيئين أو الأشياء على سبيل الترديد الواقعي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كما يمكن أن تتعلّق بشيء معيّن يمكن أن تتعلّق بشيئين على سبيل التردّد الواقعي ، وكذلك البعث والإيجاب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سنخ من الوجوب في مقابل التعييني ، وليس قسماً منه</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أم يرجع إلى الواجب التعييني بحسب اللبّ ، وأنّ الواجب هو القدر الجامع بين الأطراف ، ويكون الأمر المتعلّق بها على سبيل الترديد إرشاداً عقلياً إلى مصاديق الجامع ؛ حيث لا طريق للعقل إلى إدراكه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في كيفية إنشاء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عبارة عن تقييد إطلاق الخطاب المتعلّق بكلّ فرد من الأفراد بما إذا لم يأت المكلّف بعدله ، فيكون كلّ </w:t>
      </w:r>
      <w:bookmarkStart w:id="129" w:name="pg12132_127892"/>
    </w:p>
    <w:p>
      <w:pPr>
        <w:pStyle w:val="BookText"/>
        <w:rPr/>
      </w:pPr>
      <w:bookmarkEnd w:id="129"/>
      <w:r>
        <w:rPr>
          <w:rFonts w:ascii="Amiri" w:hAnsi="Amiri" w:eastAsia="Amiri" w:cs="Amiri"/>
          <w:color w:val="111111"/>
          <w:sz w:val="28"/>
          <w:sz w:val="28"/>
          <w:szCs w:val="28"/>
          <w:rtl w:val="true"/>
          <w:lang w:bidi="ar-SA"/>
        </w:rPr>
        <w:t>طرف مشروطاً بعدم إتيان عدله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هو الأوّل ؛ بشهادة الوجدان به ، وعدم الدليل على امتناعه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تأثير الكثير في الواحد ؛ لأنّ الواحد لا يصدر إلاّ من الواحد ، كما أنّ الواحد لا يصدر منه إلاّ الواحد</w:t>
      </w:r>
      <w:r>
        <w:rPr>
          <w:rStyle w:val="FootnoteAnchor"/>
          <w:rtl w:val="true"/>
        </w:rPr>
        <w:footnoteReference w:id="165"/>
      </w:r>
      <w:r>
        <w:rPr>
          <w:rFonts w:ascii="Amiri" w:hAnsi="Amiri" w:eastAsia="Amiri" w:cs="Amiri"/>
          <w:color w:val="111111"/>
          <w:sz w:val="28"/>
          <w:sz w:val="28"/>
          <w:szCs w:val="28"/>
          <w:rtl w:val="true"/>
          <w:lang w:bidi="ar-SA"/>
        </w:rPr>
        <w:t>أجنبيّ عن مثل المقام كما هو واضح عند أهله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هذا ، مع أنّ الوجوب منتزع من البعث ، فإذا تعلّق تخييراً يكون الواجب تخييرياً ، وإن كان المؤثّر لتحصيل الملاك هو الجامع الواحد على فرض صحّة إجراء القاعدة في مثل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3352646_417432637"/>
      <w:bookmarkStart w:id="131" w:name="_Toc44"/>
      <w:bookmarkEnd w:id="130"/>
      <w:r>
        <w:rPr>
          <w:rtl w:val="true"/>
        </w:rPr>
        <w:t xml:space="preserve">الأمر الثاني </w:t>
      </w:r>
      <w:r>
        <w:rPr>
          <w:rtl w:val="true"/>
        </w:rPr>
        <w:t xml:space="preserve">: </w:t>
      </w:r>
      <w:r>
        <w:rPr>
          <w:rtl w:val="true"/>
        </w:rPr>
        <w:t>أقسام الواجب التخييري</w:t>
      </w:r>
      <w:bookmarkEnd w:id="131"/>
    </w:p>
    <w:p>
      <w:pPr>
        <w:pStyle w:val="BookText"/>
        <w:rPr/>
      </w:pPr>
      <w:r>
        <w:rPr>
          <w:rFonts w:ascii="Amiri" w:hAnsi="Amiri" w:eastAsia="Amiri" w:cs="Amiri"/>
          <w:color w:val="111111"/>
          <w:sz w:val="28"/>
          <w:sz w:val="28"/>
          <w:szCs w:val="28"/>
          <w:rtl w:val="true"/>
          <w:lang w:bidi="ar-SA"/>
        </w:rPr>
        <w:t xml:space="preserve">قد قسّم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التخييري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التخييري الابتدائي ، كخصال الكفّارات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التخييري الناشئ من تزاحم الحكمين في مقام الامتثال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هذا التخيير يعرض للخطابين بعد ما كانا عينيّين يمتاز عن القسم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الناشئ من تعارض النصّين مع تساويهما في مرجّحات باب التعارض ؛ فإنّه 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آخر من التخيير أجنبيّ عن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بناءً على السببية يكون التخيير بينهما من قبيل باب التزاحم</w:t>
      </w:r>
      <w:r>
        <w:rPr>
          <w:rStyle w:val="FootnoteAnchor"/>
          <w:rtl w:val="true"/>
        </w:rPr>
        <w:footnoteReference w:id="167"/>
      </w:r>
      <w:r>
        <w:rPr>
          <w:rFonts w:ascii="IRNazanin" w:hAnsi="IRNazanin" w:eastAsia="IRNazanin"/>
          <w:color w:val="111111"/>
          <w:sz w:val="28"/>
          <w:sz w:val="28"/>
          <w:szCs w:val="28"/>
          <w:rtl w:val="true"/>
          <w:lang w:bidi="fa-IR"/>
        </w:rPr>
        <w:t xml:space="preserve">، انتهى محصّله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التخيير الناشئ من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قسماً في مقابل القسم الأوّل ؛ فإنّ الاختلاف في المخيّر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أحدهما مسألة فقهية والآخر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اختلافاً في الواجب التخييري ، وإلاّ تتكثّر الأقسام حسب تكثّر المتعلّقات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الناشئ من تعارض النصّين مفترق عن الابتدائي ؛ بأنّ في التخيير الابتدائي يكون كلّ من الأطراف واجداً للملاك ووافياً للغرض ، بخلاف تخيير باب التعارض ؛ فإنّ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للواقع ، وغير واجد للملاك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التخييرات الابتدائية يكون التخيير ناشئاً من خصوصية في كلّ من الأطراف ، يكون بتلك الخصوصية مسقطاً للغرض؛ لاستيفاء الملاك ، بخلاف التخيير في باب التعارض ؛ فإنّه ناشٍ من نوعية أداء أحدهما للواقع من غير إمكان معرفته ، ولمّا كان ما يكون مطابقاً للواقع مجهولاً نشأ التخيير الإلجائي على حذو التخيير في أطراف العلم الإجمالي الذي يكون المكلّف مضطرّاً إلى ارتكاب أحدها لا بعينه ، فيكون حكم العقل بالتخيير في إتيان </w:t>
      </w:r>
    </w:p>
    <w:p>
      <w:pPr>
        <w:pStyle w:val="BookText"/>
        <w:rPr/>
      </w:pPr>
      <w:r>
        <w:rPr>
          <w:rFonts w:ascii="Amiri" w:hAnsi="Amiri" w:eastAsia="Amiri" w:cs="Amiri"/>
          <w:color w:val="111111"/>
          <w:sz w:val="28"/>
          <w:sz w:val="28"/>
          <w:szCs w:val="28"/>
          <w:rtl w:val="true"/>
          <w:lang w:bidi="ar-SA"/>
        </w:rPr>
        <w:t xml:space="preserve">أحدها ناشئاً من الاحتياط للتوصّل إلى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الشرعي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سقوطهما عن الحجّية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حذو التخييرات الشرعية الابتدائية ؛ فإنّها عبارة</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نحو تعلّق للإرادة بالطرفين على سبيل التردّد الواقعي ، والتخيير في باب التعارض يكون لأجل التحفّظ على واقع معيّن في علم اللّه لا يمكن تعريفه للمكلّف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قسم آخر يباين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اختلافاً في التخيير حتّى يختلف القسمان ، بل اختلاف في متعلّقه ممّا لا يكون مناطاً لتكثير أقسامه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قسماً للتخيير مخالفاً في حيثية التخيير عن أخويه ، فتدبّر</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ثمّ إنّه يرد عليه إشكال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الأمر في المتزاحمين ليس كما زعم من تقييد التكليف عقلاً وصيرورة التكليف بعد ذلك من قبيل الواجب المخيّرأ ، وقد حقّقنا ذلك بما لا مزيد عليه في باب الترتّب ،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132_127895"/>
    </w:p>
    <w:p>
      <w:pPr>
        <w:pStyle w:val="Heading2"/>
        <w:numPr>
          <w:ilvl w:val="1"/>
          <w:numId w:val="1"/>
        </w:numPr>
        <w:rPr/>
      </w:pPr>
      <w:bookmarkStart w:id="133" w:name="__RefHeading___Toc3352648_417432637"/>
      <w:bookmarkStart w:id="134" w:name="_Toc45"/>
      <w:bookmarkEnd w:id="132"/>
      <w:bookmarkEnd w:id="133"/>
      <w:r>
        <w:rPr>
          <w:rtl w:val="true"/>
        </w:rPr>
        <w:t xml:space="preserve">الأمر الثالث </w:t>
      </w:r>
      <w:r>
        <w:rPr>
          <w:rtl w:val="true"/>
        </w:rPr>
        <w:t xml:space="preserve">: </w:t>
      </w:r>
      <w:r>
        <w:rPr>
          <w:rtl w:val="true"/>
        </w:rPr>
        <w:t>حكم الشكّ في اشتراط التكليف في مرحلة البقاء</w:t>
      </w:r>
      <w:bookmarkEnd w:id="134"/>
    </w:p>
    <w:p>
      <w:pPr>
        <w:pStyle w:val="BookText"/>
        <w:rPr/>
      </w:pPr>
      <w:r>
        <w:rPr>
          <w:rFonts w:ascii="Amiri" w:hAnsi="Amiri" w:eastAsia="Amiri" w:cs="Amiri"/>
          <w:color w:val="111111"/>
          <w:sz w:val="28"/>
          <w:sz w:val="28"/>
          <w:szCs w:val="28"/>
          <w:rtl w:val="true"/>
          <w:lang w:bidi="ar-SA"/>
        </w:rPr>
        <w:t xml:space="preserve">يعتبر في جريان البراءة العقلية الشكّ في أصل التكليف من غير اعتبار شيء آخر فيه ، من كون وضعه ورفعه بيد الشارع ابتداءً أو مع الواسطة ، ومن غير أن يكون في رفعه منّة على العباد أو لا ، أو يكون في وضعه ضيق عليهم أو لا ، أو يكون من الاُمور الوجودية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المناط هو عدم تمامية الحجّة على العبد ، وكون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ميزان الاشتغال هو الشكّ في السقوط بعد تمامية الحجّة ، ووصول البيان ، من غير اعتبار شيء آخر ؛ وهذا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أفاده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في اشتراط التكليف في مرحلة البقاء والاستمرار يرجع إلى الشكّ في السقوط ، والأصل فيه الاشتغال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يمكن أن يكون التكليف في عالم الثبوت والتشريع مشروطاً كاشتراط الحجّ بالاستطاعة ، كذلك يمكن أن يحدث للتكليف الاشتراط في مرحلة البقاء بعد ما كان مطلقاً في مرحلة الثبوت والحدوث ، كما لو فرض اشتراط بقاء التكليف بالصلاة بعدم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الفرضان متعاكسان في جريان البراءة والاشتغال عند الشكّ ؛ فإنّ الأصل في الأوّل البراءة ، وفي الثاني الاشتغال ؛ لأنّ حقيقة الشكّ في الثاني يرجع إلى أنّ الصيام في المثال هل </w:t>
      </w:r>
    </w:p>
    <w:p>
      <w:pPr>
        <w:pStyle w:val="BookText"/>
        <w:rPr/>
      </w:pPr>
      <w:r>
        <w:rPr>
          <w:rFonts w:ascii="Amiri" w:hAnsi="Amiri" w:eastAsia="Amiri" w:cs="Amiri"/>
          <w:color w:val="111111"/>
          <w:sz w:val="28"/>
          <w:sz w:val="28"/>
          <w:szCs w:val="28"/>
          <w:rtl w:val="true"/>
          <w:lang w:bidi="ar-SA"/>
        </w:rPr>
        <w:t>يكون مسقطاً للتكليف بالصلاة أو لا ؟ وذلك واضح</w:t>
      </w:r>
      <w:r>
        <w:rPr>
          <w:rStyle w:val="FootnoteAnchor"/>
          <w:rtl w:val="true"/>
        </w:rPr>
        <w:footnoteReference w:id="17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الاشتراط في مرحلة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الاشتراط في الواجب التخييري ؛ من كون كلّ من التكليفين مشروطاً بعدم إتيان الآخر ، بناءً على رجوع الواجب التخييري إلى تقييد إطلاق كلّ من الطرفين بعدم إتيان الآخر ، ففي مثل خصال الكفّارات يكون كلّ من الأطراف مقيّداً بعدم إتيان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قلنا برجوع الواجب التخييري إلى تقييد الإطلاق لا يرجع الشكّ إلى مرحلة البقاء والاستمرار ، بل يرجع إلى مرحلة الثبوت ؛ لأنّ تقييد ما يكون مطلقاً بحسب اللبّ والثبوت محال يرجع إلى البداء المستحيل ، فيكون التكليف واقعاً ؛ إمّا مطلقاً أتى بالآخر أو لا ، وإمّا مشروطاً بعدم إتيان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اشتراط التكليف بين أن يكون شرطه إتيان شيء أو حصول شيء ، فالحجّ مشروط بحصول الاستطاعة ، والواجب التخييري يرجع 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الاشتراط بعدم الإتيان بصاحبه ، فيكون التكليف في مرحلة الثبوت والحدوث مشروطاً بعدم إتيان الآخر ، فيرجع الشكّ إلى الشكّ في التكليف المطلق ، والأصل فيه يقتضي البراءة ؛ لأنّ حجّة المولى لم تكن تامّة بالنسبة إلى الطرف بعد الإتيان بصاحبه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قبل الإتيان بصاحبه كان مطلقاً ، وبالإتيان </w:t>
      </w:r>
      <w:bookmarkStart w:id="135" w:name="pg12132_127897"/>
    </w:p>
    <w:p>
      <w:pPr>
        <w:pStyle w:val="BookText"/>
        <w:rPr/>
      </w:pPr>
      <w:bookmarkEnd w:id="135"/>
      <w:r>
        <w:rPr>
          <w:rFonts w:ascii="Amiri" w:hAnsi="Amiri" w:eastAsia="Amiri" w:cs="Amiri"/>
          <w:color w:val="111111"/>
          <w:sz w:val="28"/>
          <w:sz w:val="28"/>
          <w:szCs w:val="28"/>
          <w:rtl w:val="true"/>
          <w:lang w:bidi="ar-SA"/>
        </w:rPr>
        <w:t xml:space="preserve">صار مشروطاً ؛ لعدم تعقّل صيرورة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كذلك ، فالتكليف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 مطلقاً ، وإمّا مشروط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عند حصول الشرط في المشروط يصير التكليف المشروط فعلياً ؛ لتحقّق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لما أفاده في الواجبات التي تكون شروطها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فيما إذا كان الشكّ في الشروط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الشكّ إلى السقوط ، والأصل فيه الاشتغال ؛ لأنّ التكليف من قبل المولى مطلق ، والملاك تامّ ، ويكون تقييد الإطلاق في مورد عدم القدرة عقلياً ، ومن قبيل تفويت المصلحة اضطراراً </w:t>
      </w:r>
      <w:r>
        <w:rPr>
          <w:rStyle w:val="FootnoteAnchor"/>
          <w:rtl w:val="true"/>
        </w:rPr>
        <w:footnoteReference w:id="171"/>
      </w:r>
      <w:r>
        <w:rPr>
          <w:rFonts w:ascii="Amiri" w:hAnsi="Amiri" w:eastAsia="Amiri" w:cs="Amiri"/>
          <w:color w:val="111111"/>
          <w:sz w:val="28"/>
          <w:sz w:val="28"/>
          <w:szCs w:val="28"/>
          <w:rtl w:val="true"/>
          <w:lang w:bidi="ar-SA"/>
        </w:rPr>
        <w:t xml:space="preserve">، وفي مثل ذلك يحكم العقل بالاحتياط إلاّ إذا ثبت المؤمّن ، فإذا شكّ المكلّف في القدرة لا يجوز له القعود عن التكليف حتّى يثبت له عجزه ، وإلاّ تكون حجّة المولى عليه تامّة ، بخلاف الشرط الشرعي ؛ فإنّه من قيود الموضوع لبّاً ، والفرق بينهما واضح لا يحتاج إلى تجشّم الاستدلال </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3352650_417432637"/>
      <w:bookmarkStart w:id="137" w:name="_Toc46"/>
      <w:bookmarkEnd w:id="136"/>
      <w:r>
        <w:rPr>
          <w:rtl w:val="true"/>
        </w:rPr>
        <w:t xml:space="preserve">الأمر الرابع </w:t>
      </w:r>
      <w:r>
        <w:rPr>
          <w:rtl w:val="true"/>
        </w:rPr>
        <w:t xml:space="preserve">: </w:t>
      </w:r>
      <w:r>
        <w:rPr>
          <w:rtl w:val="true"/>
        </w:rPr>
        <w:t>في أنحاء الشكّ في التعيين والتخيير</w:t>
      </w:r>
      <w:bookmarkEnd w:id="13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 في التعيين والتخيير قد يكون بعد العلم بتوجّه الخطاب بأحد الشيئين في أنّ وجوبه يكون تعيينياً أو يكون شيء آخر عدله ، وقد يكون بعد العلم بتوجّه الخطاب بشيئين في أنّ وجوبهما يكون على سبيل التعيين أو التخيير ، وقد يكون بعد العلم بتعلّق التكليف بشيء وجوباً وسقوطه بإتيان شيء آخر ، لكن يشكّ في أ نّه عدله ، أو يكون مباحاً أو مستحبّاً مسقطاً للواجب </w:t>
      </w:r>
      <w:r>
        <w:rPr>
          <w:rFonts w:eastAsia="Amiri" w:cs="Amiri" w:ascii="Amiri" w:hAnsi="Amiri"/>
          <w:color w:val="111111"/>
          <w:sz w:val="28"/>
          <w:szCs w:val="28"/>
          <w:rtl w:val="true"/>
          <w:lang w:bidi="ar-SA"/>
        </w:rPr>
        <w:t xml:space="preserve">. </w:t>
      </w:r>
      <w:bookmarkStart w:id="138" w:name="pg12132_127898"/>
    </w:p>
    <w:p>
      <w:pPr>
        <w:pStyle w:val="Heading2"/>
        <w:numPr>
          <w:ilvl w:val="1"/>
          <w:numId w:val="1"/>
        </w:numPr>
        <w:rPr/>
      </w:pPr>
      <w:bookmarkStart w:id="139" w:name="__RefHeading___Toc3352652_417432637"/>
      <w:bookmarkStart w:id="140" w:name="_Toc47"/>
      <w:bookmarkEnd w:id="138"/>
      <w:bookmarkEnd w:id="139"/>
      <w:r>
        <w:rPr>
          <w:rtl w:val="true"/>
        </w:rPr>
        <w:t>في مقتضى الأصل في الأنحاء الثلاثة</w:t>
      </w:r>
      <w:bookmarkEnd w:id="140"/>
    </w:p>
    <w:p>
      <w:pPr>
        <w:pStyle w:val="BookText"/>
        <w:rPr/>
      </w:pPr>
      <w:r>
        <w:rPr>
          <w:rFonts w:ascii="Amiri" w:hAnsi="Amiri" w:eastAsia="Amiri" w:cs="Amiri"/>
          <w:color w:val="111111"/>
          <w:sz w:val="28"/>
          <w:sz w:val="28"/>
          <w:szCs w:val="28"/>
          <w:rtl w:val="true"/>
          <w:lang w:bidi="ar-SA"/>
        </w:rPr>
        <w:t xml:space="preserve">وليعلم أنّ موضوع البحث هو مقتضى الأصل العقلي أو الشرعي ، مع قطع النظر عن ظهور الأوامر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النحو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التعيين والتخيير بعد العلم بتعلّق التكليف بأحد الشيئين ، كما إذا شكّ في أنّ الشيء الفلاني عدل لهذا الواجب أو لا ، ويكون التخيير من التخييرات الابتدائية الشرعية ؛ أي القسم الأوّل من التخيير ، فهل الأصل العقلي يقتضي البراءة عن التعيينية أو الاحتياط ؟</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قلنا بأنّ الواجب التخييري يرجع إلى الواجبين أو الواجبات المشروطة بعدم إتيان ما بقي ، فالأصل فيه البراءة ؛ لأنّ الشكّ يرجع إلى الإطلاق والاشتراط في التكليف ، فمع الإتيان ببعض الأطراف يشكّ في أصل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المحقّق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يرجع إلى السقوط ؛ لأنّ التقييد إنّما يكون في مرحلة البقاء والاستمرار</w:t>
      </w:r>
      <w:r>
        <w:rPr>
          <w:rStyle w:val="FootnoteAnchor"/>
          <w:rtl w:val="true"/>
        </w:rPr>
        <w:footnoteReference w:id="172"/>
      </w:r>
      <w:r>
        <w:rPr>
          <w:rFonts w:ascii="Amiri" w:hAnsi="Amiri" w:eastAsia="Amiri" w:cs="Amiri"/>
          <w:color w:val="111111"/>
          <w:sz w:val="28"/>
          <w:sz w:val="28"/>
          <w:szCs w:val="28"/>
          <w:rtl w:val="true"/>
          <w:lang w:bidi="ar-SA"/>
        </w:rPr>
        <w:t>قد عرفت ما فيه</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التكليف مطلقاً ، وشكّ في سقوطه بإتيان شيء آخر من غير اشتراطه شرعاً بعدم إتيانه ، كان الشكّ في السقوط ، لكنّه خلاف المفروض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بأنّ الواجب التخييري يرجع إلى التخيير العقلي الذي كشف عنه </w:t>
      </w:r>
    </w:p>
    <w:p>
      <w:pPr>
        <w:pStyle w:val="BookText"/>
        <w:rPr/>
      </w:pPr>
      <w:r>
        <w:rPr>
          <w:rFonts w:ascii="Amiri" w:hAnsi="Amiri" w:eastAsia="Amiri" w:cs="Amiri"/>
          <w:color w:val="111111"/>
          <w:sz w:val="28"/>
          <w:sz w:val="28"/>
          <w:szCs w:val="28"/>
          <w:rtl w:val="true"/>
          <w:lang w:bidi="ar-SA"/>
        </w:rPr>
        <w:t xml:space="preserve">الشارع ، ويكون الجامع بين الأطراف واجباً شرعياً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إنّ الأمر دائر بين وجوب قدر الجامع بين الفرد وصاحبه وبين وجوب الخصوصية ، فيكون من صغريات المطلق والمقيّد ، والأصل فيه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إنّ التكليف بالخاصّ هاهنا معلوم يجب الخروج عن عهدته ، ولا يكون الجامع معلوم الوجوب بما أ نّه جامع والقيد مشكوكاً فيه ، كما في المطلق والمقيّد ؛ فإنّ المطلق هناك معلوم الوجوب والقيد مشكوك فيه فيرفع بالأصل ، بخلاف ما نحن فيه ؛ فإنّ الجامع لا يكون متعلّق التكليف على أيّ حال ، بل هو واجب على فرض الوجوب التخييري ، فالتكليف بالخاصّ معلوم يجب البراءة منه عقلاً ، وإتيان الفرد الآخر لا يوجب البراءة عن التكليف المتعلّق بأمر معلوم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قلنا بأنّ الواجب التخييري سنخ آخر من الوجوب متعلّق بالأطراف على نحو التردّد الواقعي ، ففي جريان البراءة أو الاشتغال أيضاً وجهان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حيث إنّ الحجّة من قبل المولى لم تتمّ إلاّ بتكليف مردّد بين التعيّنية المقتضية لإتيان الفرد الخاصّ ، والتخييرية الغير المقتضية إلاّ لعدم ترك جميع </w:t>
      </w:r>
    </w:p>
    <w:p>
      <w:pPr>
        <w:pStyle w:val="BookText"/>
        <w:rPr/>
      </w:pPr>
      <w:r>
        <w:rPr>
          <w:rFonts w:ascii="Amiri" w:hAnsi="Amiri" w:eastAsia="Amiri" w:cs="Amiri"/>
          <w:color w:val="111111"/>
          <w:sz w:val="28"/>
          <w:sz w:val="28"/>
          <w:szCs w:val="28"/>
          <w:rtl w:val="true"/>
          <w:lang w:bidi="ar-SA"/>
        </w:rPr>
        <w:t xml:space="preserve">الأطراف ، فما قامت به الحجّة هو عدم جواز ترك الأطراف ، وأمّا وجوب الخصوصية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إنّ الحجّة قامت على الفرد الخاصّ ؛ فإنّه واجب بلا إشكال ، والاشتغال اليقيني يوجب البراءة اليقينية ، ولا يمكن البراءة بفرد أجنبيّ لدى العقل ، ولا عذر للمكلّف في ترك التكليف المعلوم وإتيان الفرد المشكوك فيه بتوهّم كونه أحد طرفي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التخييري إن كان من قبيل الواجبات المشروطة ، فالأصل في دوران الأمر بينه وبين الواجب التعييني البراءة ، وإلاّ فالأصل هو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البراءة الشرعية فالظاهر عدم جريانها ؛ لأنّ رفع التعيينية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كون الفرد المشكوك الوجوب طرفاً لمعلوم الوجوب ؛ حتّى يجوز الاكتفاء به عن الفرد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ذكرنا يتّضح الأمر في الفرض الآخر من الشكّ في التعيين والتخيير ، وهو ما إذا علم توجّه التكليف بشيئين وشكّ في التعيين والتخيير ، فإنّ الأصل فيه أيضاً البراءة إذا رجع التكليف التخييري إلى الواجبات المشروطة ، والاشتغال على غيره ، وإن كان احتمال البراءة في هذا الفرض أقرب من الفرض السابق ، مع كون الواجب التخييري سنخاً آخر من الوجوب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تعلّق الوجوب بالفردين يقيني قامت الحجّة عليه ، وأمّا كيفية تعلّقه بهما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 نّه على سبيل التعيين حتّى يجب الإتيان بهما ، أو على سبيل التخيير حتّى لا يجب إلاّ الإتيان بواحد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معلوم ، وليس للمولى حجّة على التعيينية ؛ لأنّ المردّد بين الأمرين لا يكون حجّة على أحدهما ، فليس للمولى المؤاخذة على ترك البقيّة بعد الإتيان بواحد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 نّه لا يبعد جريان البراءة الشرعية أيضاً عن تعيينية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يصغى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وصف التعيينية ليس وجودياً قابلاً للرفع</w:t>
      </w:r>
      <w:r>
        <w:rPr>
          <w:rStyle w:val="FootnoteAnchor"/>
          <w:rtl w:val="true"/>
        </w:rPr>
        <w:footnoteReference w:id="175"/>
      </w:r>
      <w:r>
        <w:rPr>
          <w:rFonts w:ascii="Amiri" w:hAnsi="Amiri" w:eastAsia="Amiri" w:cs="Amiri"/>
          <w:color w:val="111111"/>
          <w:sz w:val="28"/>
          <w:sz w:val="28"/>
          <w:szCs w:val="28"/>
          <w:rtl w:val="true"/>
          <w:lang w:bidi="ar-SA"/>
        </w:rPr>
        <w:t xml:space="preserve">؛ للمنع عن كونه عدمياً ؛ فإنّه ينتزع من تمركز الإرادة والإيجاب في شيء معيّن ، ولازمه عدم الاكتفاء بغيره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تقوّم جريان حديث الرفع بكون الشيء وجودياً ، وما ذكر في الضابط فيه ليس بشيء</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النحو الثالث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الوجه الثالث من وجوه الشكّ في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علم بتعلّق التكليف بأحد الشيئين ، وعلم أيضاً بأنّ الشيء الآخر مسقط للتكليف به ، ولكن شكّ في أنّ إسقاطه له لكونه عدلاً له أو لكونه مفوّتاً لموضوعه ، سواء كان إسقاطه من حيث كون عدمه شرطاً لملاك الواجب ، ويكون هو بالنسبة إليه مشروطاً ، أو كان إسقاطه من حيث كونه مانعاً عن </w:t>
      </w:r>
    </w:p>
    <w:p>
      <w:pPr>
        <w:pStyle w:val="BookText"/>
        <w:rPr/>
      </w:pPr>
      <w:r>
        <w:rPr>
          <w:rFonts w:ascii="Amiri" w:hAnsi="Amiri" w:eastAsia="Amiri" w:cs="Amiri"/>
          <w:color w:val="111111"/>
          <w:sz w:val="28"/>
          <w:sz w:val="28"/>
          <w:szCs w:val="28"/>
          <w:rtl w:val="true"/>
          <w:lang w:bidi="ar-SA"/>
        </w:rPr>
        <w:t xml:space="preserve">استيفاء الملاك مع بقائه على ما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شكّ في ذلك وتردّد الأمر بين أن يكون من أفراد الواجب التخييري أو أحد الوجهين الآخرين ، فالأصل فيه يقتضي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التمكّن من إتيان ما هو متعلّق التكليف يجوز الاكتفاء بالطرف الآخر ؛ لأنّ كونه من قبيل الواجب المشروط أحد الاحتمالات ، ومع تردّد الواجب بين المطلق والمشروط فالأصل البراءة مع فقدان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احتمال كون المسقط مفوّتاً للملاك ومانعاً عن استيفائه ، لا يوجب استحقاق العقوبة مع عدم تمامية الحجّة بالنسبة إلى 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 بحثه</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عدم التمكّن من إتيان ما هو متعلّق التكليف ، فالأصل في الطرف الآخر المسقط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كونه أحد طرفي الواجب التخييري ، أو كونه مباحاً أو مستحبّاً مسقطاً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حال الشكّ في التعيين والتخيير مع القسم الأوّل من أقسام الواجب التخييري ، أي التخيير الشرعي الابتدائي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وهو تخيير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دار الأمر بين التخيير والتعيين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احتمل أقوائية ملاك أحدهما المعيّن ، كما إذا احتمل كون أحد الغريقين هاشمياً مع العلم بأهمّية إنقاذ الهاشمي أو احتمالها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فالأصل فيه الاشتغال ، لا لما ذكره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تقييد الإطلاق في مرحلة البقاء يقتضي الاشتغال</w:t>
      </w:r>
      <w:r>
        <w:rPr>
          <w:rStyle w:val="FootnoteAnchor"/>
          <w:rtl w:val="true"/>
        </w:rPr>
        <w:footnoteReference w:id="179"/>
      </w:r>
      <w:r>
        <w:rPr>
          <w:rFonts w:ascii="Amiri" w:hAnsi="Amiri" w:eastAsia="Amiri" w:cs="Amiri"/>
          <w:color w:val="111111"/>
          <w:sz w:val="28"/>
          <w:sz w:val="28"/>
          <w:szCs w:val="28"/>
          <w:rtl w:val="true"/>
          <w:lang w:bidi="ar-SA"/>
        </w:rPr>
        <w:t>؛ لما عرفت ما فيه</w:t>
      </w:r>
      <w:r>
        <w:rPr>
          <w:rStyle w:val="FootnoteAnchor"/>
          <w:rtl w:val="true"/>
        </w:rPr>
        <w:footnoteReference w:id="180"/>
      </w:r>
      <w:r>
        <w:rPr>
          <w:rFonts w:ascii="Amiri" w:hAnsi="Amiri" w:eastAsia="Amiri" w:cs="Amiri"/>
          <w:color w:val="111111"/>
          <w:sz w:val="28"/>
          <w:sz w:val="28"/>
          <w:szCs w:val="28"/>
          <w:rtl w:val="true"/>
          <w:lang w:bidi="ar-SA"/>
        </w:rPr>
        <w:t xml:space="preserve">، بل لأنّ التقييد هاهنا عقلي بعد تمامية الملاك والحجّة من قبل المولى ؛ فإنّ في مثله لا يجوز للعبد التقاعد عن تكليف مولاه بمجرّد الشكّ في التقييد ، نظير الشكّ في القدرة على امتثال أمره ؛ فإنّ العقل يحكم بالاشتغال وعدم جواز التقاعد عن الامتثال بمجرّد الشكّ ؛ كلّ ذلك لأنّ التكليف من قِبل المولى مطلق والملاك تامّ ، ومع الشكّ في العذر لا بدّ من قيامه بوظائف العبودية ، وليس الشكّ عذراً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التقييدات الشرعية والعقلية التي ترجع إلى العجز عن إتيان تكليفه بعد تمامية ملاكه ، فمع الشكّ في الإطلاق والتقييد الشرعيين الأصل البراءة ، وأمّا مع الشكّ في التقييد العقلي فالأصل الاشتغال</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لكن التحقيق هو البراءة والفرق بين المقام وباب الشكّ في القدرة ؛ لأنّ حجّة المولى في المقام لا تتمّ إلاّ بالنسبة إلى طبيعة إنقاذ الغريق ، ولا يمكن أن يصير مثل هذا الدليل حجّة على أمر زائد عن متعلّقه ، فالشكّ يرجع إلى تكليف زائد متوجّه إلى إنقاذ 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البراءة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تتمّة الحاشية في تصوير الأصل غير مقروء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الثالث من أقسام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التخيير لأجل تعارض الحجّتين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بالسببية في الأمارات ، وسلكنا مسلك </w:t>
      </w:r>
    </w:p>
    <w:p>
      <w:pPr>
        <w:pStyle w:val="BookText"/>
        <w:rPr/>
      </w:pPr>
      <w:r>
        <w:rPr>
          <w:rFonts w:ascii="Amiri" w:hAnsi="Amiri" w:eastAsia="Amiri" w:cs="Amiri"/>
          <w:color w:val="111111"/>
          <w:sz w:val="28"/>
          <w:sz w:val="28"/>
          <w:szCs w:val="28"/>
          <w:rtl w:val="true"/>
          <w:lang w:bidi="ar-SA"/>
        </w:rPr>
        <w:t>المنتسب إلى الأشعري</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قيام الأمارات سبب لحدوث مصلحة في المؤدّى تستتبع الحكم على طبقها ؛ بحيث لا يكون وراء المؤدّى حكم في حقّ من قامت لديه الأمارة ، وتكون الأحكام الواقعية مختصّة بالعالم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يقتضي البراءة عن التعيين لدى الشكّ ؛ لأنّ الشكّ في كون إحدى الأمارتين ذا المزيّة شكّ في حدوث التكليف على طبقها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فيما إذا سلكنا مسلك المنتسب إلى المعتزلي</w:t>
      </w:r>
      <w:r>
        <w:rPr>
          <w:rStyle w:val="FootnoteAnchor"/>
          <w:rtl w:val="true"/>
        </w:rPr>
        <w:footnoteReference w:id="183"/>
      </w:r>
      <w:r>
        <w:rPr>
          <w:rFonts w:ascii="Amiri" w:hAnsi="Amiri" w:eastAsia="Amiri" w:cs="Amiri"/>
          <w:color w:val="111111"/>
          <w:sz w:val="28"/>
          <w:sz w:val="28"/>
          <w:szCs w:val="28"/>
          <w:rtl w:val="true"/>
          <w:lang w:bidi="ar-SA"/>
        </w:rPr>
        <w:t xml:space="preserve">وهو سببية قيام الأمارة لحدوث مصلحة في المؤدّى تكون أقوى من مصلحة الواقع ، ويكون الحكم الفعلي تابعاً للمؤدّى ؛ فإنّ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المزيّة في إحدى الأمارتين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حدوث التكليف تابعاً لذي المزيّة ، والأصل فيه البراءة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سلكنا مسلك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الأمارة سبب لحدوث مصلحة في السلوك مع بقاء الواقع والمؤدّى على ما هما عليه ، بل المصلحة إنّما تكون في تطرّق الطريق وسلوك الأمارة</w:t>
      </w:r>
      <w:r>
        <w:rPr>
          <w:rStyle w:val="FootnoteAnchor"/>
          <w:rtl w:val="true"/>
        </w:rPr>
        <w:footnoteReference w:id="184"/>
      </w:r>
      <w:r>
        <w:rPr>
          <w:rFonts w:ascii="Amiri" w:hAnsi="Amiri" w:eastAsia="Amiri" w:cs="Amiri"/>
          <w:color w:val="111111"/>
          <w:sz w:val="28"/>
          <w:sz w:val="28"/>
          <w:szCs w:val="28"/>
          <w:rtl w:val="true"/>
          <w:lang w:bidi="ar-SA"/>
        </w:rPr>
        <w:t xml:space="preserve">، فللقول بأنّ الأصل يقتضي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 لصيرورة باب التعارض بناءً عليه كباب التزاحم ، فإن قلنا به هناك نقُله هاهنا ؛ لأنّ مناط باب التزاحم أن يكون كلّ من المتزاحمين واجداً للملاك ، والمتعارضان بناءً على السببية في خصوص </w:t>
      </w:r>
    </w:p>
    <w:p>
      <w:pPr>
        <w:pStyle w:val="BookText"/>
        <w:rPr/>
      </w:pPr>
      <w:r>
        <w:rPr>
          <w:rFonts w:ascii="Amiri" w:hAnsi="Amiri" w:eastAsia="Amiri" w:cs="Amiri"/>
          <w:color w:val="111111"/>
          <w:sz w:val="28"/>
          <w:sz w:val="28"/>
          <w:szCs w:val="28"/>
          <w:rtl w:val="true"/>
          <w:lang w:bidi="ar-SA"/>
        </w:rPr>
        <w:t xml:space="preserve">المسلك الثالث يكونان كذلك ؛ لأنّ في سلوك كلّ من الأمارتين ملاكاً تامّاً ، فيصيران من صغريات باب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المسلكين الآخرين فلا يصير من قبيل باب التزاحم ؛ لأنّ المؤدّى الواحد إذا قامت الأمارتان عليه يحكم إحداهما بوجوبه والاُخرى بحرمته مثلاً ، فحدث بمقتضاهما مصلحة ومفسدة فيه ، يقع بينهما الكسر والانكسار ، فيصير الحكم تابعاً للغالب منهما إن زاد ملاك أحدهما ، وإلاّ فتصير النتيجة التخيير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قامت أمارة على وجوب صلاة الجمعة ، واُخرى على حرمتها ، فحدثت بمقتضى كلّ منهما مصلحة ومفسدة فيها ، فإن كان إحدى الأمارتين ذات مزيّة مرجّحة تكشف عن غلبة الملاك في ذيها ، فيصير الحكم تابعاً لذيها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تساوتا بحسب المزيّة يكشف عن تساوي الملاكين ، فيحكم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 في إحداهما مزيّة يحكم بالبراءة ؛ للشكّ في حدوث الحكم الشرعي التابع للملاك ، وهذا بخلاف المسلك الثالث ؛ فإنّ متابعة كلّ من الأمارتين غير متابعة الاُخرى ، والفرض أنّ في تطرّق الطريق مصلحة وملاك يوجب الحكم ، فيصير من صغريات باب التزاحم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بالبراءة في المقام دون باب التزاحم ؛ لأنّ السرّ في الاشتغال هناك أنّ للمولى حكماً مطلقاً ذا ملاك متعلّقاً بكلّ واحد من الموضوعين ، وعند التزاحم بينهما يقيّد العقل إطلاقه ؛ لعجزه عن الجمع بينهما ، وفي التقييدات العقلية الراجعة إلى مقام الامتثال يكون الأصل الاشتغال ، والمولى لم يلاحظ ظرف المزاحمات ، ولم يقيّد حكمه بلحاظ باب التزاحم ، ولم يتكفّل ترجيح أحد </w:t>
      </w:r>
    </w:p>
    <w:p>
      <w:pPr>
        <w:pStyle w:val="BookText"/>
        <w:rPr/>
      </w:pPr>
      <w:r>
        <w:rPr>
          <w:rFonts w:ascii="Amiri" w:hAnsi="Amiri" w:eastAsia="Amiri" w:cs="Amiri"/>
          <w:color w:val="111111"/>
          <w:sz w:val="28"/>
          <w:sz w:val="28"/>
          <w:szCs w:val="28"/>
          <w:rtl w:val="true"/>
          <w:lang w:bidi="ar-SA"/>
        </w:rPr>
        <w:t xml:space="preserve">المتزاحمين ، بخلاف ما نحن فيه ؛ فإنّ حكم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بتبع قيام الأمارة وترجيح سلوكها على مصلحة الواقع ، وقد لاحظ المولى مقام تزاحم الأمارتين وترجيح إحداهما على الاُخرى ، وجعل الحكم تابعاً لذي المزيّة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الحكم عند حدوث المصلحة الراجحة بتبع قيام الأمارة التي هي ذو المزيّة ، فيرجع الشكّ في التعيين والتخيير إلى الشكّ في حدوث التكليف ، والأصل فيه البراءة ، تأ 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اتّضح بما ذكرنا من التفصيل على السببية ما في تقريرات بحث بعض الأعاظم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الكلام على السببية مطلقاً كالكلام في الغريقين عند احتمال أهمّية أحدهما المعيّن ، ويكون الباب من صغريات باب التزاحم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على السببية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الطريقية والكاشفية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تعارض الأمارتين وتساقطهما عقلاً والرجوع إلى الأدلّة الشرعية في الأخذ بالمرجّحات ، يكون الأصل لدى الشكّ في التعيين والتخيير الناشئ عن الشكّ في المزيّة الاشتغالَ ؛ لرجوعه إلى الشكّ في حجّية الأمارة التي ليس فيها احتمال المزيّة ، والأصل عدم الحجّية عند الشكّ فيها </w:t>
      </w:r>
      <w:r>
        <w:rPr>
          <w:rFonts w:eastAsia="Amiri" w:cs="Amiri" w:ascii="Amiri" w:hAnsi="Amiri"/>
          <w:color w:val="111111"/>
          <w:sz w:val="28"/>
          <w:szCs w:val="28"/>
          <w:rtl w:val="true"/>
          <w:lang w:bidi="ar-SA"/>
        </w:rPr>
        <w:t xml:space="preserve">. </w:t>
      </w:r>
      <w:bookmarkStart w:id="141" w:name="pg12132_127907"/>
    </w:p>
    <w:p>
      <w:pPr>
        <w:pStyle w:val="Heading2"/>
        <w:numPr>
          <w:ilvl w:val="1"/>
          <w:numId w:val="1"/>
        </w:numPr>
        <w:rPr/>
      </w:pPr>
      <w:bookmarkStart w:id="142" w:name="__RefHeading___Toc3352654_417432637"/>
      <w:bookmarkStart w:id="143" w:name="_Toc48"/>
      <w:bookmarkEnd w:id="141"/>
      <w:bookmarkEnd w:id="142"/>
      <w:r>
        <w:rPr>
          <w:rtl w:val="true"/>
        </w:rPr>
        <w:t xml:space="preserve">المسألة الثانية </w:t>
      </w:r>
      <w:r>
        <w:rPr>
          <w:rtl w:val="true"/>
        </w:rPr>
        <w:t xml:space="preserve">: </w:t>
      </w:r>
      <w:r>
        <w:rPr>
          <w:rtl w:val="true"/>
        </w:rPr>
        <w:t>في دوران الأمر بين الواجب العيني والكفائي</w:t>
      </w:r>
      <w:bookmarkEnd w:id="143"/>
    </w:p>
    <w:p>
      <w:pPr>
        <w:pStyle w:val="BookText"/>
        <w:rPr/>
      </w:pPr>
      <w:r>
        <w:rPr>
          <w:rFonts w:ascii="Amiri" w:hAnsi="Amiri" w:eastAsia="Amiri" w:cs="Amiri"/>
          <w:color w:val="111111"/>
          <w:sz w:val="28"/>
          <w:sz w:val="28"/>
          <w:szCs w:val="28"/>
          <w:rtl w:val="true"/>
          <w:lang w:bidi="ar-SA"/>
        </w:rPr>
        <w:t xml:space="preserve">هل الأصل يقتضي العينية فلا يسقط الواجب بفعل الغير ، أو الكفائية فيسقط بفعله ؟ وليس المقصود إثبات عنوان العينية أو الكفائية ، بل المقصود أنّ الأصل يقتضي الاحتياط ، فيجب إتيانه ولو أتى به الغير ، أو البراءة إذا أتى به غيره </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3352656_417432637"/>
      <w:bookmarkStart w:id="145" w:name="_Toc49"/>
      <w:bookmarkEnd w:id="144"/>
      <w:r>
        <w:rPr>
          <w:rtl w:val="true"/>
        </w:rPr>
        <w:t>في تصويرات الواجب الكفائي</w:t>
      </w:r>
      <w:bookmarkEnd w:id="145"/>
    </w:p>
    <w:p>
      <w:pPr>
        <w:pStyle w:val="BookText"/>
        <w:rPr/>
      </w:pPr>
      <w:r>
        <w:rPr>
          <w:rFonts w:ascii="Amiri" w:hAnsi="Amiri" w:eastAsia="Amiri" w:cs="Amiri"/>
          <w:color w:val="111111"/>
          <w:sz w:val="28"/>
          <w:sz w:val="28"/>
          <w:szCs w:val="28"/>
          <w:rtl w:val="true"/>
          <w:lang w:bidi="ar-SA"/>
        </w:rPr>
        <w:t xml:space="preserve">وتحقيق المقام يبتني على تصوير الواجب الكفائي وتحقيق حقيقته ، وما قيل في تصويره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التكليف متعلّقاً بجميع المكلّفين مشروطاً بعدم سبق الغير بالفعل ، فينحلّ الخطاب إلى خطاباتٍ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تعدّد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بعدم سبق الغير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خطاب واحد إلى النوع ، ولمكان انطباق النوع على الآحاد يكون كلّ فرد منهم مكلّفاً ، فإذا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يسقط عن الآخرين ؛ لأنّ الخطاب الواحد لا يقتضي إلاّ امتثالاً واحداً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التكليف متوجّهاً إلى آحاد المكلّفين على نحو الواجب العيني ، لكنّ المكلّف به يكون صرف الوجود ، فإذا أتى به واحد منهم يحصل المتعلّق والغرض ، ويسقط التكليف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وبناءً عليه يفترق الكفائي عن العيني بمتعلّق التكليف بعد اشتراكهما في تعلّقه بجميع المكلّفين عيناً ؛ فإنّ متعلّق التكليف في الواجب العيني هو نفس الطبيعة القابلة للكثرة ، أو الطبيعة المتقيّدة بصدورها من كلّ مكلّف ، فتتكثّر بتكثّر المكلّفين ، ولا يسقط بفعل بعضهم عن بعض ؛ لأنّ الطبيعة المتقيّدة بصدورها عن كلّ مكلّف تغاير الطبيعة المتقيّدة بصدورها عن غيره ، لكن لا بدّ من فرضها بنحو لا يلزم المحذور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المتعلّق في الواجب الكفائي فهو صرف الوجود الغير القابل للتكرار ومتوجّه إلى جميع المكلّفين ، فيجب على جميعهم إتيانه ، فإذا سبق أحدهم بالإتيان أتى بتمام المتعلّق وسقط الغرض والتكليف ، وإن ترك الكلّ يكون جميعهم عصاةً ؛ لعصيان التكليف المتوجّه إليهم ، وإن أتى الجميع معاً يكون كلّهم مطيعين ؛ لإتيان الكلّ ما هو متعلّق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المتعلّق في الواجب الكفائي هو واحد من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العنوان القابل للانطباق على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بإتيان واحد منهم يسقط التكليف ، وهذا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بشرط لا ، واُخرى لا بشرط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التكليف في الكفائي على نحو الواجب التخييري ، لكن التخيير يكون بين المكلّفين ، لا المكلّف به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التكليف على آحاد المكلّفين ، لكن إتيان بعضهم موجباً لسقوط التكليف ، إمّا بملاك الاستيفاء لتمام الملاك ، أو غير ذلك </w:t>
      </w:r>
      <w:r>
        <w:rPr>
          <w:rFonts w:eastAsia="Amiri" w:cs="Amiri" w:ascii="Amiri" w:hAnsi="Amiri"/>
          <w:color w:val="111111"/>
          <w:sz w:val="28"/>
          <w:szCs w:val="28"/>
          <w:rtl w:val="true"/>
          <w:lang w:bidi="ar-SA"/>
        </w:rPr>
        <w:t xml:space="preserve">. </w:t>
      </w:r>
      <w:bookmarkStart w:id="146" w:name="pg12132_127909"/>
    </w:p>
    <w:p>
      <w:pPr>
        <w:pStyle w:val="Heading2"/>
        <w:numPr>
          <w:ilvl w:val="1"/>
          <w:numId w:val="1"/>
        </w:numPr>
        <w:rPr/>
      </w:pPr>
      <w:bookmarkStart w:id="147" w:name="__RefHeading___Toc3352658_417432637"/>
      <w:bookmarkStart w:id="148" w:name="_Toc50"/>
      <w:bookmarkEnd w:id="146"/>
      <w:bookmarkEnd w:id="147"/>
      <w:r>
        <w:rPr>
          <w:rtl w:val="true"/>
        </w:rPr>
        <w:t>اختلاف الأصل باختلاف الوجوه في الكفائي</w:t>
      </w:r>
      <w:bookmarkEnd w:id="148"/>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بحسب هذه الوجوه مختلف في البراءة والاشتغال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البراءة ؛ لأنّ الأمر دائر بين الواجب المطلق والمشروط مع عدم تحقّق شرطه بعد إتيان بعض المكلّفين ؛ فإنّ الشرط فيه لا بدّ وأن يكون عدم سبق الغير إلى زمان يفوت التكليف إن تأخّر منه ، لا عدم سبقه في الجملة ؛ لأنّ لازمه أن يصير التكليف مطلقاً بالنسبة إلى كلّ المكلّفين مع عدم السبق في الجملة ، ولا يسقط بفعل بعضهم ، وهو كما ترى ؛ فإنّ الواجب الكفائي كفائي إلى الآخر ، فبناءً على أن يكون الشرط عدم سبق الغير إلى زمان يفوت لو تأخّر عنه ، فمع إتيان بعضهم لا يكون شرطه محقّقاً ، فدار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الوجوب العيني والكفائي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الواجب المطلق والواجب المشروط مع عدم تحقّق شرطه ، كما لو دار أمر الحجّ بين كونه واجباً مطلقاً أو مشروطاً بالاستطاعة مع عدم تحقّقها ، فإنّه لا إشكال في جريان البراءة فيه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فيه بالبراءة ؛ لأنّ الأمر دائر بين أن يكون التكليف متعلّقاً بنفس الطبيعة ، أو بالطبيعة المتقيّدة بصدورها عن آحاد المكلّفين ، فتعلّقه بنفس الطبيعة متيقّن ، وقيد صدورها من الآحاد مشكوك فيه ومدفوع بالأصل ، فإذا أتى واحد منهم بالطبيعة لا يكون للمولى حجّة على إتيان البقيّة ؛ لأنّ ما قامت الحجّة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أصل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اُتي بها ، ولا حجّة له على صدورها </w:t>
      </w:r>
    </w:p>
    <w:p>
      <w:pPr>
        <w:pStyle w:val="BookText"/>
        <w:rPr/>
      </w:pPr>
      <w:r>
        <w:rPr>
          <w:rFonts w:ascii="Amiri" w:hAnsi="Amiri" w:eastAsia="Amiri" w:cs="Amiri"/>
          <w:color w:val="111111"/>
          <w:sz w:val="28"/>
          <w:sz w:val="28"/>
          <w:szCs w:val="28"/>
          <w:rtl w:val="true"/>
          <w:lang w:bidi="ar-SA"/>
        </w:rPr>
        <w:t xml:space="preserve">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بين المطلق والمقيّد ، والأصل فيه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دائر بين صرف الوجود والطبيعة المتقيّدة بصدورها من كلّ مكلّف أو نفس الطبيعة القابلة للكثرة ، فمع إتيان بعضهم يشكّ في سقوط الأمر ، فالأصل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الأصل فيه يقتضي الاحتياط ؛ لأنّ التكليف المتوجّه إلى المكلّف معلوم قبل إتيان الغير ؛ لأ نّه إمّا مكلّف بالتكليف العيني ، أو مكلّف لانطباق النوع عليه ، وبعد إتيان الغير يشكّ في سقوط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النوع مع الشخص من قبيل المطلق والمقيّد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المتوجّه إلى النوع معلوم ، والتكليفَ المتوجّه إلى الشخص مشكوك فيه يدفع بالأصل ؛ لأنّ التكليف المتوجّه إلى الشخص ليس متوجّهاً إلى النوع المتشخّص وإن ينسب إليه بعد التوجّه إلى الشخص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الإشكال في أصل المبنى ، وأنّ التكليف في الواجب الكفائي متوجّه إلى النوع ؛ لأنّ هذا لا يرجع إلى محصّل ، كما لا يخفى على المتأ مّل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في الشكّ في العيني والكفائي هو البراءة على بعض التصاوير والاشتغال على بعض؛ كالشكّ في الواجب التعييني والتخييري ، بل جريان الأصل هاهنا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بما ذكرنا جميع ما في تقريرات بعض أعاظم العصر رحمه الله علیه في المقام من المبنى والبناء</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49" w:name="pg12132_127911"/>
    </w:p>
    <w:p>
      <w:pPr>
        <w:pStyle w:val="Heading2"/>
        <w:numPr>
          <w:ilvl w:val="1"/>
          <w:numId w:val="1"/>
        </w:numPr>
        <w:rPr/>
      </w:pPr>
      <w:bookmarkStart w:id="150" w:name="__RefHeading___Toc3352660_417432637"/>
      <w:bookmarkStart w:id="151" w:name="_Toc51"/>
      <w:bookmarkEnd w:id="149"/>
      <w:bookmarkEnd w:id="150"/>
      <w:r>
        <w:rPr>
          <w:rtl w:val="true"/>
        </w:rPr>
        <w:t>دوران الأمر بين المحذورين</w:t>
      </w:r>
      <w:bookmarkEnd w:id="15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3352662_417432637"/>
      <w:bookmarkStart w:id="153" w:name="_Toc52"/>
      <w:bookmarkEnd w:id="152"/>
      <w:r>
        <w:rPr>
          <w:rtl w:val="true"/>
        </w:rPr>
        <w:t>نقد كلام المحقّق النائيني في عدم جريان الاُصول في المقام</w:t>
      </w:r>
      <w:bookmarkEnd w:id="153"/>
    </w:p>
    <w:p>
      <w:pPr>
        <w:pStyle w:val="BookText"/>
        <w:rPr/>
      </w:pPr>
      <w:r>
        <w:rPr>
          <w:rFonts w:ascii="Amiri" w:hAnsi="Amiri" w:eastAsia="Amiri" w:cs="Amiri"/>
          <w:color w:val="111111"/>
          <w:sz w:val="28"/>
          <w:sz w:val="28"/>
          <w:szCs w:val="28"/>
          <w:rtl w:val="true"/>
          <w:lang w:bidi="ar-SA"/>
        </w:rPr>
        <w:t xml:space="preserve">ذهب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جريان شيء من الاُصول العقلية والشرعية في موارد دوران الأمر بين المحذورين ، ولمّا كان في كلامه موارد من الخلط نذكر المهمّات منها ، ونشير إلى ما فيها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أفاد في باب عدم جريان الأصل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العقلي إنّما هو فيما إذا كان في طرفي التخيير ملاك يلزم استيفاؤه ، ولم يتمكّن المكلّف من الجمع بين الطرفين ، كالتخيير في باب التزاحم ، وفي دوران الأمر بين المحذورين ليس كذلك ؛ لعدم ثبوت الملاك في كلّ من الطرفين ، فالتخيير العقلي فيه إنّما هو من التخيير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الشخص لا يخلو بحسب الخِلقة من الأكوان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التخيير الناشئ عن الملاك ، فأصالة التخيير عند </w:t>
      </w:r>
    </w:p>
    <w:p>
      <w:pPr>
        <w:pStyle w:val="BookText"/>
        <w:rPr/>
      </w:pPr>
      <w:r>
        <w:rPr>
          <w:rFonts w:ascii="Amiri" w:hAnsi="Amiri" w:eastAsia="Amiri" w:cs="Amiri"/>
          <w:color w:val="111111"/>
          <w:sz w:val="28"/>
          <w:sz w:val="28"/>
          <w:szCs w:val="28"/>
          <w:rtl w:val="true"/>
          <w:lang w:bidi="ar-SA"/>
        </w:rPr>
        <w:t>الدوران بين المحذورين ساقطة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جارية ؛ لعدم الموضوع لها ، فإنّ مدركها قبح العقاب بلا بيان ، وفي دوران الأمر بين المحذورين يقطع بعدم العقاب ؛ لأنّ وجود العلم الإجمالي كعدمه لا يقتضي التنجيز والتأثير ، فالقطع بالمؤمّن حاصل بنفسه بلا حاجة إلى حكم العقل بقبح العقاب بلا بيان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 أمّا بالنسبة إلى أصالة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انحصارها في المتزاحمين اللذين يكون في كلّ منهما ملاك يلزم استيفاؤه ، ممّا لا وجه له ؛ فإنّ في موارد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الأطراف الغير المعيّن من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بالتخيير في رفع الاضطرار بأ يّهما شاء ، ويحكم بالتخيير لترك أيّهما شاء ، مع أنّ الملاك لا يكون في كلّ من الطرفين ، ففي دوران الأمر بين المحذورين يحكم العقل بعدم ترجيح أحدهما المعيّن ؛ لقبح الترجيح بلا مرجّح ، ويحكم بتساوي الفعل والترك ، وهذا هو حكمه بالتخيير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طرفا الفعل والترك في نظر العقل متساويين يحكم بالتخيير بينهما ، ومجرّد كون الإنسان لا يخلو من طرفي النقيض لا يوجب عدم حكم للعقل في موردهما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إمّا يرى ترجيحاً ملزماً في أحد الطرفين فيحكم بالتعيين ، وإلاّ فيحكم بالتخيير ، ولا يبقى مردّداً لا يحكم بشيء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خلوّ الإنسان من الأكوان الأربعة أجنبيّ عن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الإنسان كما لا يخلو عن الأكوان الأربعة لا يخلو عن أحد طرفي النقيض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 في وجه عدم جريان البراءة العقلية فلا يخلو من غرابة ؛ فإنّ كون العلم الإجمالي كعدمه لا يوجب القطع بالمؤ مّن ، ولولا قبح العقاب بلا بيان فأيّ مانع للمولى من العقاب على التكليف الواقعي وجوباً كان أو حرمة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المؤ مّن بالنسبة إلى نوع التكليف هو قبح العقاب بلا بيان ، وأمّا أصل التكليف المردّد بين الوجوب والحرمة ، فلمّا كان معلوماً لا يكون مورداً للقاعدة ، ولا يجوز العقاب لا للقاعدة ، بل لعدم قدرة المكلّف على الموافقة القطعية ، فعدم العقاب بالنسبة إلى نوع التكليف لقاعدة قبح العقاب بلا بيان ، وبالنسبة إلى الموافقة القطعية للتكليف بينهما لعدم قدرة العبد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الأصل العقلي</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بالتخيير في الرتبة المتأخّرة عن قاعدة قبح العقاب بلا بيان في طرفي الفعل والترك ، وإلاّ فلو فرض عدم قبحه بالنسبة إلى خصوص أحد الطرفين لم يحكم بالتخيير بالضرورة ، فالاضطرار لا يكون إلاّ لواحد منهما ، وأمّا بخصوص كلّ منهما فلا يكون مضطرّاً ، فلو فرض كونه واجباً بحسب الواقع ، وترك المكلّف مع قدرته على فعله بالضرورة ، لم يكن عدم العقاب للاضطرار وعدم القدرة ، بل لقبح العقاب بلا بيان ، وكذا في الترك بالخصوص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الاُصول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ما أفاد في عدم جريان أصالة الإباحة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دليلها للمقام ؛ فإنّه يختصّ بما إذا كان طرف الحرمة الحلّ والإباحة ، لا الوجوب ، كدوران الأمر بين المحذورين ، كما هو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Style w:val="FootnoteAnchor"/>
          <w:rtl w:val="true"/>
        </w:rPr>
        <w:footnoteReference w:id="191"/>
      </w:r>
      <w:r>
        <w:rPr>
          <w:rFonts w:ascii="Amiri" w:hAnsi="Amiri" w:eastAsia="Amiri" w:cs="Amiri"/>
          <w:color w:val="111111"/>
          <w:sz w:val="28"/>
          <w:sz w:val="28"/>
          <w:szCs w:val="28"/>
          <w:rtl w:val="true"/>
          <w:lang w:bidi="ar-SA"/>
        </w:rPr>
        <w:t xml:space="preserve">من أنّ دليل أصالة الحلّ يختصّ بالشبهات الموضوعية ، ولا يعمّ الشبهات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الإباحة الظاهرية لا يمكن مع العلم بجنس الإلزام ؛ فإنّ أصالة الإباحة بمدلولها المطابقي تنافي المعلوم بالإجمال ؛ لأنّ مفادها الرخصة في الفعل والترك ، وذلك يناقض العلم بالإلزام وإن لم يكن لهذا العلم أثر عملي ، إلاّ أنّ العلم بثبوت الإلزام لا يجتمع مع جعل الإباحة ولو ظاهراً ؛ فإنّ الحكم الظاهري إنّما يكون في مورد الجهل بالحكم الواقعي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أصالة الإباحة وأصالة البراءة والاستصحاب فرق واضح ؛ فإنّ جريان أصالة الإباحة في كلّ من الفعل والترك يغني عن الجريان في الآخر ؛ لأنّ معنى إباحة الفعل هو الرخصة في الترك ، وبالعكس ، ولذلك يناقض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لجنس الإلزام ، دون الاستصحاب وأصالة البراءة ؛ فإنّ جريانهما في كلّ من الطرفين لا يغني عن الآخر ؛ لأنّ استصحاب عدم الوجوب غير استصحاب عدم الحرمة ، وكذلك في البراءة</w:t>
      </w:r>
      <w:r>
        <w:rPr>
          <w:rStyle w:val="FootnoteAnchor"/>
          <w:rtl w:val="true"/>
        </w:rPr>
        <w:footnoteReference w:id="19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مرّ منه من اختصاص دليل أصالة الحلّ بالشبهات الموضوعية فقد مرّ الكلام فيه</w:t>
      </w:r>
      <w:r>
        <w:rPr>
          <w:rStyle w:val="FootnoteAnchor"/>
          <w:rtl w:val="true"/>
        </w:rPr>
        <w:footnoteReference w:id="193"/>
      </w:r>
      <w:r>
        <w:rPr>
          <w:rFonts w:ascii="Amiri" w:hAnsi="Amiri" w:eastAsia="Amiri" w:cs="Amiri"/>
          <w:color w:val="111111"/>
          <w:sz w:val="28"/>
          <w:sz w:val="28"/>
          <w:szCs w:val="28"/>
          <w:rtl w:val="true"/>
          <w:lang w:bidi="ar-SA"/>
        </w:rPr>
        <w:t xml:space="preserve">فلا نعيده ، وإن كان الاختصاص في بعضها لا يبعد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أخيراً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منافٍ لما أفاده أوّلاً من اختصاص دليل أصالة الإباحة بما إذا كان طرف الحرمة الحلّية لا الوجوب ؛ لأنّ جعل الرخصة في الفعل والترك إنّما يكون فيما إذا كانت الشبهة في الوجوب والحرمة جميعاً ، وأمّا مع مفروضية عدم الوجوب ، وكون الشكّ في الحرمة والحلّية ، فلا معنى للرخصة في الترك ؛ فإنّ الرخصة الظاهرية تكون لغواً مع العلم بالرخصة الواقعية ، فمفاد دليله الأوّل أنّ طرف الحرمة يكون الحلّية لا الوجوب ، ولازم دليله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الرخصة في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طرف الشبهة يكون الوجوب أيضاً ، وهما متنافيان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مفاد دليل الحلّ والإباحة متنافٍ بمدلوله المطابقي مع العلم بالإلزام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فإنّ دليل الحلّ لو كان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لك حلال </w:t>
      </w:r>
    </w:p>
    <w:p>
      <w:pPr>
        <w:pStyle w:val="BookText"/>
        <w:rPr/>
      </w:pPr>
      <w:r>
        <w:rPr>
          <w:rFonts w:ascii="IRNazanin" w:hAnsi="IRNazanin" w:eastAsia="IRNazanin"/>
          <w:color w:val="111111"/>
          <w:sz w:val="28"/>
          <w:sz w:val="28"/>
          <w:szCs w:val="28"/>
          <w:rtl w:val="true"/>
          <w:lang w:bidi="fa-IR"/>
        </w:rPr>
        <w:t>حتّى تعرف الحرام</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لم يكن مفاده الرخصة في الفعل والترك ؛ ضرورة أنّ</w:t>
      </w:r>
    </w:p>
    <w:p>
      <w:pPr>
        <w:pStyle w:val="BookText"/>
        <w:rPr/>
      </w:pPr>
      <w:r>
        <w:rPr>
          <w:rFonts w:ascii="Amiri" w:hAnsi="Amiri" w:eastAsia="Amiri" w:cs="Amiri"/>
          <w:color w:val="111111"/>
          <w:sz w:val="28"/>
          <w:sz w:val="28"/>
          <w:szCs w:val="28"/>
          <w:rtl w:val="true"/>
          <w:lang w:bidi="ar-SA"/>
        </w:rPr>
        <w:t xml:space="preserve">الحلّية إنّما هي في مقابل الحرمة ، لا الوجوب ، فدليل أصالة الحلّ يختصّ بالشبهات التحريمية ، وليس في الأدلّة ما يظهر منه الرخصة في الفعل والترك 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 أو 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رواية الشيخ</w:t>
      </w:r>
      <w:r>
        <w:rPr>
          <w:rStyle w:val="FootnoteAnchor"/>
          <w:rtl w:val="true"/>
        </w:rPr>
        <w:footnoteReference w:id="196"/>
      </w:r>
      <w:r>
        <w:rPr>
          <w:rFonts w:ascii="Amiri" w:hAnsi="Amiri" w:eastAsia="Amiri" w:cs="Amiri"/>
          <w:color w:val="111111"/>
          <w:sz w:val="28"/>
          <w:sz w:val="28"/>
          <w:szCs w:val="28"/>
          <w:rtl w:val="true"/>
          <w:lang w:bidi="ar-SA"/>
        </w:rPr>
        <w:t>على ما حكي</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إشكال فيه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مناقضة الترخيص الظاهري مع الإلزام الواقعي ليس إلاّ كمناقضة الأحكام الواقعية والظاهرية ، والجمع بينهما هو الجمع بينهما ؛ فإنّ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بين نفس الأحكام بحسب مقام الثبوت ، لا بين العلم بالإلزام والرخصة ، فإذا لم يكن بين الحكمين مناقضة لا مانع من العلم بالحكم الواقعي والعلم بالحكم الظاهري من ناحية المناقضة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الرخصة إنّما هو مع الجهل بالإلزام ، ومع العلم به تكون غايتها 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مراده من عدم انحفاظ رتبة أصالة الإباحة</w:t>
      </w:r>
      <w:r>
        <w:rPr>
          <w:rStyle w:val="FootnoteAnchor"/>
          <w:rtl w:val="true"/>
        </w:rPr>
        <w:footnoteReference w:id="199"/>
      </w:r>
      <w:r>
        <w:rPr>
          <w:rFonts w:ascii="IRNazanin" w:hAnsi="IRNazanin" w:eastAsia="IRNazanin"/>
          <w:color w:val="111111"/>
          <w:sz w:val="28"/>
          <w:sz w:val="28"/>
          <w:szCs w:val="28"/>
          <w:rtl w:val="true"/>
          <w:lang w:bidi="fa-IR"/>
        </w:rPr>
        <w:t xml:space="preserve">، وقد خلط الفاضل المقرّر رحمه الله علیه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الشأن في كون أصالة الإباحة بالمعنى الذي ذكره يدلّ عليه دليل ، </w:t>
      </w:r>
    </w:p>
    <w:p>
      <w:pPr>
        <w:pStyle w:val="BookText"/>
        <w:rPr/>
      </w:pPr>
      <w:r>
        <w:rPr>
          <w:rFonts w:ascii="Amiri" w:hAnsi="Amiri" w:eastAsia="Amiri" w:cs="Amiri"/>
          <w:color w:val="111111"/>
          <w:sz w:val="28"/>
          <w:sz w:val="28"/>
          <w:szCs w:val="28"/>
          <w:rtl w:val="true"/>
          <w:lang w:bidi="ar-SA"/>
        </w:rPr>
        <w:t xml:space="preserve">مضافاً إلى منع كون أصالة الإباحة والحلّية غير أصالة البراءة الشرعية ، ولا يبعد أن يكون مفاد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مفاد حديث الرفع</w:t>
      </w:r>
      <w:r>
        <w:rPr>
          <w:rStyle w:val="FootnoteAnchor"/>
          <w:rtl w:val="true"/>
        </w:rPr>
        <w:footnoteReference w:id="200"/>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في وجه عدم جريان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مدركها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فرع إمكان الوضع ، وفي مورد دوران الأمر بين المحذورين لا يمكن وضع الوجوب والحرمة كليهما ، لا على سبيل التعيين ، ولا على سبيل التخيير ، ومع عدم إمكان الوضع لا يعقل تعلّق الرفع ، فأدلّة البراءة الشرعية لا تعمّ المقام أيضاً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دوران الأمر بين المحذورين يكون مصداقين لحديث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إنّ الوجوب غير معلوم يكون الوجوب مرفوعاً ، ومن حيث إنّ الحرمة غير معلومة تكون الحرمة مرفوعة ، ولا يكون المجموع من حيث المجموع مفاد دليل الرفع ، ولا إشكال في إمكان وضع كلّ واحد من الوجوب والحرمة في مورد الدوران ، فما لا يمكن وضعه هو المجموع ، وهو لا يكون مفاد الرفع ، وما يكون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وضعه ، فيمكن رفعه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مانع من شمول حديث الرفع للمقام ؛ لأنّ المخالفة العملية والالتزامية غير لازمتين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المنافاة بين الإلزام والرفع فلا مانع منه ؛ لأنّ نفس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الجامع بين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بمجعول شرعي ، بل هو أمر انتزاعي ، وما هو المجعول نفس الوجوب والحرمة ؛ أي نوع التكليف ، </w:t>
      </w:r>
    </w:p>
    <w:p>
      <w:pPr>
        <w:pStyle w:val="BookText"/>
        <w:rPr/>
      </w:pPr>
      <w:r>
        <w:rPr>
          <w:rFonts w:ascii="Amiri" w:hAnsi="Amiri" w:eastAsia="Amiri" w:cs="Amiri"/>
          <w:color w:val="111111"/>
          <w:sz w:val="28"/>
          <w:sz w:val="28"/>
          <w:szCs w:val="28"/>
          <w:rtl w:val="true"/>
          <w:lang w:bidi="ar-SA"/>
        </w:rPr>
        <w:t xml:space="preserve">فمفهوم الإلزام أو جنس التكليف كمفهوم أحدهما أو واحد منهما ممّا لم يتعلّق الجعل به ، ونوع التكليف الذي هو مجعول غير مانع من جريان الحديث ؛ لأ نّه 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من عدم جريان الاستصحاب ،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من الاُصول التنزيلية ، وهي لا تجري في أطراف العلم الإجمالي مطلقاً ؛ فإنّ البناء على مؤدّى الاستصحابين ينافي الموافقة الالتزامية ؛ فإنّ البناء على عدم الوجوب والحرمة واقعاً لا يجتمع مع التديّن بأنّ للّه‌ِ تعالى في هذه الواقعة حكماً إلزامياً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الاستصحاب من الاُصول التنزيلية بالمعنى الذي يدّعي</w:t>
      </w:r>
      <w:r>
        <w:rPr>
          <w:rStyle w:val="FootnoteAnchor"/>
          <w:rtl w:val="true"/>
        </w:rPr>
        <w:footnoteReference w:id="203"/>
      </w:r>
      <w:r>
        <w:rPr>
          <w:rFonts w:ascii="Amiri" w:hAnsi="Amiri" w:eastAsia="Amiri" w:cs="Amiri"/>
          <w:color w:val="111111"/>
          <w:sz w:val="28"/>
          <w:sz w:val="28"/>
          <w:szCs w:val="28"/>
          <w:rtl w:val="true"/>
          <w:lang w:bidi="ar-SA"/>
        </w:rPr>
        <w:t xml:space="preserve">فإنّه ليس في أدلّته ما يستشمّ منها ذلك إلاّ ما في ذيل صحيحة زرارة الثالثة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ينقض الشكّ باليقين ، ويتمّ على اليقين ، فيبني عليه</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وأنت خبير بأنّ البناء على اليقين هو البناء على تحقّق اليقين وبقائه عملاً ، وأمّا البناء القلبي على كون الواقع متحقّقاً فلا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الكبرى المجعولة في أدلّة الاستصحاب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لا ينبغي أن يتوهّم منها أنّ عدم نقض اليقين بالشكّ يدلّ على البناء </w:t>
      </w:r>
      <w:bookmarkStart w:id="154" w:name="pg12132_127919"/>
    </w:p>
    <w:p>
      <w:pPr>
        <w:pStyle w:val="BookText"/>
        <w:rPr/>
      </w:pPr>
      <w:bookmarkEnd w:id="154"/>
      <w:r>
        <w:rPr>
          <w:rFonts w:ascii="Amiri" w:hAnsi="Amiri" w:eastAsia="Amiri" w:cs="Amiri"/>
          <w:color w:val="111111"/>
          <w:sz w:val="28"/>
          <w:sz w:val="28"/>
          <w:szCs w:val="28"/>
          <w:rtl w:val="true"/>
          <w:lang w:bidi="ar-SA"/>
        </w:rPr>
        <w:t>والالتزام على كون الواقع متحقّقاً ، بل الأصل التنزيلي بالمعنى المدّعى ممّا</w:t>
      </w:r>
    </w:p>
    <w:p>
      <w:pPr>
        <w:pStyle w:val="BookText"/>
        <w:rPr/>
      </w:pPr>
      <w:r>
        <w:rPr>
          <w:rFonts w:ascii="Amiri" w:hAnsi="Amiri" w:eastAsia="Amiri" w:cs="Amiri"/>
          <w:color w:val="111111"/>
          <w:sz w:val="28"/>
          <w:sz w:val="28"/>
          <w:szCs w:val="28"/>
          <w:rtl w:val="true"/>
          <w:lang w:bidi="ar-SA"/>
        </w:rPr>
        <w:t xml:space="preserve">لا عين له ولا أثر في الشرعيات ، فراجع أدلّة التجاوز والفراغ ، وسائر أدلّة القواعد والاُصول حتّى تعرف صدق ما ادّعيناه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يمكن أن يدّعى من أدلّة الشكوك في باب الصلاة ذلك ، ولكن فيه ما فيه أيضاً </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3352664_417432637"/>
      <w:bookmarkStart w:id="156" w:name="_Toc53"/>
      <w:bookmarkEnd w:id="155"/>
      <w:r>
        <w:rPr>
          <w:rtl w:val="true"/>
        </w:rPr>
        <w:t xml:space="preserve">تنبيه </w:t>
      </w:r>
      <w:r>
        <w:rPr>
          <w:rtl w:val="true"/>
        </w:rPr>
        <w:t xml:space="preserve">: </w:t>
      </w:r>
      <w:r>
        <w:rPr>
          <w:rtl w:val="true"/>
        </w:rPr>
        <w:t>فيما لو كان لأحد الحكمين مزيّة</w:t>
      </w:r>
      <w:bookmarkEnd w:id="156"/>
    </w:p>
    <w:p>
      <w:pPr>
        <w:pStyle w:val="BookText"/>
        <w:rPr/>
      </w:pPr>
      <w:r>
        <w:rPr>
          <w:rFonts w:ascii="Amiri" w:hAnsi="Amiri" w:eastAsia="Amiri" w:cs="Amiri"/>
          <w:color w:val="111111"/>
          <w:sz w:val="28"/>
          <w:sz w:val="28"/>
          <w:szCs w:val="28"/>
          <w:rtl w:val="true"/>
          <w:lang w:bidi="ar-SA"/>
        </w:rPr>
        <w:t xml:space="preserve">إذا كان لأحد الحكمين مزيّة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حيث الاحتمال أو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جريان البراءة عن التعيينية ولو قلنا بأصالة التعيين عند الشكّ في التخيير والتعيين ؛ لأنّ أصل التكليف مشكوك فيه ، فضلاً عن خصوصياته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كان أقوائية المحتمل بحيث يكون لازم الاحتياط عقلاً أو شرعاً حتّى في الشبهة البدوية وجب الاحتياط فيه ؛ كما لو دار الأمر بين كون المرأة زوجته التي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وطئها أو اُمّه ، أو دار الأمر بين كون شخص نبياً أو شخصاً لازم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أفاد بعض الأعاظم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وجود المزيّة كعدمها ، حتّى لو كان المحتمل من أقوى الواجبات الشرعية وأهمّها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بإطلاقه صحيحاً </w:t>
      </w:r>
      <w:r>
        <w:rPr>
          <w:rFonts w:eastAsia="Amiri" w:cs="Amiri" w:ascii="Amiri" w:hAnsi="Amiri"/>
          <w:color w:val="111111"/>
          <w:sz w:val="28"/>
          <w:szCs w:val="28"/>
          <w:rtl w:val="true"/>
          <w:lang w:bidi="ar-SA"/>
        </w:rPr>
        <w:t xml:space="preserve">. </w:t>
      </w:r>
      <w:bookmarkStart w:id="157" w:name="pg12132_127920"/>
    </w:p>
    <w:p>
      <w:pPr>
        <w:pStyle w:val="Heading2"/>
        <w:numPr>
          <w:ilvl w:val="1"/>
          <w:numId w:val="1"/>
        </w:numPr>
        <w:rPr/>
      </w:pPr>
      <w:bookmarkStart w:id="158" w:name="__RefHeading___Toc3352666_417432637"/>
      <w:bookmarkStart w:id="159" w:name="_Toc54"/>
      <w:bookmarkEnd w:id="157"/>
      <w:bookmarkEnd w:id="158"/>
      <w:r>
        <w:rPr>
          <w:rtl w:val="true"/>
        </w:rPr>
        <w:t xml:space="preserve">تتميم </w:t>
      </w:r>
      <w:r>
        <w:rPr>
          <w:rtl w:val="true"/>
        </w:rPr>
        <w:t xml:space="preserve">: </w:t>
      </w:r>
      <w:r>
        <w:rPr>
          <w:rtl w:val="true"/>
        </w:rPr>
        <w:t>في كون التخيير استمرارياً</w:t>
      </w:r>
      <w:bookmarkEnd w:id="159"/>
    </w:p>
    <w:p>
      <w:pPr>
        <w:pStyle w:val="BookText"/>
        <w:rPr/>
      </w:pPr>
      <w:r>
        <w:rPr>
          <w:rFonts w:ascii="Amiri" w:hAnsi="Amiri" w:eastAsia="Amiri" w:cs="Amiri"/>
          <w:color w:val="111111"/>
          <w:sz w:val="28"/>
          <w:sz w:val="28"/>
          <w:szCs w:val="28"/>
          <w:rtl w:val="true"/>
          <w:lang w:bidi="ar-SA"/>
        </w:rPr>
        <w:t>إذا تعدّدت الواقعة في دوران الأمر بين المحذورين ، فهل التخيير يكون بدوياً أو استمرارياً ؟</w:t>
      </w:r>
    </w:p>
    <w:p>
      <w:pPr>
        <w:pStyle w:val="BookText"/>
        <w:rPr/>
      </w:pPr>
      <w:r>
        <w:rPr>
          <w:rFonts w:ascii="Amiri" w:hAnsi="Amiri" w:eastAsia="Amiri" w:cs="Amiri"/>
          <w:color w:val="111111"/>
          <w:sz w:val="28"/>
          <w:sz w:val="28"/>
          <w:szCs w:val="28"/>
          <w:rtl w:val="true"/>
          <w:lang w:bidi="ar-SA"/>
        </w:rPr>
        <w:t xml:space="preserve">الأقوى هو الثاني ؛ لأنّ في الواقعة الثانية إذا أتى بخلاف الواقعة الاُولى يعلم بمخالفة قطعية وموافقة قطعية ، وليس في نظر العقل ترجيح بينهما ، فصرف لزوم المخالفة القطعية لا يمنع عن التخيير بعد حكم العقل بعدم الفرق بين تحصيل تكليف قطعاً وترك تكليف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بوجوب صلاة الجمعة أو حرمتها في كلّ جمعة ، وأتى بالجمعة في جمعة ، وتركها في جمعة اُخرى ، يعلم بموافقة التكليف الواقعي في يوم ومخالفته في يوم آخر ، وليس في نظر العقل فرق بينهما ، فيحكم بالتخيير الاستمراري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في تقريرات بعض أعاظم العصر رحمه الله علیه ففيه نظر ظاهر ، قال 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المخالفة القطعية لم تكن محرّمة شرعاً ، بل هي قبيحة عقلاً ، وقبحها فرع تنجّز التكليف ؛ فإنّ مخالفة التكليف الغير المنجّز لا قبح فيها ، كما لو اضطرّ إلى أحد أطراف المعلوم بالإجمال فصادف الواقع ؛ فإنّه مع حصول المخالفة يكون المكلّف معذوراً ، وليس ذلك إلاّ لعدم تنجّز التكليف ، وفيما نحن فيه لا يكون التكليف منجّزاً في كلّ واقعة ؛ لأنّ في كلّ منها يكون الأمر دائراً بين المحذورين ، وكون الواقعة ممّا تتكرّر لا يوجب تبدّل المعلوم بالإجمال ، </w:t>
      </w:r>
    </w:p>
    <w:p>
      <w:pPr>
        <w:pStyle w:val="BookText"/>
        <w:rPr/>
      </w:pPr>
      <w:r>
        <w:rPr>
          <w:rFonts w:ascii="Amiri" w:hAnsi="Amiri" w:eastAsia="Amiri" w:cs="Amiri"/>
          <w:color w:val="111111"/>
          <w:sz w:val="28"/>
          <w:sz w:val="28"/>
          <w:szCs w:val="28"/>
          <w:rtl w:val="true"/>
          <w:lang w:bidi="ar-SA"/>
        </w:rPr>
        <w:t>ولا خروج المورد عن الدوران بين المحذورين</w:t>
      </w:r>
      <w:r>
        <w:rPr>
          <w:rStyle w:val="FootnoteAnchor"/>
          <w:rtl w:val="true"/>
        </w:rPr>
        <w:footnoteReference w:id="207"/>
      </w:r>
      <w:r>
        <w:rPr>
          <w:rFonts w:ascii="Amiri" w:hAnsi="Amiri" w:eastAsia="Amiri" w:cs="Amiri"/>
          <w:color w:val="111111"/>
          <w:sz w:val="28"/>
          <w:sz w:val="28"/>
          <w:szCs w:val="28"/>
          <w:rtl w:val="true"/>
          <w:lang w:bidi="ar-SA"/>
        </w:rPr>
        <w:t xml:space="preserve">، انتهى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تنجّز التكليف في المقام ليس لقصور فيه ؛ ضرورة كونه تامّاً من جميع الجهات ، وإنّما لم يتنجّز لعدم قدرة المكلّف على الموافقة القطعية ولا المخالفة القطعية ، بحيث 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الموافقة القطعية حكم العقل بلزومها ، ولو فرض عدم إمكان الموافقة القطعية لكن أمكن المخالفة القطعية ، حكم بحرمتها ؛ لتمامية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يكون التنجيز فرع إمكان المخالفة ، لا حرمة المخالفة فرع التنجيز ، فإذا أمكن المخالفة يصير التكليف منجّزاً ؛ لرفع المانع ، وهو امتناع المخالفة القطعية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فرضنا قدرة المكلّف على رفع النقيضين في الواقعة الواحدة حكم العقل بحرمته ، وليس ذلك إلاّ لعدم القصور في ناحية التكليف ، وإنّما القصور في قدرة العبد ، وفي الوقائع المتعدّدة يكون العبد قادراً على المخالفة ، فيتنجّز التكليف </w:t>
      </w:r>
      <w:r>
        <w:rPr>
          <w:rFonts w:eastAsia="Amiri" w:cs="Amiri" w:ascii="Amiri" w:hAnsi="Amiri"/>
          <w:color w:val="111111"/>
          <w:sz w:val="28"/>
          <w:szCs w:val="28"/>
          <w:rtl w:val="true"/>
          <w:lang w:bidi="ar-SA"/>
        </w:rPr>
        <w:t xml:space="preserve">. </w:t>
      </w:r>
      <w:bookmarkStart w:id="160" w:name="pg12132_127922"/>
    </w:p>
    <w:p>
      <w:pPr>
        <w:pStyle w:val="Heading2"/>
        <w:numPr>
          <w:ilvl w:val="1"/>
          <w:numId w:val="1"/>
        </w:numPr>
        <w:rPr/>
      </w:pPr>
      <w:bookmarkStart w:id="161" w:name="__RefHeading___Toc3352668_417432637"/>
      <w:bookmarkStart w:id="162" w:name="_Toc55"/>
      <w:bookmarkEnd w:id="160"/>
      <w:bookmarkEnd w:id="161"/>
      <w:r>
        <w:rPr>
          <w:rtl w:val="true"/>
        </w:rPr>
        <w:t xml:space="preserve">المقام الأوّل </w:t>
      </w:r>
      <w:r>
        <w:rPr>
          <w:rtl w:val="true"/>
        </w:rPr>
        <w:t xml:space="preserve">: </w:t>
      </w:r>
      <w:r>
        <w:rPr>
          <w:rtl w:val="true"/>
        </w:rPr>
        <w:t>دوران الأمر بين المتباينين</w:t>
      </w:r>
      <w:bookmarkEnd w:id="16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دوران الأمر بين المتباينين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مضى شطر من الكلام في هذا المضمار</w:t>
      </w:r>
      <w:r>
        <w:rPr>
          <w:rStyle w:val="FootnoteAnchor"/>
          <w:rtl w:val="true"/>
        </w:rPr>
        <w:footnoteReference w:id="208"/>
      </w:r>
      <w:r>
        <w:rPr>
          <w:rFonts w:ascii="IRNazanin" w:hAnsi="IRNazanin" w:eastAsia="IRNazanin"/>
          <w:color w:val="111111"/>
          <w:sz w:val="28"/>
          <w:sz w:val="28"/>
          <w:szCs w:val="28"/>
          <w:rtl w:val="true"/>
          <w:lang w:bidi="fa-IR"/>
        </w:rPr>
        <w:t xml:space="preserve">فلنتعرّض له بنحو الاختصار ، فنقول </w:t>
      </w:r>
      <w:r>
        <w:rPr>
          <w:rFonts w:eastAsia="IRNazanin" w:cs="IRNazanin"/>
          <w:color w:val="111111"/>
          <w:sz w:val="28"/>
          <w:szCs w:val="28"/>
          <w:rtl w:val="true"/>
          <w:lang w:bidi="fa-IR"/>
        </w:rPr>
        <w:t>:</w:t>
      </w:r>
    </w:p>
    <w:p>
      <w:pPr>
        <w:pStyle w:val="Heading2"/>
        <w:numPr>
          <w:ilvl w:val="1"/>
          <w:numId w:val="1"/>
        </w:numPr>
        <w:rPr/>
      </w:pPr>
      <w:bookmarkStart w:id="163" w:name="__RefHeading___Toc3352670_417432637"/>
      <w:bookmarkStart w:id="164" w:name="_Toc56"/>
      <w:bookmarkEnd w:id="163"/>
      <w:r>
        <w:rPr>
          <w:rtl w:val="true"/>
        </w:rPr>
        <w:t>في مراتب الحكم</w:t>
      </w:r>
      <w:bookmarkEnd w:id="164"/>
    </w:p>
    <w:p>
      <w:pPr>
        <w:pStyle w:val="BookText"/>
        <w:rPr/>
      </w:pPr>
      <w:r>
        <w:rPr>
          <w:rFonts w:ascii="IRNazanin" w:hAnsi="IRNazanin" w:eastAsia="IRNazanin"/>
          <w:color w:val="111111"/>
          <w:sz w:val="28"/>
          <w:sz w:val="28"/>
          <w:szCs w:val="28"/>
          <w:rtl w:val="true"/>
          <w:lang w:bidi="fa-IR"/>
        </w:rPr>
        <w:t>قد أصرّ المحقّق الخراساني رحمه الله علیه في جملة من تحريراته على أنّ للأحكام مراتب أربعة</w:t>
      </w:r>
      <w:r>
        <w:rPr>
          <w:rStyle w:val="FootnoteAnchor"/>
          <w:rtl w:val="true"/>
        </w:rPr>
        <w:footnoteReference w:id="209"/>
      </w:r>
      <w:r>
        <w:rPr>
          <w:rFonts w:ascii="Amiri" w:hAnsi="Amiri" w:eastAsia="Amiri" w:cs="Amiri"/>
          <w:color w:val="111111"/>
          <w:sz w:val="28"/>
          <w:sz w:val="28"/>
          <w:szCs w:val="28"/>
          <w:rtl w:val="true"/>
          <w:lang w:bidi="ar-SA"/>
        </w:rPr>
        <w:t>، وقد مضى أنّ ما هو متصوّر من المراتب ليس إلاّ مرتبتين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الإنشاء ووضع الأحكام القانونية ، كالأحكام الصادرة قبل عروض التقييدات والتخصيصات ، وكالأحكام التي أوحى اللّه تعالى إلى نبيّه رحمهما اللّه وأمره بعدم تبليغها في صدر الإسلام ، وجعلها مخزونة محفوظة عند </w:t>
      </w:r>
    </w:p>
    <w:p>
      <w:pPr>
        <w:pStyle w:val="BookText"/>
        <w:rPr/>
      </w:pPr>
      <w:r>
        <w:rPr>
          <w:rFonts w:ascii="IRNazanin" w:hAnsi="IRNazanin" w:eastAsia="IRNazanin"/>
          <w:color w:val="111111"/>
          <w:sz w:val="28"/>
          <w:sz w:val="28"/>
          <w:szCs w:val="28"/>
          <w:rtl w:val="true"/>
          <w:lang w:bidi="fa-IR"/>
        </w:rPr>
        <w:t xml:space="preserve">أئمّة الهدى علیهم السلام والآن مخزونة عند 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تقتضي المصلحة إبرازها وإجراءها إلى زمن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الوحي منقطعاً بعد النبي رحمهما اللّه فلا محيص عن إيحاء الأحكام التي تكون المصلحة في إجرائها في آخر الزمان ، وهذه الأحكام هي أحكام إنشائية لا تكون المصلحة في إجرائها إلى أمد معيّن ، كما أنّ موارد التخصيصات والتقييدات من الأحكام الإنشائية التي لا تكون المصلحة في إجرائها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إجرائها وإنفاذها بين الناس ، وهي المرتبة الفعلية ، وليس سوى هاتين المرتبتين مرتبة اُخرى ، فعدّ مرتبة الاقتضاء والتنجّز من المراتب ممّا لا وجه له ، كما أشرنا إليه سابقاً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بعد فعلية الحكم ، وعدم الفرق من هذه الحيثية بين العالم والجاهل والقادر والعاجز ، لا يكون منجّزاً بالنسبة إلى الجاهل والعاجز ؛ بمعنى عدم جواز مؤاخذة المولى للعبد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تركتَ ، أو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العبد بالحكم الفعلي موجب لحكم العقل بقبح المخالفة ، وجواز المؤاخذة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ناحية الحكم فلا يفرّق بين حال العلم والجهل ، فلا يكون حكم المولى بالنسبة إلى العالم غيره بالنسبة إلى الجاهل ، وكذا بالنسبة إلى القادر والعاجز ، ولا تتغيّر إرادته في جميع الحالات ، فحكم المولى بحرمة الخمر حكم فعلي للموضوعات المقدّرة متوجّهاً إلى كلّ مكلّف علم أو لم يعلم ، فالمولى أنشأ هذا الحكم ليعلم المكلّف وليطيع ، وليس في ناحية حكمه تقييد بحال العلم </w:t>
      </w:r>
      <w:bookmarkStart w:id="165" w:name="pg12132_127924"/>
    </w:p>
    <w:p>
      <w:pPr>
        <w:pStyle w:val="BookText"/>
        <w:rPr/>
      </w:pPr>
      <w:bookmarkEnd w:id="165"/>
      <w:r>
        <w:rPr>
          <w:rFonts w:ascii="Amiri" w:hAnsi="Amiri" w:eastAsia="Amiri" w:cs="Amiri"/>
          <w:color w:val="111111"/>
          <w:sz w:val="28"/>
          <w:sz w:val="28"/>
          <w:szCs w:val="28"/>
          <w:rtl w:val="true"/>
          <w:lang w:bidi="ar-SA"/>
        </w:rPr>
        <w:t xml:space="preserve">والجهل ؛ ولهذا أمر الأنبياء والعلماء بتبليغه إلى الناس ، بل أوجب على كلّ مكلّف تبليغ 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الاختلاف بين حال العلم والجهل عن عذر في تمامية الحجّة وعدمها ، وقبح المخالفة وعدمه ، وصحّة العقوبة وعدمها ، وهذه الاُمور متأخّرة عن الحكم ، ولا ينبغي جعلها من مراتبه ، كما أنّ الاقتضاء والمصلحة من مبادئ جعله ، لا مراتبه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تلوناه عليك فالكلام في العلم الإجمالي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المخالفة القطعية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الموافقة القطعية </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3352672_417432637"/>
      <w:bookmarkStart w:id="167" w:name="_Toc57"/>
      <w:bookmarkEnd w:id="166"/>
      <w:r>
        <w:rPr>
          <w:rtl w:val="true"/>
        </w:rPr>
        <w:t>حرمة المخالفة القطعية للعلم الإجمالي</w:t>
      </w:r>
      <w:bookmarkEnd w:id="167"/>
    </w:p>
    <w:p>
      <w:pPr>
        <w:pStyle w:val="BookText"/>
        <w:rPr/>
      </w:pPr>
      <w:r>
        <w:rPr>
          <w:rFonts w:ascii="Amiri" w:hAnsi="Amiri" w:eastAsia="Amiri" w:cs="Amiri"/>
          <w:color w:val="111111"/>
          <w:sz w:val="28"/>
          <w:sz w:val="28"/>
          <w:szCs w:val="28"/>
          <w:rtl w:val="true"/>
          <w:lang w:bidi="ar-SA"/>
        </w:rPr>
        <w:t>أمّا المقام الأوّل</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ومع الأسف فإنّا لم نعثر عليها ضمن مصوّرة المخطوطة التي لدينا ، وللاطّلاع على ما هو التحقيق راجع تهذيب الاُصول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قبحها عقلاً إذا كان الحكم فعلياً ، وهذا ممّا لا يحتاج إلى تجشّم استدلال سوى مراجعة الوجدان والعقل الحاكم في مثل المقام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 نّه ليس للمولى الإذن في جميع الأطراف ؛ فإنّ الإذن في المعصية ممّا يشهد العقل بقبحه ، ونقض الغرض ممتنع على كلّ ذي شعور ، فضلاً عن الحكيم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وقوع الشيء عقلاً مساوق لعدم الامتناع ؛ فإنّ الممتنع ممّا يحكم العقل بعدم وقوعه جزماً ، فإذا احتمل وقوع شيء عقلاً فهو يدلّ على عدم البرهان على امتناعه ، فاحتمال الإذن في المخالفة ونقض الغرض في مورد يدلّ على عدم حكم العقل بامتناعهما ، فحينئذٍ ما تقول في الإذن في ارتكاب الشبهة البدوية ، بل في ارتكاب أطراف المعلوم بالإجمال في الشبهة الغير المحصورة ؟ وهل هذا إلاّ احتمال نقض الغرض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الامتناع واللا امتناع مساوق للعلم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لنا إلاّ تشريح موارد النقض وغيرها حتّى يتّضح الأمر ويدفع الإشكال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النقض بالشبهة الغير المحصورة فغير وارد ؛ لأنّ الإذن في ارتكاب جميع الأطراف ممتنع جدّاً كالإذن في المحصورة ، كما أنّ ارتكاب بعضها بقصد ضمّ البقيّة وارتكاب تمام الأطراف قبيح غير ممكن الإذن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ارتكاب بعض الأطراف فهو جائز ، لا لما ذهب إليه المحقّق الخراساني رحمه الله علیه من النقص في المعلوم</w:t>
      </w:r>
      <w:r>
        <w:rPr>
          <w:rStyle w:val="FootnoteAnchor"/>
          <w:rtl w:val="true"/>
        </w:rPr>
        <w:footnoteReference w:id="213"/>
      </w:r>
      <w:r>
        <w:rPr>
          <w:rFonts w:ascii="Amiri" w:hAnsi="Amiri" w:eastAsia="Amiri" w:cs="Amiri"/>
          <w:color w:val="111111"/>
          <w:sz w:val="28"/>
          <w:sz w:val="28"/>
          <w:szCs w:val="28"/>
          <w:rtl w:val="true"/>
          <w:lang w:bidi="ar-SA"/>
        </w:rPr>
        <w:t xml:space="preserve">؛ ضرورة عدم حصول النقصان فيه بمجرّد عدم الحصر ، بل التكليف بقي على فعليته كالمحصورة ، بل لما أشرنا إليه سابقاً </w:t>
      </w:r>
      <w:r>
        <w:rPr>
          <w:rStyle w:val="FootnoteAnchor"/>
          <w:rtl w:val="true"/>
        </w:rPr>
        <w:footnoteReference w:id="214"/>
      </w:r>
      <w:r>
        <w:rPr>
          <w:rFonts w:ascii="Amiri" w:hAnsi="Amiri" w:eastAsia="Amiri" w:cs="Amiri"/>
          <w:color w:val="111111"/>
          <w:sz w:val="28"/>
          <w:sz w:val="28"/>
          <w:szCs w:val="28"/>
          <w:rtl w:val="true"/>
          <w:lang w:bidi="ar-SA"/>
        </w:rPr>
        <w:t xml:space="preserve">من أنّ الأطراف إذا كثرت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عدّت غير محصورة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احتمال الإصابة في بعض الأطراف موهوماً بحيث لا يعتني به العقلاء ، فكأنّ الطريق العقلائي قائم على عدم المعلوم في هذا المورد المنفرد </w:t>
      </w:r>
    </w:p>
    <w:p>
      <w:pPr>
        <w:pStyle w:val="BookText"/>
        <w:rPr/>
      </w:pPr>
      <w:r>
        <w:rPr>
          <w:rFonts w:ascii="Amiri" w:hAnsi="Amiri" w:eastAsia="Amiri" w:cs="Amiri"/>
          <w:color w:val="111111"/>
          <w:sz w:val="28"/>
          <w:sz w:val="28"/>
          <w:szCs w:val="28"/>
          <w:rtl w:val="true"/>
          <w:lang w:bidi="ar-SA"/>
        </w:rPr>
        <w:t xml:space="preserve">في مقابل الموارد الغير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الاطمئنان بعدم المعلوم في كلّ مورد مورد مع العلم الإجمالي بوجوده في الأطراف ؛ فإنّ الاطمئنان بالسالبة الكلّية لا يعقل مع العلم بالموجبة الجزئية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مغالطة نشأت من الخلط بين بعض الأطراف بشرط لا عن البقيّة ، وبينه مع الاجتماع معها ، فإنّ ما ذكرنا من الاطمئنان بعدم المعلوم في بعض الأطراف ، فيما إذا كان بعض الأطراف مقيساً إلى البقيّة الغير المحصورة وفي مقابلها ، فكلّ واحد من الأطراف إذا لوحظ في مقابل البقيّة يكون مورداً للاطمئنان بعدم كونه هو الواقع ؛ ضرورة أ نّه احتمال واحد في مقابل احتمالات غير محصورة ، وما لا يجتمع مع العلم هو الاطمئنان بعدم كون الواقع في جميع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الاطمئنان متعلّق بكلّ واحد في مقابل البقيّة ؛ أي سلب كلّ واحد في مقابل الإيجاب بالنسبة إلى البقيّة ، وهو لا ينافي الإيجاب الجزئي ، والمنافي هو السلب الكلّي في مقابل الإيجاب الجزئي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فعلية الحكم في الأطراف الغير المحصورة لا ينافي تجويز ارتكاب بعض الأطراف ؛ لقيام الطريق العقلائي على عدم كون المعلوم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الشبهة البدوية فالترخيص فيها أيضاً لا ينافي فعلية الحكم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عرفت معنى الفعلية ؛ وأنّ المراد منها هو الحكم الذي يكون على طبقه إرادة جدّية ، ويكون الحاكم بصدد إجرائه لتمامية الاقتضاء </w:t>
      </w:r>
    </w:p>
    <w:p>
      <w:pPr>
        <w:pStyle w:val="BookText"/>
        <w:rPr/>
      </w:pPr>
      <w:r>
        <w:rPr>
          <w:rFonts w:ascii="Amiri" w:hAnsi="Amiri" w:eastAsia="Amiri" w:cs="Amiri"/>
          <w:color w:val="111111"/>
          <w:sz w:val="28"/>
          <w:sz w:val="28"/>
          <w:szCs w:val="28"/>
          <w:rtl w:val="true"/>
          <w:lang w:bidi="ar-SA"/>
        </w:rPr>
        <w:t xml:space="preserve">وعدم موانع الإجراء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عرفت أنّ الأحكام لم تكن مشروطة أو مقيّدة بحال العلم ، وتكون التكاليف فعلية علم المكلّف أو لا ، لكن مع ذلك ليست التكاليف بوجودها الواقعي قابلة للباعثية ، والمولى إنّما أنشأ التكاليف ليعلم المكلّف فيعمل بها ؛ ولهذا أوجب على العالم إرشاد الجاهل وعلى الجاهل التعلّم ؛ لئلاّ تصير أحكامه معطّلة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كمال اهتمامه بتبليغ الأحكام ورفع الجهالة عن الأنام ، كثيراً ما يتّفق عدم وصول بعض الأحكام إلى العباد لعلل كثيرة ، ولا يمكن أن تكون التكاليف بوجودها الواقعي باعثة للمكلّف وداعية إلى الاحتياط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يمنع مانع يلزم عليه إيجاب الاحتياط في مطلق الشبهات ؛ للوصول إلى التكاليف الواقعية الفعلية ، وإن كان في إيجابه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كاختلال النظام ، أو الحرج 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تركه مصلحة غالبة ، فلا يوجبه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المورد من الموارد التي يحكم العقل بالبراءة لو خلّي ونفسه ، ويكون وجود التكليف الواقعي كعدمه بلا أثر على أيّ حال ، لا يرى العقل ترخيص المولى في مثله قبيحاً ، ولا منافياً لفعلية التكليف ، فالتكليف مع كونه فعلياً لمّا</w:t>
      </w:r>
    </w:p>
    <w:p>
      <w:pPr>
        <w:pStyle w:val="BookText"/>
        <w:rPr/>
      </w:pPr>
      <w:r>
        <w:rPr>
          <w:rFonts w:ascii="Amiri" w:hAnsi="Amiri" w:eastAsia="Amiri" w:cs="Amiri"/>
          <w:color w:val="111111"/>
          <w:sz w:val="28"/>
          <w:sz w:val="28"/>
          <w:szCs w:val="28"/>
          <w:rtl w:val="true"/>
          <w:lang w:bidi="ar-SA"/>
        </w:rPr>
        <w:t xml:space="preserve">كان غير مؤثّر في نفس العبد ، ولا داعياً إيّاه نحو العمل ، ويحكم العقل في مورده بالبراءة ، لا يمنع عن الترخيص والتوسعة إذا كان في إيجاب الاحتياط مفسدة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الترخيص إلقاء المكلّف في المفسدة ؛ لأ نّه لا يزيد على حكم العقل ، ولولا مفسدة الاحتياط كان سكوت المولى في موارد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إصابة الواقع 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قبيحاً ، ومعها كما لا يقبح السكوت لا يقبح الترخيص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ومفسدة الاحتياط لا تزاحم فعلية التكليف ؛ لأنّ المزاحمة في رتبة المصالح والمفاسد مع وحدة الموضوع توجب قصور التكليف عن الفعلية ، كما لو فرضنا في مورد الشبهة يكون عروضها موجباً لحصول مصلحة غالبة على مصلحة الواقع في موضوعها ، فإنّه مع مزاحمة المصلحة والمفسدة في موضوع واحد يقع الكسر والانكسار بينهما ، ويصير الحكم الفعلي تابعاً للغالب منهما ، فلا محالة يصير الحكم الواقعي مخصّصاً بغير مورد الشبهة في صورة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تعدّد الموضوع ، كما لو قامت المصلحة في موضوع وقامت المفسدة في غيره ، لكن وقعت المزاحمة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 حيث قامت المصلحة أو المفسدة بالموضوع الواقعي ، وقامت المفسدة في الجمع بين المشتبهات ؛ أي الاحتياط بإتيان كلّ محتمل الوجوب وترك كلّ 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لصيرورة التكليف ناقصاً عن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مزاحمة المهمّ والأهمّ ؛ فإنّ التكليف في المهمّ لا ينقص من الفعلية بواسطة أهمّية تكليف آخر مزاحم معه في مقام العمل ، ولا يكون التكليف في المهمّ مشروطاً أو مقيّداً من قبل المولى بشيء أصلاً ، بل العقل يحكم بلزوم ترك المهمّ مع فعليته ولزوم الأخذ بالأهمّ ، والمولى لا يؤاخذ عبده بتركه المهمّ ، لا لمكان عدم التكليف الفعلي ، بل لمكان عدم قدرة العبد إطاعة تكليفه الفعلي ، واشتراط التكاليف بالقدرة والعلم ليس مثل اشتراطها بالشرائط الشرعية المنافية لفعلية التكليف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الترخيص في موارد الشبهات البدوية لا ينافي فعلية التكليف ، ولا يكون مع ذلك قبيحاً 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تركه لإيجاب الاحتياط </w:t>
      </w:r>
    </w:p>
    <w:p>
      <w:pPr>
        <w:pStyle w:val="BookText"/>
        <w:rPr/>
      </w:pPr>
      <w:r>
        <w:rPr>
          <w:rFonts w:ascii="Amiri" w:hAnsi="Amiri" w:eastAsia="Amiri" w:cs="Amiri"/>
          <w:color w:val="111111"/>
          <w:sz w:val="28"/>
          <w:sz w:val="28"/>
          <w:szCs w:val="28"/>
          <w:rtl w:val="true"/>
          <w:lang w:bidi="ar-SA"/>
        </w:rPr>
        <w:t xml:space="preserve">قبيح مع فعلية التكليف لولا مفسدته ، ومعها لا قبح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الحال في ترخيص بعض أطراف المعلوم بالإجمال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فعلية التكليف إذا كان في الجمع بين المشتبهات مفسدة غالبة ؛ فإنّه لا بدّ للمولى من الجمع بين غرضيه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الواقع بمقدار الميسور ، والتحرّز عن مفسدة الجمع بين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بالترخيص في بعض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جميعها فلا يمكن مع فعلية التكليف ؛ فإنّه لا بدّ من مزاحمة مصلحة الواقع مع مصلحة الترخيص في المشتبه بما أ نّه مشتبه ، وقد عرفت أنّ المزاحمة في موضوع واحد توجب تبعية فعلية الحكم لما هو أقوى ملاكاً ، فلو زاحمت جهة المفسدة في شرب الخمر جهة المصلحة في ترخيص المشتبه ؛ فإن غلبت مفسدة الخمر تكون الحرمة فعلية ، ولا يمكن الترخيص في جميع الأطراف ؛ لامتناع نقض الغرض الفعلي ، وإن غلبت مصلحة الترخيص يكون الحكم الفعلي هو الترخيص ، ولا يمكن أن تكون حرمة الخمر 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الترخيص في المخالفة القطعية ممّا لا يمكن إلاّ مع عدم فعلية التكليف ، وهو خارج عن موضوع البحث ، وأمّا الترخيص في بعض الأطراف والإذن في المخالفة الاحتمالية فلا ينافي فعلية التكليف ، ولا يكون قبيحاً لو زاحم المفسدة الأقوى ، سواء كان الترخيص في بعض أطراف المعلوم بالإجمال أو موارد الشبهات البدوية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واتّضح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جريان الاُصول في أطراف المعلوم بالإجمال إنّما هو للزوم المخالفة القطعية العملية ، من غير فرق بين الاُصول مطلقاً من هذه الجهة </w:t>
      </w:r>
      <w:r>
        <w:rPr>
          <w:rFonts w:eastAsia="Amiri" w:cs="Amiri" w:ascii="Amiri" w:hAnsi="Amiri"/>
          <w:color w:val="111111"/>
          <w:sz w:val="28"/>
          <w:szCs w:val="28"/>
          <w:rtl w:val="true"/>
          <w:lang w:bidi="ar-SA"/>
        </w:rPr>
        <w:t xml:space="preserve">. </w:t>
      </w:r>
      <w:bookmarkStart w:id="168" w:name="pg12132_127930"/>
    </w:p>
    <w:p>
      <w:pPr>
        <w:pStyle w:val="BookText"/>
        <w:rPr/>
      </w:pPr>
      <w:bookmarkEnd w:id="168"/>
      <w:r>
        <w:rPr>
          <w:rFonts w:ascii="IRNazanin" w:hAnsi="IRNazanin" w:eastAsia="IRNazanin"/>
          <w:color w:val="111111"/>
          <w:sz w:val="28"/>
          <w:sz w:val="28"/>
          <w:szCs w:val="28"/>
          <w:rtl w:val="true"/>
          <w:lang w:bidi="fa-IR"/>
        </w:rPr>
        <w:t xml:space="preserve">وأمّا الشيخ العلاّمة الأنصاري رحمه الله علیه </w:t>
      </w:r>
      <w:r>
        <w:rPr>
          <w:rStyle w:val="FootnoteAnchor"/>
          <w:rtl w:val="true"/>
        </w:rPr>
        <w:footnoteReference w:id="215"/>
      </w:r>
      <w:r>
        <w:rPr>
          <w:rFonts w:ascii="Amiri" w:hAnsi="Amiri" w:eastAsia="Amiri" w:cs="Amiri"/>
          <w:color w:val="111111"/>
          <w:sz w:val="28"/>
          <w:sz w:val="28"/>
          <w:szCs w:val="28"/>
          <w:rtl w:val="true"/>
          <w:lang w:bidi="ar-SA"/>
        </w:rPr>
        <w:t xml:space="preserve">فقد جعل المحذور في مقام الإثبات وأنّ أدلّة الاُصول ممّا لا يمكن شمولها لأطراف المعلوم بالإجمال ؛ للزوم مناقضة الصدر والذيل 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 ، ولكن ينقضه بيقين مثله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الحرام بعينه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وقد فرغنا من جوابه في مباحث القطع</w:t>
      </w:r>
      <w:r>
        <w:rPr>
          <w:rStyle w:val="FootnoteAnchor"/>
          <w:rtl w:val="true"/>
        </w:rPr>
        <w:footnoteReference w:id="218"/>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Heading2"/>
        <w:numPr>
          <w:ilvl w:val="1"/>
          <w:numId w:val="1"/>
        </w:numPr>
        <w:rPr/>
      </w:pPr>
      <w:bookmarkStart w:id="169" w:name="__RefHeading___Toc3352674_417432637"/>
      <w:bookmarkStart w:id="170" w:name="_Toc58"/>
      <w:bookmarkEnd w:id="169"/>
      <w:r>
        <w:rPr>
          <w:rtl w:val="true"/>
        </w:rPr>
        <w:t>تفصيل بعض الأعاظم</w:t>
      </w:r>
      <w:bookmarkEnd w:id="170"/>
    </w:p>
    <w:p>
      <w:pPr>
        <w:pStyle w:val="BookText"/>
        <w:rPr/>
      </w:pPr>
      <w:r>
        <w:rPr>
          <w:rFonts w:ascii="IRNazanin" w:hAnsi="IRNazanin" w:eastAsia="IRNazanin"/>
          <w:color w:val="111111"/>
          <w:sz w:val="28"/>
          <w:sz w:val="28"/>
          <w:szCs w:val="28"/>
          <w:rtl w:val="true"/>
          <w:lang w:bidi="fa-IR"/>
        </w:rPr>
        <w:t>وأمّا بعض أعاظم العصر رحمه الله علیه فقد جعل المحذور أمراً آخر ، وفصّل بين أصالة</w:t>
      </w:r>
    </w:p>
    <w:p>
      <w:pPr>
        <w:pStyle w:val="BookText"/>
        <w:rPr/>
      </w:pPr>
      <w:r>
        <w:rPr>
          <w:rFonts w:ascii="Amiri" w:hAnsi="Amiri" w:eastAsia="Amiri" w:cs="Amiri"/>
          <w:color w:val="111111"/>
          <w:sz w:val="28"/>
          <w:sz w:val="28"/>
          <w:szCs w:val="28"/>
          <w:rtl w:val="true"/>
          <w:lang w:bidi="ar-SA"/>
        </w:rPr>
        <w:t>الإباحة في دوران الأمر بين المحذورين وبين الاُصول التنزيلية وغيرها ، وجعل محذور كلّ واحد منها أمراً غير الآخر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فرغنا من جوابه في ذلك المقام أيضاً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ليس من الاُصول المحرزة التنزيلية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يمكن أن يقال في كونه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الكبرى </w:t>
      </w:r>
    </w:p>
    <w:p>
      <w:pPr>
        <w:pStyle w:val="BookText"/>
        <w:rPr/>
      </w:pPr>
      <w:r>
        <w:rPr>
          <w:rFonts w:ascii="Amiri" w:hAnsi="Amiri" w:eastAsia="Amiri" w:cs="Amiri"/>
          <w:color w:val="111111"/>
          <w:sz w:val="28"/>
          <w:sz w:val="28"/>
          <w:szCs w:val="28"/>
          <w:rtl w:val="true"/>
          <w:lang w:bidi="ar-SA"/>
        </w:rPr>
        <w:t xml:space="preserve">المجعولة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 على حرمة نقض اليقين السابق بالشكّ عملاً ، ووجوب ترتيب آثار اليقين الطريقي في ظرف الشكّ ، ولمّا كان اليقين الطريقي كاشفاً عن الواقع كان العامل بيقينه يعمل به على أ نّه هو الواقع ؛ لكونه منكشفاً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صلّى صلاة الجمعة مع علمه بوجوبها ، وأنّ تكليفه الواقعي هو إتيانها ، يأتي بها بما أ نّها هي الواقع ، فيصلّي صلاة الجمعة في زمن اليقين معتقداً بأ نّها هي الواقع ، وبما أ نّها هي هو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عملاً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معاملة اليقين ورتّب آثاره في ظرف الشكّ ، ومعنى ترتيب آثاره والعمل على طبقه أن يأتي بالمشكوك فيه في زمان الشكّ مبنيّاً على أ نّه هو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 إنّما اعتبر لأجل التحفّظ على الواقع في ظرف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وأنت خبير بأنّ المتيقّن إنّما يعمل على طبق يقينه من غير توجّه إلى أ نّه هو الواقع توجّهاً اسمياً استقلالياً ، بل يعمل على طبقه ويأتي بالواقع بالحمل الشائع بلا توجّه إلى أ نّه مصداق هذا المفهوم ومعنون هذا العنوان ، فضلاً عن أن يبني على أ نّه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تعمل هو الواقع أو لا ؟ يتبدّل توجّهه الحرفي بالاسمي ، ويكون جوابه مثبتاً ، فمعنى لا ينقض اليقين بالشكّ عملاً هو ترتيب آثار القطع الطريقي ؛ أي ترتيب آثار المتيقّن ، لا ترتيب آثاره على أ نّه هو الواقع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جعل الاستصحاب لأجل التحفّظ على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منه أنّ جعله بلحاظ حفظ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دليل على الاحتياط في الشبهة </w:t>
      </w:r>
    </w:p>
    <w:p>
      <w:pPr>
        <w:pStyle w:val="BookText"/>
        <w:rPr/>
      </w:pPr>
      <w:r>
        <w:rPr>
          <w:rFonts w:ascii="Amiri" w:hAnsi="Amiri" w:eastAsia="Amiri" w:cs="Amiri"/>
          <w:color w:val="111111"/>
          <w:sz w:val="28"/>
          <w:sz w:val="28"/>
          <w:szCs w:val="28"/>
          <w:rtl w:val="true"/>
          <w:lang w:bidi="ar-SA"/>
        </w:rPr>
        <w:t xml:space="preserve">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كذلك ، لكن لا يوجب ذلك أن يكون التعبّد بالمتيقّن على أ نّه هو الواقع ، كما في الاحتياط ، فإنّه أيضاً بلحاظ الواقع ، لا على أنّ المشتبه هو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منه هو التعبّد على أ نّه هو الواقع فهو ممّا لا شاهد له في الأدلّة ؛ فإنّ الكبرى المجعولة ليست إلاّ حرمة نقض اليقين بالشكّ ، فهي إمّا بصدد إطالة عمر اليقين ، وإمّا بصدد حرمة النقض عملاً ؛ أي ترتيب آثار اليقين أو المتيقّن ، وأمّا كونها بصدد بيان وجوب البناء على أ نّه هو الواقع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كون الاستصحاب من الاُصول المحرزة والتنزيلية ، فعدم جريانه في أطراف العلم الإجمالي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المحقّق المتقدّم ذكره في وجه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المجعول فيها لمّا كان هو البناء العملي ، والأخذ بأحد طرفي الشكّ على أ نّه هو الواقع وإلقاء الطرف الآخر ، فلا يمكن مثل هذا الجعل في تمام الأطراف ؛ للعلم بانتقاض الحالة السابقة في بعضها ، وانقلاب الإحراز السابق الذي كان في جميع الأطراف إلى إحراز آخر يضادّه ، ومعه كيف يمكن الحكم ببقاء الإحراز السابق في جميع الأطراف ولو تعبّداً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الإحراز التعبّدي لا يجتمع مع الإحراز الوجداني بالخلاف</w:t>
      </w:r>
      <w:r>
        <w:rPr>
          <w:rStyle w:val="FootnoteAnchor"/>
          <w:rtl w:val="true"/>
        </w:rPr>
        <w:footnoteReference w:id="22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محلّ المنع ؛ لأنّ كلّ طرف من الأطراف يكون مشكوكاً فيه ، فتمّت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أحد الأصلين للواقع لا توجب عدم جريانه لولا المخالفة العملية ، كاستصحاب طهارة الماء ونجاسة اليد إذا غسل بالماء </w:t>
      </w:r>
    </w:p>
    <w:p>
      <w:pPr>
        <w:pStyle w:val="BookText"/>
        <w:rPr/>
      </w:pPr>
      <w:r>
        <w:rPr>
          <w:rFonts w:ascii="Amiri" w:hAnsi="Amiri" w:eastAsia="Amiri" w:cs="Amiri"/>
          <w:color w:val="111111"/>
          <w:sz w:val="28"/>
          <w:sz w:val="28"/>
          <w:szCs w:val="28"/>
          <w:rtl w:val="true"/>
          <w:lang w:bidi="ar-SA"/>
        </w:rPr>
        <w:t xml:space="preserve">المشكوك الكرّية ؛ فإنّ للشارع التعبّد بوجود ما ليس بموجود ، والتعبّد بتفكيك المتلازمين وتلازم المنفكّين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اجتماع الإحراز التعبّدي مع الإحراز الوجداني بالضدّ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 نّه قدّس سرّه قد تنبّه إلى هذا الإشكال في آخر مبحث الاستصحاب ، وأجاب عنه بما هو في غاية السقوط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كلامه في ذلك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نّه ربّما يناقش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الاُصول المحرزة في أطراف العلم الإجمالي مطلقاً وإن لم يلزم مخالفة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يلزم على هذا عدم جواز التفكيك بين المتلازمين الشرعيين ، كطهارة البدن وبقاء الحدث عند الوضوء بمائع مردّد بين البول والماء ؛ لأنّ الاستصحابين ينافيان العلم الوجداني بعدم بقاء الواقع في أحدهما ، وكذا بين المتلازمين العقليين أو العاديين ، كاستصحاب بقاء الكلّي وعدم حدوث الفرد ، واستصحاب حياة زيد وعدم نبت لحيته ، ولا يمكن الالتزام بعدم جريان الاستصحاب في أمثال المقامات ؛ لتنافيه مع القول بعدم حجّية الاُصول المثبتة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دفع الشبهة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فرق بين كون مفاد الأصلين متّفقين على مخالفة ما يعلم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نجاسة الإناءين أو طهارتهما مع العلم بانتقاض الحالة السابقة ، فإنّ الاستصحابين يتوافقان في نفي ما يعلم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لا يلزم من التعبّد بمؤدّى الأصلين العلم التفصيلي بكذب ما يؤدّيان إليه ، بل يعلم إجمالاً بعدم مطابقة أحد الأصلين للواقع من دون أن يتوافقا في مخالفة المعلوم تفصيلاً ، وما منعنا عن جريانه في أطراف العلم الإجمالي هو الأوّل دون </w:t>
      </w:r>
    </w:p>
    <w:p>
      <w:pPr>
        <w:pStyle w:val="BookText"/>
        <w:rPr/>
      </w:pPr>
      <w:r>
        <w:rPr>
          <w:rFonts w:ascii="Amiri" w:hAnsi="Amiri" w:eastAsia="Amiri" w:cs="Amiri"/>
          <w:color w:val="111111"/>
          <w:sz w:val="28"/>
          <w:sz w:val="28"/>
          <w:szCs w:val="28"/>
          <w:rtl w:val="true"/>
          <w:lang w:bidi="ar-SA"/>
        </w:rPr>
        <w:t xml:space="preserve">الثاني ؛ لأ نّه لا يمكن التعبّد بالجمع بين الاستصحابين اللذين يتوافقان في المؤدّى مع مخالفة مؤدّاهما للمعلوم بالإجمال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التفكيك بين المتلازمين الواقعيين فلا مانع منه ؛ لأنّ التلازم بحسب الواقع لا يلازم التلازم بحسب الظاهر</w:t>
      </w:r>
      <w:r>
        <w:rPr>
          <w:rStyle w:val="FootnoteAnchor"/>
          <w:rtl w:val="true"/>
        </w:rPr>
        <w:footnoteReference w:id="22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جريان استصحاب الطهارة أو النجاسة في كلّ واحد من الإناءين لا ينافي الإحراز الوجداني ، وليس لمجموعهما أصل حتّى يكون منافياً للعلم التفصيلي ، بل المنافاة بين جريان كليهما مع العلم الإجمالي ؛ أي يعلم بعدم مطابقة أحد الأصلين للواقع ، وهو عين المحذور في مورد النقض ، أي التفكيك بين المتلازمين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نجاسة أحد الإناءين لا يصادم العلم ، وكذا استصحاب نجاسة الآخر ، وليس استصحاب آخر مصادم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جريانهما مخالف للعلم الإجمالي ، فيعلم مخالفة أحدهما للواقع ، كما أنّ استصحاب طهارة البدن من الماء المردّد غير منافٍ للعلم ، واستصحاب الحدث كذلك ، لكن جريانهما منافٍ للعلم الإجمالي ، فيعلم كذب أحدهما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ملاك الجريان واللا جريان في كليهما واحد ، ومجرّد توافق الاستصحابين في المفاد لا يوجب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توافقهما فيه أيضاً ممنوع ؛ فإنّ مفاد أحدهما نجاسة أحد الإناءين ومفاد الآخر نجاسة الإناء الآخر ، وإنّما </w:t>
      </w:r>
      <w:bookmarkStart w:id="171" w:name="pg12132_127935"/>
    </w:p>
    <w:p>
      <w:pPr>
        <w:pStyle w:val="BookText"/>
        <w:rPr/>
      </w:pPr>
      <w:bookmarkEnd w:id="171"/>
      <w:r>
        <w:rPr>
          <w:rFonts w:ascii="Amiri" w:hAnsi="Amiri" w:eastAsia="Amiri" w:cs="Amiri"/>
          <w:color w:val="111111"/>
          <w:sz w:val="28"/>
          <w:sz w:val="28"/>
          <w:szCs w:val="28"/>
          <w:rtl w:val="true"/>
          <w:lang w:bidi="ar-SA"/>
        </w:rPr>
        <w:t xml:space="preserve">توافقهما نوعي ، ومورد الموافقة ليس مجرى الأصل ، وما هو مجراه وهو النجاسة الشخصية لا يكون موافق المضمون مع صاحبه بحيث ينافي العلم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يلزم ممّا ادّعى ، التفصيل في جريان الاستصحاب في أطراف العلم الإجمالي بين موارد يكون الأصلان فيها متوافقي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لا يكون كذلك ، كما لو علم بوجوب صلاة الجمعة وحرمة شرب التتن سابقاً ، وعلم انتقاض أحدهما ، فجريان الاستصحابين فيهما على ما ذكره ممّا لا مانع منه ؛ لأ نّهما غير متوافقي المضمون ، مع أ نّه لم يفصّل بين الاستصحابات </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3352676_417432637"/>
      <w:bookmarkStart w:id="173" w:name="_Toc59"/>
      <w:bookmarkEnd w:id="172"/>
      <w:r>
        <w:rPr>
          <w:rtl w:val="true"/>
        </w:rPr>
        <w:t>وجوب الموافقة القطعية</w:t>
      </w:r>
      <w:bookmarkEnd w:id="173"/>
    </w:p>
    <w:p>
      <w:pPr>
        <w:pStyle w:val="Heading2"/>
        <w:numPr>
          <w:ilvl w:val="1"/>
          <w:numId w:val="1"/>
        </w:numPr>
        <w:rPr/>
      </w:pPr>
      <w:bookmarkStart w:id="174" w:name="__RefHeading___Toc3352678_417432637"/>
      <w:bookmarkStart w:id="175" w:name="_Toc60"/>
      <w:bookmarkEnd w:id="174"/>
      <w:r>
        <w:rPr>
          <w:rtl w:val="true"/>
        </w:rPr>
        <w:t>استفادة الترخيص في بعض الأطراف من الأدلّة العامّة</w:t>
      </w:r>
      <w:bookmarkEnd w:id="175"/>
    </w:p>
    <w:p>
      <w:pPr>
        <w:pStyle w:val="BookText"/>
        <w:rPr/>
      </w:pPr>
      <w:r>
        <w:rPr>
          <w:rFonts w:ascii="Amiri" w:hAnsi="Amiri" w:eastAsia="Amiri" w:cs="Amiri"/>
          <w:color w:val="111111"/>
          <w:sz w:val="28"/>
          <w:sz w:val="28"/>
          <w:szCs w:val="28"/>
          <w:rtl w:val="true"/>
          <w:lang w:bidi="ar-SA"/>
        </w:rPr>
        <w:t xml:space="preserve">ثمّ بعد ما علمت أنّ الإذن في بعض الأطراف ممّا لا محذور فيه ، ولا ينافي فعلية المعلوم في البين ، يقع الكلام في إمكان استفادة الترخيص في بعضها من الأدلّة العامّة بعد عدم دليل خاصّ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المقام وجوه مذكورة في مسفورات المشايخ رحمهما اللّه مع أجوبتها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الترخيص وإن لم تدلّ على الترخيص في الواحد الغير المعيّن ، إلاّ أ نّه يمكن استكشافه من الدليل اللفظي بضميمة حكم العقل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المادّة في الأدلّة المرخّصة هو وجود الملاك في كلّ </w:t>
      </w:r>
    </w:p>
    <w:p>
      <w:pPr>
        <w:pStyle w:val="BookText"/>
        <w:rPr/>
      </w:pPr>
      <w:r>
        <w:rPr>
          <w:rFonts w:ascii="Amiri" w:hAnsi="Amiri" w:eastAsia="Amiri" w:cs="Amiri"/>
          <w:color w:val="111111"/>
          <w:sz w:val="28"/>
          <w:sz w:val="28"/>
          <w:szCs w:val="28"/>
          <w:rtl w:val="true"/>
          <w:lang w:bidi="ar-SA"/>
        </w:rPr>
        <w:t xml:space="preserve">مشتبه ، فالمشتبه بما أ نّه مشتبه تمام الموضوع للحكم بالترخيص من غير دخالة قيد فيه ، ففيه الملاك بلا تقيّده بشيء ، ولمّا كان التقييد العقلي وارداً على الهيئة بواسطة لزوم الإذن في المعصية ، يستكشف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الترخيصين المعيّنين في طرفي العلم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ترخيصاً تخييرياً بواسطة إطلاق المادّة وكشف الملاك ، فكما أنّ الملاك في المشتبهات يوجب الترخيص فيها ، كذلك وجود الملاك في أحد المشتبهين يوجب الترخيص فيه ، كالواجبين المتزاحمين اللذين بعد سقوط خطابهما يستكشف العقل حكماً تخييرياً بواسطة الملاك المستكشف بإطلاق المادّة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الملاك لا يمكن إلاّ بإطلاق الهيئة ، فإذا لم يكن لها إطلاق فلا طريق إلى استكشافه ؛ لإمكان أن يكون لمورد سقوط الخطاب خصوصية مزاحمة للملاك لا يجب على المولى بيانها ؛ لعدم مفسدة في ترك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قصور إطلاق المادّة عن إثبات الملاك بعد تقييد الهيئة ، فإنّما يكون قصوره بمقدار التقييد لا غير ، والفرض أنّ التقييد العقلي ليس إلاّ فيما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في المعصية ، وهو في الجمع بين تمام الأطراف ، وليس في البين أمر آخر يوجب سقوط الخطاب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يسقط الخطاب عن الطرفين ، لا لحكم العقل بالتقييد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لزوم المخالفة القطعية إلاّ في الجمع بينهما فيما نحن فيه ، وعدم العجز إلاّ عن الجمع في باب التزاحم كالغريقين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لقبح الترجيح بلا مرجّح وعدم شمول العامّ </w:t>
      </w:r>
    </w:p>
    <w:p>
      <w:pPr>
        <w:pStyle w:val="BookText"/>
        <w:rPr/>
      </w:pPr>
      <w:r>
        <w:rPr>
          <w:rFonts w:ascii="Amiri" w:hAnsi="Amiri" w:eastAsia="Amiri" w:cs="Amiri"/>
          <w:color w:val="111111"/>
          <w:sz w:val="28"/>
          <w:sz w:val="28"/>
          <w:szCs w:val="28"/>
          <w:rtl w:val="true"/>
          <w:lang w:bidi="ar-SA"/>
        </w:rPr>
        <w:t xml:space="preserve">لواحد غير معيّن ، مع كون المقتضي والملاك في غير مورد المخالفة القطعية والإذن في المعصية وفي غير مورد العجز موجوداً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في التقييدات العقلية لا يكون التقييد من قِبل المولى ، بل يكون التكليف من قِبله تامّاً ، وإنّما يحكم العقل بامتناع الخطاب الفعلي المنجّز في مورد العجز ، أو الإذن الفعلي في مورد لزوم الإذن في المعصية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استكشاف الخطاب التخييري لو سلّم فإنّما هو فيما إذا يقطع بأنّ الجري على طبق أحد الاقتضاءين لا مانع منه كما في الغريقين ، وأمّا فيما نحن فيه فكما أنّ الشكّ يقتضي الترخيص ، كذلك التكليف الواقعي يقتضي الاحتياط بحكم العقل في أطراف العلم ، ولعلّ اقتضاء التكليف الواقعي يكون أقوى في الاحتياط من اقتضاء الشكّ في الترخيص ، ومع هذا الاحتمال لا وجه للقطع بالترخيص</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أدلّة الاُصول إلى كلّ واحد من الأطراف وإن كانت على حدّ سواء ، لكن لا يقتضي ذلك سقوطها عن جميع الأطراف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المرخّصة كما يكون لها عموم أفرادي بالنسبة إلى كلّ مشتبه ، يكون لها إطلاق أحوالي بالنسبة إلى حالات المشتبه ، فكلّ مشتبه مأذون فيه أتى المكلّف بالآخر أو تركه ، وعند التزاحم بينهما إنّما يقع التزاحم بين إطلاقهما لا أصلهما ؛ فإنّ الترخيص في كلّ واحد منهما في حال ترك الآخر ممّا لا مانع منه ، فالمخالفة العملية إنّما نشأت من إطلاق الحجّية والترخيص لحال </w:t>
      </w:r>
    </w:p>
    <w:p>
      <w:pPr>
        <w:pStyle w:val="BookText"/>
        <w:rPr/>
      </w:pPr>
      <w:r>
        <w:rPr>
          <w:rFonts w:ascii="Amiri" w:hAnsi="Amiri" w:eastAsia="Amiri" w:cs="Amiri"/>
          <w:color w:val="111111"/>
          <w:sz w:val="28"/>
          <w:sz w:val="28"/>
          <w:szCs w:val="28"/>
          <w:rtl w:val="true"/>
          <w:lang w:bidi="ar-SA"/>
        </w:rPr>
        <w:t>إجراء الآخر وعدمه ، فلا بدّ من رفع اليد عن إطلاقهما لا أصلهما ، فتصير النتيجة الإذن في كلّ واحد منهما مشروطاً بترك الآخر وهذا مساوق للترخيص التخييري ، وهذا نظير باب التزاحم ، وحجّية الأمارات على السببية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بعض أعاظم العصر رحمه الله علیه بما لا يخلو عن إشكال ، بل عن إشكالات ، فقال ما حاصله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الموارد التي نقول فيها بالتخيير مع عدم قيام دليل عليه بالخصوص لا تخلو عن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اقتضاء الكاشف والدليل الدالّ على الحكم التخيير في العمل ، وإمّا اقتضاء المنكشف والمدلول ذلك وإن كان الدليل يقتضي التعيينية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بخروج زيد وعمرو عنه ، لكن شكّ في أنّ خروجهما هل هو على وجه الإطلاق ؛ بحيث لا يجب إكرام كلّ منهما في حال من الأحوال ، أو ليس كذلك ، بل كان عدم وجوب إكرام كلّ منهما مقيّداً بحال إكرام الآخر ؛ أي يدور الأمر بين كون المخصّص أفرادياً وأحوالياً أو أحوالياً فقط ، فلا بدّ حينئذٍ من القول بالتخيير ، وإنّما نشأ ذلك من اجتماع دليل العامّ وإجمال المخصّص ، ووجوب الاقتصار على القدر المتيقّن في التخصيص ، وليس التخيير لأجل اقتضاء المجعول ، بل المجعول في كلّ من العامّ والخاصّ هو الحكم التعييني ، والتخيير نشأ من ناحية الدليل لا المدلول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تزاحم الواجبان في مقام الامتثال ؛ لعدم القدرة على الجمع </w:t>
      </w:r>
    </w:p>
    <w:p>
      <w:pPr>
        <w:pStyle w:val="BookText"/>
        <w:rPr/>
      </w:pPr>
      <w:r>
        <w:rPr>
          <w:rFonts w:ascii="Amiri" w:hAnsi="Amiri" w:eastAsia="Amiri" w:cs="Amiri"/>
          <w:color w:val="111111"/>
          <w:sz w:val="28"/>
          <w:sz w:val="28"/>
          <w:szCs w:val="28"/>
          <w:rtl w:val="true"/>
          <w:lang w:bidi="ar-SA"/>
        </w:rPr>
        <w:t xml:space="preserve">بينهما ؛ فإنّ التخيير في باب التزاحم إنّما هو لأجل أنّ المجعول في باب التكاليف يقتضي التخيير ؛ لأ نّه يعتبر عقلاً في المجعولات الشرعية القدرة على امتثالها ، والمفروض حصول القدرة على امتثال كلّ من المتزاحمين عند ترك الآخر ، وحيث لا ترجيح في البين ، وكلّ تكليف يستدعي نفي الموانع عن متعلّقه وحفظ القدرة عليه ، فالعقل يستقلّ حينئذٍ بصرف القدرة في أحدهما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تقييد التكليف في كلّ منهما بحال عدم امتثال الآخر ، وإمّا لأجل سقوط التكليفين واستكشاف العقل حكماً تخييرياً ؛ لوجود الملاك التامّ ، وعلى أيّ حال التخيير في باب التزاحم لم ينشأ من ناحية الدليل ، بل نشأ من ناحية المدلول بالبيان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بالتخيير في باب تعارض الاُصول ممّا لا شاهد عليه ، لا من ناحية الدليل ، ولا المدلول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ناحية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يكاد يخفى ؛ فإنّ دليل اعتبار كلّ أصل إنّما يقتضي جريانه عيناً ، سواء عارضه أصل آخر أو لا ، وليس في الأدلّة ما يوجب التخيير عند التعارض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ناحية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المجعول فيها ليس إلاّ الحكم بتطبيق العمل على مؤدّى الأصل مع انحفاظ رتبة الحكم الظاهري باجتماع القيود الثلاثة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بالواقع ، وإمكان الحكم على المؤدّى بأ نّه الواقع ، وعدم لزوم المخالفة العملية ، وحيث إنّه يلزم من جريان الاُصول في أطراف العلم الإجمالي مخالفة عملية فلا يمكن جعلها جميعاً ، وكون المجعول أحدها تخييراً ممكن إلاّ أ نّه لا دليل عليه ، لا من ناحية أدلّة الاُصول ، ولا من ناحية المجعول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وقياسها بباب الأمارات على السببية ليس في محلّه ؛ لأنّ المجعول فيها ممّا يقتضي التخيير ؛ لاندراجها في باب التزاحم</w:t>
      </w:r>
      <w:r>
        <w:rPr>
          <w:rStyle w:val="FootnoteAnchor"/>
          <w:rtl w:val="true"/>
        </w:rPr>
        <w:footnoteReference w:id="22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مواقع للنظر نشير إلى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التخيير في الصورة الاُولى من مقتضيات الكاشف والدالّ ، لا المنكشف والمدلول ؛ فإنّ المجعول في كلّ من العامّ والخاصّ هو الحكم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 فإنّ دوران الأمر في المخصّص 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 الفردين مطلقاً ، أو خروج كلّ منهما مشروطاً بدخول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للحكم بالتخيير ؛ فإنّه القدر المتيقّن من التصرّف في العامّ ، وإلاّ فلو علم أنّ المجعول في كلّ من العامّ والخاصّ هو الحكم التعييني ، فلا مجال للحكم بالتخيير ، وهذا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خرج واحد معيّن واقعاً وغير معيّن عندنا أمكن القول بالتخيير في بعض الصور أيضاً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في الأصلين المتعارضين من مقتضيات الدالّ والكاشف ، كالمثال المذكور في الصورة الاُولى ؛ لأنّ اجتماع دليل العامّ وإجمال دليل الخاصّ بضميمة وجوب الاقتصار على القدر المتيقّن في التخصيص كما أوجب الحكم بالتخيير ، كذلك اجتماع دليل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 نّه حرام بعينه</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لزوم التخصيص ، ودورانه بين خروج الفردين مطلقاً وفي جميع الأحوال ، أو خروج كلّ منهما في </w:t>
      </w:r>
    </w:p>
    <w:p>
      <w:pPr>
        <w:pStyle w:val="BookText"/>
        <w:rPr/>
      </w:pPr>
      <w:r>
        <w:rPr>
          <w:rFonts w:ascii="IRNazanin" w:hAnsi="IRNazanin" w:eastAsia="IRNazanin"/>
          <w:color w:val="111111"/>
          <w:sz w:val="28"/>
          <w:sz w:val="28"/>
          <w:szCs w:val="28"/>
          <w:rtl w:val="true"/>
          <w:lang w:bidi="fa-IR"/>
        </w:rPr>
        <w:t>حال عدم</w:t>
      </w:r>
      <w:r>
        <w:rPr>
          <w:rStyle w:val="FootnoteAnchor"/>
          <w:rtl w:val="true"/>
        </w:rPr>
        <w:footnoteReference w:id="228"/>
      </w:r>
      <w:r>
        <w:rPr>
          <w:rFonts w:ascii="Amiri" w:hAnsi="Amiri" w:eastAsia="Amiri" w:cs="Amiri"/>
          <w:color w:val="111111"/>
          <w:sz w:val="28"/>
          <w:sz w:val="28"/>
          <w:szCs w:val="28"/>
          <w:rtl w:val="true"/>
          <w:lang w:bidi="ar-SA"/>
        </w:rPr>
        <w:t xml:space="preserve">ارتكاب الآخر ، موجب للحكم بالتخيير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الأحوالي لدليل العامّ ولزوم الأخذ بالقدر المتيقّن في التخصيص ، هو الملاك فيما نحن فيه وفيما ذكر من المثال ، بل فيما نحن فيه أولى ممّا ذكره ؛ لأنّ التخصيص فيه عقلي ، والعقل يحكم جزماً بأنّ ما يوجب الامتناع هو إطلاق الدليل لا عمومه الأفرادي ، فالمخصّص لم يكن أمره دائراً بين الأقلّ والأكثر كالمثال المذكور ، بل يحكم العقل بأنّ ملاك التصرّف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أدلّة الاُصول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في تقييد الإطلاق ، لا تخصيص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التخيير في باب تزاحم الواجبين من ناحية المدلول والمنكشف ، لا الدالّ والكاشف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 فإنّ التخيير فيه لأجل إطلاق العامّ أحوالاً ، ولزوم الأخذ بالقدر المتيقّن في التصرّف فيه ، فالتخيير إنّما نشأ من إطلاق الدليل ، وعدم الدليل على التصرّف فيه إلاّ بمقدار يحكم العقل بامتناع العمل بالعامّ ، وهو الأخذ بالإطلاق الأحوالي في كلا الفردين ، فلا بدّ من التصرّف فيه من تلك الجهة ، ونتيجته الحكم بالتخيير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الصورة الاُولى والثانية إلاّ من ناحية المخصّص ؛ فإنّ المخصّص في الاُولى دليل لفظي مجمل دائر بين الأقلّ والأكثر ، وفي الثانية دليل عقلي يحكم بخروج القدر المتيقّن من العامّ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بنينا على أنّ التكليفين يسقطان معاً ، ويستكشف العقل لأجل الملاك التامّ حكماً تخييرياً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بينهما إنّما يكون لأجل المدلول لا الدليل على إشكال فيه ، لكنّه خلاف مسلكه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نحن فيه أيضاً يكون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من ناحية المدلول والمنكشف كما في المتزاحمين ؛ فإنّ الترخيص المستفاد من أدلّة الاُصول مقيّد عقلاً بعدم لزوم الإذن في المعصية القطعية ؛ أي بكون المكلّف قادراً تشريعاً على إتيانه ، وكلّ واحد من المتعارضين يقتضي صَرف قدرة المكلّف إلى متعلّقه ، ونفيَ الموانع عن وجوده ، فلمّا لم يكن للعبد إلاّ صَرف قدرته في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عاجزاً عن إتيانهما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التعارض بينهما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نقول بسقوط التكليفين واستكشاف العقل تكليفاً تخييرياً ، أو نقول بتقييد إطلاق كلّ منهما بحال امتثال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 ما نحن فيه حال المتزاحمين طابق النعل بالنعل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جوابه مع طوله ممّا لا طائل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ومع الأسف فإنّا لم نعثر عليها في تصوير الأصل المتوفّر عندنا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جريان الاُصول بالنسبة إلى بعض الأطراف إنّما هو لأمر آخر ، وهو قصور أدلّة الترخيص عن شمول الأطراف ؛ لأنّ العقل بعد ما يحكم حكماً ضرورياً بلزوم الموافقة القطعية ، وترك جميع الأطراف في الشبهة التحريمية ، وإتيانها في الشبهة الوجوبية ، وبعد فعلية الحكم وتنجّزه ، لا يكاد يمكن استفادة الترخيص من الأدلّة العامّة ، بل لا بدّ من التصريح</w:t>
      </w:r>
      <w:bookmarkStart w:id="176" w:name="pg12132_127943"/>
    </w:p>
    <w:p>
      <w:pPr>
        <w:pStyle w:val="BookText"/>
        <w:rPr/>
      </w:pPr>
      <w:bookmarkEnd w:id="176"/>
      <w:r>
        <w:rPr>
          <w:rFonts w:ascii="Amiri" w:hAnsi="Amiri" w:eastAsia="Amiri" w:cs="Amiri"/>
          <w:color w:val="111111"/>
          <w:sz w:val="28"/>
          <w:sz w:val="28"/>
          <w:szCs w:val="28"/>
          <w:rtl w:val="true"/>
          <w:lang w:bidi="ar-SA"/>
        </w:rPr>
        <w:t xml:space="preserve">بذلك ؛ لأ نّه حكم مخالف لحكم العقل ، ويحتاج بعد التصريح إلى تصوير إمكانه بالدقّة العقلية وإقامة البرهان عليه ، وما كان حاله كذلك لا يستفاد الترخيص فيه من مثل العمومات ، نظير ما ذكر في باب حجّية الخبر الواحد والأمارات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الأدلّة العامّة لا تصلح للرادعية عنها ، بل لا بدّ في الردع من التصريح</w:t>
      </w:r>
      <w:r>
        <w:rPr>
          <w:rStyle w:val="FootnoteAnchor"/>
          <w:rtl w:val="true"/>
        </w:rPr>
        <w:footnoteReference w:id="230"/>
      </w:r>
      <w:r>
        <w:rPr>
          <w:rFonts w:ascii="Amiri" w:hAnsi="Amiri" w:eastAsia="Amiri" w:cs="Amiri"/>
          <w:color w:val="111111"/>
          <w:sz w:val="28"/>
          <w:sz w:val="28"/>
          <w:szCs w:val="28"/>
          <w:rtl w:val="true"/>
          <w:lang w:bidi="ar-SA"/>
        </w:rPr>
        <w:t>، بل ما نحن فيه أولى بتلك الدعوى ممّا ذكر في باب</w:t>
      </w:r>
    </w:p>
    <w:p>
      <w:pPr>
        <w:pStyle w:val="BookText"/>
        <w:rPr/>
      </w:pPr>
      <w:r>
        <w:rPr>
          <w:rFonts w:ascii="Amiri" w:hAnsi="Amiri" w:eastAsia="Amiri" w:cs="Amiri"/>
          <w:color w:val="111111"/>
          <w:sz w:val="28"/>
          <w:sz w:val="28"/>
          <w:szCs w:val="28"/>
          <w:rtl w:val="true"/>
          <w:lang w:bidi="ar-SA"/>
        </w:rPr>
        <w:t xml:space="preserve">حجّية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العامّة لا تصلح لشمول أطراف المعلوم بالإجمال </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3352680_417432637"/>
      <w:bookmarkStart w:id="178" w:name="_Toc61"/>
      <w:bookmarkEnd w:id="177"/>
      <w:r>
        <w:rPr>
          <w:rtl w:val="true"/>
        </w:rPr>
        <w:t>حول رجوع الترخيص في البعض إلى جعل البدلية</w:t>
      </w:r>
      <w:bookmarkEnd w:id="178"/>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الشيخ الأعظم</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بعض آخر</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الترخيص في بعض الأطراف يرجع في الحقيقة إلى جعل الشارع الطرف الغير المأذون فيه بدلاً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بمكان من الغرابة ؛ لعدم ملاك البدلية في الطرف بوجه ، فلو فرض الطرف مباحاً فتركه ليس فيه ملاك البدلية حتّى يكون بدلاً عنه ، وأسوأ منه لو كان الطرف مستحبّاً في الشبهة التحريمية ، ومكروهاً في الشبهة الوجوبية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وترخيص الشارع ليس له سببية لتحقّق الملاك ، خصوصاً بالنسبة إلى الطرف </w:t>
      </w:r>
    </w:p>
    <w:p>
      <w:pPr>
        <w:pStyle w:val="BookText"/>
        <w:rPr/>
      </w:pPr>
      <w:r>
        <w:rPr>
          <w:rFonts w:ascii="Amiri" w:hAnsi="Amiri" w:eastAsia="Amiri" w:cs="Amiri"/>
          <w:color w:val="111111"/>
          <w:sz w:val="28"/>
          <w:sz w:val="28"/>
          <w:szCs w:val="28"/>
          <w:rtl w:val="true"/>
          <w:lang w:bidi="ar-SA"/>
        </w:rPr>
        <w:t xml:space="preserve">الآخر ، ولو أمر بترك البقيّة فهو أمر إرشادي ، ولا يعقل المولوية في مقام الإطاعة ، ولا يعقل فيه السببية ولو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لمصلحة التسهيل ، أو مفسدة التضييق ، من غير تغيّر في الواقعيات بوجهٍ من الوجوه ، فهو راجع إلى رفع اليد عن التكليف الواقعي على بعض الفروض ؛ لأجل أغراض أهمّ من حفظ الواقع في هذا الحال </w:t>
      </w:r>
      <w:r>
        <w:rPr>
          <w:rFonts w:eastAsia="Amiri" w:cs="Amiri" w:ascii="Amiri" w:hAnsi="Amiri"/>
          <w:color w:val="111111"/>
          <w:sz w:val="28"/>
          <w:szCs w:val="28"/>
          <w:rtl w:val="true"/>
          <w:lang w:bidi="ar-SA"/>
        </w:rPr>
        <w:t xml:space="preserve">. </w:t>
      </w:r>
      <w:bookmarkStart w:id="179" w:name="pg12132_127945"/>
    </w:p>
    <w:p>
      <w:pPr>
        <w:pStyle w:val="BookText"/>
        <w:rPr/>
      </w:pPr>
      <w:bookmarkEnd w:id="179"/>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3352682_417432637"/>
      <w:bookmarkStart w:id="181" w:name="_Toc62"/>
      <w:bookmarkEnd w:id="180"/>
      <w:r>
        <w:rPr>
          <w:rtl w:val="true"/>
        </w:rPr>
        <w:t xml:space="preserve">التنبيه الأوّل </w:t>
      </w:r>
      <w:r>
        <w:rPr>
          <w:rtl w:val="true"/>
        </w:rPr>
        <w:t xml:space="preserve">: </w:t>
      </w:r>
      <w:r>
        <w:rPr>
          <w:rtl w:val="true"/>
        </w:rPr>
        <w:t>في الاضطرار إلى بعض أطراف المعلوم بالإجمال</w:t>
      </w:r>
      <w:bookmarkEnd w:id="18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الاضطرار </w:t>
      </w:r>
      <w:r>
        <w:rPr>
          <w:rFonts w:eastAsia="IRNazanin" w:cs="IRNazanin"/>
          <w:color w:val="111111"/>
          <w:sz w:val="28"/>
          <w:szCs w:val="28"/>
          <w:rtl w:val="true"/>
          <w:lang w:bidi="fa-IR"/>
        </w:rPr>
        <w:t>.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اضطرّ المكلّف إلى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اضطراره قبل تعلّق التكليف بأحدها وقبل تعلّق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قبل العلم وبعد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 العلم والتكليف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مقارناً لهما أو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 العلم بالخطاب وقبل تعلّق التكليف ، كما لو علم بالواجب المشروط قبل تحقّق شرطه ، ثمّ اضطرّ إلى بعض الأطراف ، ثمّ تحقّق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الاضطرار إلى المعيّن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إلى غيره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الاضطرار عقلياً ونتكلّم فيه مع قطع النظر عن </w:t>
      </w:r>
    </w:p>
    <w:p>
      <w:pPr>
        <w:pStyle w:val="BookText"/>
        <w:rPr/>
      </w:pPr>
      <w:r>
        <w:rPr>
          <w:rFonts w:ascii="Amiri" w:hAnsi="Amiri" w:eastAsia="Amiri" w:cs="Amiri"/>
          <w:color w:val="111111"/>
          <w:sz w:val="28"/>
          <w:sz w:val="28"/>
          <w:szCs w:val="28"/>
          <w:rtl w:val="true"/>
          <w:lang w:bidi="ar-SA"/>
        </w:rPr>
        <w:t xml:space="preserve">حديث الرفع ، وقد يكون عادياً مشمولاً للحديث ونتكلّم فيه مع النظر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المعلوم هو الحرام ، وقد يكون هو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الاضطرار إلى ارتكاب بعض الأطراف ، وقد يكون إلى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ومفروض الكلام في جميع التقادير ما إذا كان الاضطرار بمقدار المعلوم أو الزائد منه ، وإلاّ فلا تأثير له في سقوط العلم عن التأثير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الاضطرار إلى بعض الأطراف معيّناً قبل تعلّق التكليف أو بعده وقبل العلم به ، فلا إشكال في عدم وجوب الاجتناب عن غير مورد الاضطرار ، سواء كان الاضطرار عقلياً أو عادياً ، وسواء كان الاضطرار العقلي موجباً لتحديد التكليف وتقييد فعليته كما عليه المشايخ</w:t>
      </w:r>
      <w:r>
        <w:rPr>
          <w:rStyle w:val="FootnoteAnchor"/>
          <w:rtl w:val="true"/>
        </w:rPr>
        <w:footnoteReference w:id="233"/>
      </w:r>
      <w:r>
        <w:rPr>
          <w:rFonts w:ascii="Amiri" w:hAnsi="Amiri" w:eastAsia="Amiri" w:cs="Amiri"/>
          <w:color w:val="111111"/>
          <w:sz w:val="28"/>
          <w:sz w:val="28"/>
          <w:szCs w:val="28"/>
          <w:rtl w:val="true"/>
          <w:lang w:bidi="ar-SA"/>
        </w:rPr>
        <w:t xml:space="preserve">، أو غير موجب له بل هو باقٍ على ما هو عليه من الفعلية ، لكنّ العبد يكون معذوراً في تركه مع الاضطرار العقلي ، كما هو مسلكنا في جميع الأعذار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عدم فعلية التكليف فواضح ؛ لأنّ العلم الإجمالي لم يتعلّق بالخطاب الفعلي ، ولا بدّ في تنجيز العلم من كون جميع الأطراف بحيث يكون التكليف بالنسبة إليها صحيحاً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مسلكنا فلأنّ التكليف الفعلي وإن كان معلوماً حتّى بعد الاضطرار ، لكن لا بدّ في تأثير العلم الإجمالي أن يتعلّق بتكليف فعلي صالح للاحتجاج ، والاضطرار موجب لقطع الاحتجاج ولموجّهية عذر العبد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لو علم العبد بالتكليف الفعلي وشكّ في قدرته على إتيانه ، فلا يكون معذوراً عن التقاعد ، ولا بدّ له من العلم بالعذر ، وليس له الاكتفاء بالشكّ مع العلم الفعلي ، وما نحن فيه من هذا القبيل ؛ فإنّ العلم الإجمالي قد تعلّق بالتكليف الفعلي ، والمكلّف شاكّ في كونه مضطرّاً إلى إتيان متعلّق التكليف ، فيكون من قبيل الشكّ في القدرة ، فيجب عليه الاحتياط ، ولا فرق في ذلك بين العلم الإجمالي والتفصيلي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فرق في الشكّ في القدرة ولزوم الاحتياط فيه بين العلم الإجمالي والتفصيلي ، فلو علم إجمالاً بتكليف فعلي وشكّ في قدرته لا بدّ له من الاحتياط ، لكنّ المقام ليس كذلك ؛ فإنّ العبد يعلم بعجزه واضطراره ويشكّ في انطباق التكليف على مورد عذره وعجزه أو غيره ، وفرق واضح بين الشكّ في القدرة أو الاضطرار مع العلم بالتكليف ، وبين العلم بالعجز أو الاضطرار مع الشكّ في انطباقه على مورد التكليف أو غيره ؛ فإنّ العلم بالعجز والاضطرار يكون عذراً وجدانياً ، فلم يتعلّق علم العبد بتكليف فعلي لا يكون معذوراً فيه ، ولكنّ الشكّ في العجز لا يكون عذراً عند العقلاء مع فعلية التكليف ، وهذا هو الفارق بين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اضطرّ إلى المعيّن مقارناً لحصول العلم ، فلا تأثير للعلم أيضاً ؛ لأنّ العلم الإجمالي المقارن للعذر لا يمكن أن يصير حجّة ، وهذا واضح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اضطرّ إليه بعد العلم فلا إشكال في لزوم الاحتياط في البقيّة؛ لتحقّق العلم بالحجّة واليقين بالاشتغال ، فلا بدّ له من البراءة اليقينية ، والاضطرار لا يكون عذراً إلاّ في الامتثال القطعي ، دون الاحتمالي الذي يحكم به العقل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الحجّة والعلم بالتكليف الفعلي الصالح للاحتجاج به يحكم العقل بوجوب الموافقة القطعية ، ومع عدم إمكانه يحكم بلزوم الموافقة الاحتمالية ، والاضطرار لا يكون عذراً إلاّ بمقداره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حال الواجب المشروط لو تعلّق العلم به قبل تحقّق شرطه ، وكذا يضطرّ إليه قبله ، فإنّه إن قلنا بأنّ الواجب المشروط قبل تحقّق شرطه لم يكن تكليفاً فعلياً ، يكون حاله حال الاضطرار قبل العلم بالتكليف ، وإن قلنا بأ نّه تكليف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الشرط قيداً للمادّة ، أو ظرفاً لتعلّق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حاله حال الاضطرار بعد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الاضطرار إلى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فيه وجوب الاجتناب مطلقاً ؛ لعدم لحوق الاضطرار لمتعلّق التكليف ، وجواز اجتماع التكليف الواقعي في بعض الأطراف مع الاضطرار إلى بعض من غير مصادقة بينهما ، وإنّما يتزاحمان في مقام العمل لجهل المكلّف بعد الاختيار ، واختياره بعد فعلية التكليف وسبقه عليه لا يوجب عدم تأثير العلم ، والشكّ الحاصل بفعلية التكليف بعد اختيار المكلّف أحد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كون المأتيّ به مورد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الحاصل بعد فقد أحدهما ، أو إتيان المكلّف أحدهما مع عدم الاضطرار ، طابق النعل بالنعل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الاضطرار لا يكون مزاحماً للتكليف في البين ، كما أنّ الجهل بمتعلّق التكليف لا يوجب سقوط العلم عن التأثير ، فقبل إتيان بعض الأطراف يكون التكليف فعلياً بلا مزاحم ، وقابلاً للاحتجاج بالنسبة إلى الموافقة الاحتمالية ، ولا يمكن أن يكون الشكّ الحاصل من الإتيان به موجباً لسقوطه </w:t>
      </w:r>
      <w:bookmarkStart w:id="182" w:name="pg12132_127949"/>
    </w:p>
    <w:p>
      <w:pPr>
        <w:pStyle w:val="BookText"/>
        <w:rPr/>
      </w:pPr>
      <w:bookmarkEnd w:id="182"/>
      <w:r>
        <w:rPr>
          <w:rFonts w:ascii="Amiri" w:hAnsi="Amiri" w:eastAsia="Amiri" w:cs="Amiri"/>
          <w:color w:val="111111"/>
          <w:sz w:val="28"/>
          <w:sz w:val="28"/>
          <w:szCs w:val="28"/>
          <w:rtl w:val="true"/>
          <w:lang w:bidi="ar-SA"/>
        </w:rPr>
        <w:t xml:space="preserve">عن التأثير ، وإلاّ لزم سقوط علّية العلوم الإجمالية عن التأثير بعد إتيان بعض الأطراف أو فقده </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3352684_417432637"/>
      <w:bookmarkStart w:id="184" w:name="_Toc63"/>
      <w:bookmarkEnd w:id="183"/>
      <w:r>
        <w:rPr>
          <w:rtl w:val="true"/>
        </w:rPr>
        <w:t>ردّ على المحقّق الخراساني</w:t>
      </w:r>
      <w:bookmarkEnd w:id="184"/>
    </w:p>
    <w:p>
      <w:pPr>
        <w:pStyle w:val="BookText"/>
        <w:rPr/>
      </w:pPr>
      <w:r>
        <w:rPr>
          <w:rFonts w:ascii="IRNazanin" w:hAnsi="IRNazanin" w:eastAsia="IRNazanin"/>
          <w:color w:val="111111"/>
          <w:sz w:val="28"/>
          <w:sz w:val="28"/>
          <w:szCs w:val="28"/>
          <w:rtl w:val="true"/>
          <w:lang w:bidi="fa-IR"/>
        </w:rPr>
        <w:t xml:space="preserve">والمحقّق الخراساني رحمه الله علیه اختار سقوط العلم عن التأثير مطلقاً ؛ معلّلاً بأنّ جواز ارتكاب أحد الأطراف أو تركه تعييناً أو تخييراً ، ينافي العلم بحرمة المعلوم أو بوجوبه بينهما فعلاً ، ونفى الفرق بين سبق الاضطرار على العلم وبين لحوقه ؛ معلّلاً بأنّ التكليف المعلوم بينهما يكون محدوداً بعدم عروض الاضطرار إلى متعلّقه من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فرّق بين فقد بعض الأطراف بعد تعلّق العلم وبين الاضطرار إليه بعده ؛ حيث أوجب الاحتياط في الأوّل دون الثاني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 عمّا ذكره في الهامش ، وفصّل بين الاضطرار إلى أحدهما لا بعينه وبين الاضطرار إلى المعيّن ، وأوجب الاحتياط في الثاني دون الأوّل ؛ معلّلاً بأنّ العلم الإجمالي بالتكليف الفعلي المحدود في هذا الطرف أو المطلق في الطرف الآخر يكون منجّزاً ، وأمّا إذا عرض الاضطرار إلى أحدهما لا بعينه فإنّه يمنع عن فعلية التكليف مطلقاً </w:t>
      </w:r>
      <w:r>
        <w:rPr>
          <w:rStyle w:val="FootnoteAnchor"/>
          <w:rtl w:val="true"/>
        </w:rPr>
        <w:footnoteReference w:id="235"/>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منافاة الاضطرار إلى أحدهما لا بعينه مع التكليف في البين ؛ لعدم المزاحمة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يكون مختار المكلّف منطبقاً على المحرّم الواقعي </w:t>
      </w:r>
    </w:p>
    <w:p>
      <w:pPr>
        <w:pStyle w:val="BookText"/>
        <w:rPr/>
      </w:pPr>
      <w:r>
        <w:rPr>
          <w:rFonts w:ascii="Amiri" w:hAnsi="Amiri" w:eastAsia="Amiri" w:cs="Amiri"/>
          <w:color w:val="111111"/>
          <w:sz w:val="28"/>
          <w:sz w:val="28"/>
          <w:szCs w:val="28"/>
          <w:rtl w:val="true"/>
          <w:lang w:bidi="ar-SA"/>
        </w:rPr>
        <w:t xml:space="preserve">لأجل جهله بالواقعة ، ولا يعقل أن يكون التكليف الواقعي متقيّداً باختيار المكلّف وعدمه ، والترخيص في أحدهما لا بعينه لا ينافي التكليف بأحدهما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 نّه لو علم بالواقعة لوجب عليه رفع اضطراره بغير مورد التكليف ، وهذا يدلّ على عدم المزاحمة في رتبة التكليف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وليته رحمه الله علیه عدل في الهامش عن ذلك ، فإنّه أولى بالعدول ممّا عدل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 الاضطرار وأضرابه من قيود التكليف وحدوده ؛ ضرورة أنّ التكاليف ليست محدودة بأمثال ذلك من الأعذار العقلية لو كان الاضطرار عقلياً ويكون البحث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الأعذار العقلية يكون ترك التكليف الفعلي المتوجّه إلى كلّ المكلّفين بخطاب واحد ممّا لا مانع منه ، ويكون المكلّف معذوراً فيه ، ولا حُجّة للمولى على المكلّف ، بل له عليه الحجّة ، وهذا أمر آخر غير محدودية التكليف وتقيّده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تكلّمنا على مقتضى حديث الرفع ، وأنّ التكاليف محدودة به في الاضطرار العرفي ، يكون لهذا الكلام مجال ، لكن مع الاضطرار إلى غير المعيّن لا مصادقة بين حديث الرفع وأدلّة التكاليف ؛ لعدم عروض الاضطرار إلى متعلّق التكليف كما أشرنا إليه ، ومع الاضطرار إلى المعيّن يكون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أن يكون التكليف المحدود في هذا الطرف أو المطلق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منجّزاً على الفرض المتقدّم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الافتراق بين فقد المكلّف به وعروض الاضطرار فيما نحن فيه ممّا لا يرجع إلى محصّل ؛ لأنّ تأثير التكاليف الواقعية إنّما يكون مع وجود الموضوع ، ومع فقده لا تكون إلاّ كبريات كلّية ممّا لا تأثير فيها ؛ ضرورة عدم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صحّة الاحتجاج بالكبرى على الصغرى ، ولهذا لو فقد بعض الأطراف ، ثمّ علم إجمالاً بأنّ المفقود أو الموجود خمر ، لم يكن للعلم تأثير ، كالاضطرار إلى المعيّن قبل العلم ، كما أ نّه لو فقد بعض الأطراف بعده كان العلم حجّة على الطرف الموجود ؛ لأجل احتمال انطباق التكليف عليه ، كما أ نّه قبل فقده يكون نفس هذا الاحتمال حجّة عليه ، وهذا بعينه يجيء في الاضطرار إلى الطرف المعيّن ، كما لا يخفى </w:t>
      </w:r>
      <w:r>
        <w:rPr>
          <w:rFonts w:eastAsia="Amiri" w:cs="Amiri" w:ascii="Amiri" w:hAnsi="Amiri"/>
          <w:color w:val="111111"/>
          <w:sz w:val="28"/>
          <w:szCs w:val="28"/>
          <w:rtl w:val="true"/>
          <w:lang w:bidi="ar-SA"/>
        </w:rPr>
        <w:t xml:space="preserve">. </w:t>
      </w:r>
      <w:bookmarkStart w:id="185" w:name="pg12132_127952"/>
    </w:p>
    <w:p>
      <w:pPr>
        <w:pStyle w:val="Heading2"/>
        <w:numPr>
          <w:ilvl w:val="1"/>
          <w:numId w:val="1"/>
        </w:numPr>
        <w:rPr/>
      </w:pPr>
      <w:bookmarkStart w:id="186" w:name="__RefHeading___Toc3352686_417432637"/>
      <w:bookmarkStart w:id="187" w:name="_Toc64"/>
      <w:bookmarkEnd w:id="185"/>
      <w:bookmarkEnd w:id="186"/>
      <w:r>
        <w:rPr>
          <w:rtl w:val="true"/>
        </w:rPr>
        <w:t xml:space="preserve">التنبيه الثاني </w:t>
      </w:r>
      <w:r>
        <w:rPr>
          <w:rtl w:val="true"/>
        </w:rPr>
        <w:t xml:space="preserve">: </w:t>
      </w:r>
      <w:r>
        <w:rPr>
          <w:rtl w:val="true"/>
        </w:rPr>
        <w:t>في اشتراط الابتلاء بتمام الأطراف لتنجيز العلم الإجمالي</w:t>
      </w:r>
      <w:bookmarkEnd w:id="18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النهي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استقرّت آراء المحقّقين من المتأخّرين على أنّ من شرائط تنجيز العلم الإجمالي أن يكون تمام الأطراف ممّا يمكن عادةً ابتلاء المكلّف بها ، فلو كان بعضها خارجاً عن محلّ الابتلاء لا ينجّز العلم ، ويكون الطرف الآخر مورداً للبراءة العقلية والشرعية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وعلّلوا ذلك باستهجان الخطاب أو الخطاب المنجّز أو التكليف الفعلي بالنسبة إلى الخارج عنه ؛ ضرورة أنّ النهي المطلق عن شرب الخمر الموجودة في أقصى بلاد المغرب ، أو ترك وط‌ء جارية سلطان الصين يكون مستهجناً ؛ لأنّ التكاليف إنّما تتوجّه إلى المكلّفين لأجل إيجاد الداعي إلى الفعل أو الترك ، فما لا يمكن عادة تركه أو إتيانه لا مجال لتعلّق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الخروج عن محلّ الابتلاء أعمّ ممّا يكون غير مقدور عادة ، أو يرغب عنه الناس عادة وتكون الدواعي مصروفة عنه نوعاً ، والميزان استهجان الخطاب عند العقلاء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الأمر والنهي ليس إلاّ حصول ما اشتمل على المصلحة ، أو عدم حصول ما اشتمل على المفسدة ، ومع عدم التمكّن العادي من الترك أو الفعل لا تكاد تفوت المصلحة أو تحصل المفسدة ، فلا موجب للتكليف </w:t>
      </w:r>
      <w:bookmarkStart w:id="188" w:name="pg12132_127953"/>
    </w:p>
    <w:p>
      <w:pPr>
        <w:pStyle w:val="BookText"/>
        <w:rPr/>
      </w:pPr>
      <w:bookmarkEnd w:id="188"/>
      <w:r>
        <w:rPr>
          <w:rFonts w:ascii="Amiri" w:hAnsi="Amiri" w:eastAsia="Amiri" w:cs="Amiri"/>
          <w:color w:val="111111"/>
          <w:sz w:val="28"/>
          <w:sz w:val="28"/>
          <w:szCs w:val="28"/>
          <w:rtl w:val="true"/>
          <w:lang w:bidi="ar-SA"/>
        </w:rPr>
        <w:t xml:space="preserve">بل لا يمكن ؛ لاستهجانه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أفادوا رحمهما اللّه في وجه اعتبار هذا الشرط</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فيه إشكال وهو </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3352688_417432637"/>
      <w:bookmarkStart w:id="190" w:name="_Toc65"/>
      <w:bookmarkEnd w:id="189"/>
      <w:r>
        <w:rPr>
          <w:rtl w:val="true"/>
        </w:rPr>
        <w:t>الخلط بين الخطابات القانونية والشخصية</w:t>
      </w:r>
      <w:bookmarkEnd w:id="190"/>
    </w:p>
    <w:p>
      <w:pPr>
        <w:pStyle w:val="BookText"/>
        <w:rPr/>
      </w:pPr>
      <w:r>
        <w:rPr>
          <w:rFonts w:ascii="Amiri" w:hAnsi="Amiri" w:eastAsia="Amiri" w:cs="Amiri"/>
          <w:color w:val="111111"/>
          <w:sz w:val="28"/>
          <w:sz w:val="28"/>
          <w:szCs w:val="28"/>
          <w:rtl w:val="true"/>
          <w:lang w:bidi="ar-SA"/>
        </w:rPr>
        <w:t xml:space="preserve">أ نّه قد وقع الخلط بين الخطابات الكلّية المتوجّهة إلى عامّة المكلّفين وبين الخطاب الشخصي إلى آحادهم ؛ فإنّ الخطاب الشخصي إلى خصوص العاجز أو غير المتمكّن عادة أو عقلاً ممّا لا يصحّ كما اُفيد ، ولكنّ الخطاب الكلّي إلى المكلّفين المختلفين بحسب الحالات والعوارض ممّا لا استهجان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استهجان الخطاب الخاصّ غير استهجان الخطاب الكلّي ؛ فإنّ الأوّل فيما إذا كان الشخص غير متمكّن ، والثاني فيما إذا كان العموم أو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غيره كالمعدوم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متمكّن عادة ، أو مصروفة دواعيهم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الخطابات الشرعية منحلّة بعدد نفوس المكلّفين ، ولا يكاد يخفى أنّ الخطاب المنحلّ المتوجّه إلى غير المتمكّن مستهجن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من الانحلال كون كلّ خطاب خطابات بعدد المكلّفين حتّى يكون كلّ مكلّف مخصوصاً بخطاب خاصّ به وتكليف مستقلّ متوجّه إليه ، فهو ضروري البطلان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خطاب </w:t>
      </w:r>
    </w:p>
    <w:p>
      <w:pPr>
        <w:pStyle w:val="BookText"/>
        <w:rPr/>
      </w:pPr>
      <w:r>
        <w:rPr>
          <w:rFonts w:ascii="Amiri" w:hAnsi="Amiri" w:eastAsia="Amiri" w:cs="Amiri"/>
          <w:color w:val="111111"/>
          <w:sz w:val="28"/>
          <w:sz w:val="28"/>
          <w:szCs w:val="28"/>
          <w:rtl w:val="true"/>
          <w:lang w:bidi="ar-SA"/>
        </w:rPr>
        <w:t>واحد لعموم المؤمنين ، فالخطاب واحد والمخاطب كثير ، كما أنّ الإخبار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واحد والمخبر عنه كثير ، ولذا لو قال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نار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كذباً واحداً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الزِّنَى</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خطاب واحد متوجّه إلى كلّ مكلّف ، ويكون الزنا تمام الموضوع للحرمة ، والمكلّف تمام الموضوع لتوجّه الخطاب إليه ، وهذا الخطاب الوحداني يكون حجّة على كلّ مكلّف ، من غير إنشاء تكاليف مستقلّة ، أو توجّه خطابات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المنشأ تكليف واحد لمجموع المكلّفين ؛ فإنّه ضروري الفساد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واحد ، والإنشاء واحد ، والمنشأ هو حرمة الزنا على كلّ مكلّف ، من غير توجّه خطاب خاصّ أو تكليف مستقلّ إلى كلّ أحد ، ولا استهجان في هذا الخطاب العمومي إذا كان المكلّف في بعض الأحوال أو بالنسبة إلى بعض الأمكنة غير متمكّن عقلاً أو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فالخمر حرام على كلّ أحد ، تمكّن من إتيانه أو لم يتمكّن ، وليس جعل الحرمة لغير المتمكّن بالخصوص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يستهجن الخطاب أو التكليف المنجّز ، فليس للمولى إلاّ خطاب واحد لعنوان واحد يرى الناس كلّهم أ نّه حجّة عليهم ، ولا إشكال في عدم استهجان هذا الخطاب العمومي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إشكال في أنّ التكاليف الشرعية ليست متقيّدة بهذه القيود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الجهل ، والعجز ، والخروج عن محلّ الابتلاء ، وأمثالها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الإجمالي المتعلّق بالتكليف الفعلي المنجّز لا بدّ من الخروج عن عهدته ، وهو يقتضي الموافقة القطعية والاحتمالية ، وترك المخالفة القطعية والاحتمالية ، ومجرّد كون أحد الأطراف خارجاً عن محلّ الابتلاء ومصروفة عنه الدواعي لا يوجب عدم تنجيز التكليف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لوحظ التكليف بالنسبة إلى كلّ أحد ، والخطاب متوجّهاً إلى كلّ واحد من المكلّفين ، ويراعى الاستهجان وعدمه في التكليف الانحلالي ، للزم استهجان الخطاب إلى التارك الذي لا يصير التكليف باعثاً له ، فلزم أن لا تكون العصاة مكلّفين بالفروع ، والكفّار بالاُصول والفروع ، ولزم أن يكون التارك للمنهيّ عنه بمقتضى دواعيه غير متوجّه إليه النهي ؛ ضرورة عدم الفرق في الاستهجان بين النهي عن شرب الخمر الموجود في أقصى بلاد المغرب ، وبين النهي عن كشف العورة في ملأ من الناس لمن له شرف ، والنهي عن أكل القاذورات والخبائث ، فلا فرق بين عدم القدرة العادية على المنهيّ عنه وبين كون الدواعي مصروفة عنه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متقيّد بالإرادة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بها غير </w:t>
      </w:r>
    </w:p>
    <w:p>
      <w:pPr>
        <w:pStyle w:val="BookText"/>
        <w:rPr/>
      </w:pPr>
      <w:r>
        <w:rPr>
          <w:rFonts w:ascii="Amiri" w:hAnsi="Amiri" w:eastAsia="Amiri" w:cs="Amiri"/>
          <w:color w:val="111111"/>
          <w:sz w:val="28"/>
          <w:sz w:val="28"/>
          <w:szCs w:val="28"/>
          <w:rtl w:val="true"/>
          <w:lang w:bidi="ar-SA"/>
        </w:rPr>
        <w:t xml:space="preserve">معقول ، دون التقييد بالقدرة العقلية أو العادية ، 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إنّما يتوجّه إلى المكلّف لأجل إيجاد الداعي له ولو بمبادٍ اُخر من خوف العقاب والطمع في الثواب ، والتارك للشيء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تعلّق به النهي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النهي داعياً له وباعثاً إيّاه ، فيكون مستهجناً لغواً ، بل في جميع تلك الموارد يكون التكليف الجدّي للبعث محالاً ؛ لعدم تحقّق مبادئ الإرادة فيها ، فمن يترك الشرب بإرادته كمن لا يقدر عادةً عليه يستهجن بل يمتنع الخطاب بالنسبة إليه ، وهذا واضح لا سُترة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الالتزام بذلك ممّا لا يمكن ، فلا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مصروفية الدواعي عن إتيان المتعلّق يوجب استهجان التكليف ، والسرّ في ذلك ما حقّقناه</w:t>
      </w:r>
      <w:r>
        <w:rPr>
          <w:rStyle w:val="FootnoteAnchor"/>
          <w:rtl w:val="true"/>
        </w:rPr>
        <w:footnoteReference w:id="240"/>
      </w:r>
      <w:r>
        <w:rPr>
          <w:rFonts w:ascii="Amiri" w:hAnsi="Amiri" w:eastAsia="Amiri" w:cs="Amiri"/>
          <w:color w:val="111111"/>
          <w:sz w:val="28"/>
          <w:sz w:val="28"/>
          <w:szCs w:val="28"/>
          <w:rtl w:val="true"/>
          <w:lang w:bidi="ar-SA"/>
        </w:rPr>
        <w:t xml:space="preserve">من أنّ استهجان الخطاب العمومي غيره في الخطاب الشخصي ، ولا ينبغي أن يقاس بينهما ، فالخطابات الإلهية بنحو العموم ثابتة وتكون فعلية ، كان المكلّف جاهلاً أو عاجزاً أو لا ، مصروفاً عنه داعيه أو لا ، لكنّ الجاهل العاجز معذور في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عن محلّ الابتلاء لا يوجب نقصاناً في التكليف ، ولا بدّ من الخروج عن عهدته بترك ما يكون في محلّ الابتلاء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حكم العقل ، فما تقول في الأدلّة النقلية والاُصول الشرعية كأصلي الطهارة والحلّية ، فإنّ جريان الأصل العملي بالنسبة إلى الخارج عن محلّ الابتلاء ممّا لا معنى له ، ومع عدم جريانه بالنسبة إلى بعض الأطراف </w:t>
      </w:r>
    </w:p>
    <w:p>
      <w:pPr>
        <w:pStyle w:val="BookText"/>
        <w:rPr/>
      </w:pPr>
      <w:r>
        <w:rPr>
          <w:rFonts w:ascii="Amiri" w:hAnsi="Amiri" w:eastAsia="Amiri" w:cs="Amiri"/>
          <w:color w:val="111111"/>
          <w:sz w:val="28"/>
          <w:sz w:val="28"/>
          <w:szCs w:val="28"/>
          <w:rtl w:val="true"/>
          <w:lang w:bidi="ar-SA"/>
        </w:rPr>
        <w:t xml:space="preserve">يكون جريانه بالنسبة إلى البعض الآخر ممّا لا مانع منه ؛ لعدم لزوم الإذن في المخالفة القطعية ، والإذنُ في المخالفة الاحتمالية ممّا 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جريان الاُصول العملية في الخارج عن محلّ الابتلاء محلّ المنع ؛ فإنّ جعل الطهارة والحلّية الظاهريتين في المشكوك فيه بنحو الجعل العامّ ممّا لا مانع منه ، وليس لكلّ أحد أصل مجعول بالخصوص ، بل الشارع جعل الحلّية والطهارة بنحو العموم للمشكوك فيه ، ولازمه ترتيب الآثار العملي ، وليست الأدلّة ناظرة إلى آحاد الأشخاص وآحاد الوقائع المشكوك فيها ، كما ذكرنا في أدلّة الأحكام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عدم جريانه في الطرف الخارج فلا يجري في الطرف الآخر ؛ لعين ما ذكرنا </w:t>
      </w:r>
      <w:r>
        <w:rPr>
          <w:rStyle w:val="FootnoteAnchor"/>
          <w:rtl w:val="true"/>
        </w:rPr>
        <w:footnoteReference w:id="241"/>
      </w:r>
      <w:r>
        <w:rPr>
          <w:rFonts w:ascii="Amiri" w:hAnsi="Amiri" w:eastAsia="Amiri" w:cs="Amiri"/>
          <w:color w:val="111111"/>
          <w:sz w:val="28"/>
          <w:sz w:val="28"/>
          <w:szCs w:val="28"/>
          <w:rtl w:val="true"/>
          <w:lang w:bidi="ar-SA"/>
        </w:rPr>
        <w:t>من أنّ الأدلّة العامّة لا تصلح للترخيص بالنسبة إلى أطراف المعلوم بالإجمال ، بل لا بدّ فيه من دليل دالّ على نحو الصراحة ، فراجع</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قدس‌سره هذا الوجه في ورقة على حدة وهي مع الأسف مفقودة كما ذكرنا في هامش الصفحة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 نّ هذا الوجه هو المذكور في تهذيب الاُصول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بعض الأطراف عن محلّ الابتلاء ممّا لا تأثير له في منجّزية العلم الإجمالي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صحيحة علي بن جعفر عن أخيه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فيمن رعف فامتخط ، فصار الدم قطعاً صغاراً ، فأصاب إناءه</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العلم الإجمالي بإصابة </w:t>
      </w:r>
      <w:bookmarkStart w:id="191" w:name="pg12132_127958"/>
    </w:p>
    <w:p>
      <w:pPr>
        <w:pStyle w:val="BookText"/>
        <w:rPr/>
      </w:pPr>
      <w:bookmarkEnd w:id="191"/>
      <w:r>
        <w:rPr>
          <w:rFonts w:ascii="IRNazanin" w:hAnsi="IRNazanin" w:eastAsia="IRNazanin"/>
          <w:color w:val="111111"/>
          <w:sz w:val="28"/>
          <w:sz w:val="28"/>
          <w:szCs w:val="28"/>
          <w:rtl w:val="true"/>
          <w:lang w:bidi="fa-IR"/>
        </w:rPr>
        <w:t xml:space="preserve">ظهر الإناء أو باطنه المحتوي للماء ، وحملها على خروج ظاهر الإناء عن محلّ 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صنع العلاّمة الأنصاري رحمه الله علیه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فلايخلو من غرابة ؛ فإنّ ظاهر الإناء الذي يكون تحت يد المكلّف وداخلاً في استعمالاته كيف لا يكون محلّ ابتلائه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حملها بعد ظهورها في إصابة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 على ما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رحمه الله علیه </w:t>
      </w:r>
      <w:r>
        <w:rPr>
          <w:rStyle w:val="FootnoteAnchor"/>
          <w:rtl w:val="true"/>
        </w:rPr>
        <w:footnoteReference w:id="245"/>
      </w:r>
      <w:r>
        <w:rPr>
          <w:rFonts w:ascii="Amiri" w:hAnsi="Amiri" w:eastAsia="Amiri" w:cs="Amiri"/>
          <w:color w:val="111111"/>
          <w:sz w:val="28"/>
          <w:sz w:val="28"/>
          <w:szCs w:val="28"/>
          <w:rtl w:val="true"/>
          <w:lang w:bidi="ar-SA"/>
        </w:rPr>
        <w:t xml:space="preserve">من أنّ الأجزاء الصغار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يدركها الطرف ، ولا بدّ لرؤيتها من استعمال الآلات المكبّرة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حكم له شرعاً ؛ لخروجها عن الموضوع العرفي ، كالأجزاء الصغار التي تكون بنظر العرف لوناً ، ولا ينافي العلم بالإصابة ؛ فإنّ العلم بها غير إدراك 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حملها على إبداء الشكّ في أصل الإصابة مطلقاً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حملها على خروج ذلك عن قاعدة الشبهة المحصورة بعيد </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3352690_417432637"/>
      <w:bookmarkStart w:id="193" w:name="_Toc66"/>
      <w:bookmarkEnd w:id="192"/>
      <w:r>
        <w:rPr>
          <w:rtl w:val="true"/>
        </w:rPr>
        <w:t>الأصل عند الشكّ في الخروج عن محلّ الابتلاء</w:t>
      </w:r>
      <w:bookmarkEnd w:id="19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بمقالة من قال بتأثير الخروج عن محلّ الابتلاء في عدم منجّزية العلم الإجمالي</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في الخروج عن محلّ الابتلاء لا من جهة الاُمور الخارجية ، بل من جهة إجمال ما هو خارج عن مورد التكليف الفعلي ، فهل الأصل العقلي يقتضي الاحتياط أو البراءة ؟ </w:t>
      </w:r>
      <w:bookmarkStart w:id="194" w:name="pg12132_127959"/>
    </w:p>
    <w:p>
      <w:pPr>
        <w:pStyle w:val="Heading2"/>
        <w:numPr>
          <w:ilvl w:val="1"/>
          <w:numId w:val="1"/>
        </w:numPr>
        <w:rPr/>
      </w:pPr>
      <w:bookmarkStart w:id="195" w:name="__RefHeading___Toc3352692_417432637"/>
      <w:bookmarkStart w:id="196" w:name="_Toc67"/>
      <w:bookmarkEnd w:id="194"/>
      <w:bookmarkEnd w:id="195"/>
      <w:r>
        <w:rPr>
          <w:rtl w:val="true"/>
        </w:rPr>
        <w:t>استدلال المحقّق الحائري لوجوب الاحتياط</w:t>
      </w:r>
      <w:bookmarkEnd w:id="196"/>
    </w:p>
    <w:p>
      <w:pPr>
        <w:pStyle w:val="BookText"/>
        <w:rPr/>
      </w:pPr>
      <w:r>
        <w:rPr>
          <w:rFonts w:ascii="Amiri" w:hAnsi="Amiri" w:eastAsia="Amiri" w:cs="Amiri"/>
          <w:color w:val="111111"/>
          <w:sz w:val="28"/>
          <w:sz w:val="28"/>
          <w:szCs w:val="28"/>
          <w:rtl w:val="true"/>
          <w:lang w:bidi="ar-SA"/>
        </w:rPr>
        <w:t xml:space="preserve">قد يقال بالأوّل قياساً بالشكّ في القدرة ، بأن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البيان المصحّح للعقاب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بوجود مبغوض المولى بين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وإن شكّ في الخطاب الفعلي من جهة الشكّ في حسن التكليف وعدمه ، وهذا المقدار يكفي حجّةً عليه ، نظير ما إذا شكّ في قدرته على إتيان المأمور به وعدمها بعد إحراز كون ذلك الفعل موافقاً لغرض المولى ومطلوباً له ذاتاً ، فإنّه لا يجوز له التقاعد عن الإتيان بمجرّد الشكّ في الخطاب الفعلي الناشئ من الشكّ في القدرة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هو البراءة بعد البناء على كون المتعلّق في محلّ الابتلاء من قيود التكليف وحدوده ؛ لأنّ الشكّ يرجع إلى الشكّ في أصل التكليف ، ومجرّد احتمال كون المبغوض في الطرف هو المبتلى به لا يوجب تمامية الحجّة على العبد ، بل له الحجّة من جهة شكّه في أصل التكليف ؛ لاحتمال كون المعلوم في الطرف الآخر ، فلا يؤثّر العلم الإجمالي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قضيّة الشكّ في القدرة فهو أيضاً كذلك لو قلنا بمقالة القوم من أنّ التكليف متقيّد بالقدرة ، وأ نّها من حدوده</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التكاليف الشرعية فعلية حتّى مع العجز العقلي ، لكن معه يكون المكلّف معذوراً </w:t>
      </w:r>
      <w:bookmarkStart w:id="197" w:name="pg12132_127960"/>
    </w:p>
    <w:p>
      <w:pPr>
        <w:pStyle w:val="BookText"/>
        <w:rPr/>
      </w:pPr>
      <w:bookmarkEnd w:id="197"/>
      <w:r>
        <w:rPr>
          <w:rFonts w:ascii="Amiri" w:hAnsi="Amiri" w:eastAsia="Amiri" w:cs="Amiri"/>
          <w:color w:val="111111"/>
          <w:sz w:val="28"/>
          <w:sz w:val="28"/>
          <w:szCs w:val="28"/>
          <w:rtl w:val="true"/>
          <w:lang w:bidi="ar-SA"/>
        </w:rPr>
        <w:t xml:space="preserve">في ترك التكليف الفعلي ، وله الحجّة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الشكّ في القدرة لا بدّ من الاحتياط ؛ لأنّ التكليف الفعلي حجّة إلاّ مع إحراز العذر ، ومع الشكّ فيه تكون الحجّة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باب القدرة بما نحن فيه مع الفارق إلاّ على مبناهم ، وعليه يكون الأصل البراءة في كلا المقامين </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3352694_417432637"/>
      <w:bookmarkStart w:id="199" w:name="_Toc68"/>
      <w:bookmarkEnd w:id="198"/>
      <w:r>
        <w:rPr>
          <w:rtl w:val="true"/>
        </w:rPr>
        <w:t>استدلال الشيخ الأعظم والمحقّق النائيني لوجوب الاحتياط</w:t>
      </w:r>
      <w:bookmarkEnd w:id="199"/>
    </w:p>
    <w:p>
      <w:pPr>
        <w:pStyle w:val="BookText"/>
        <w:rPr/>
      </w:pPr>
      <w:r>
        <w:rPr>
          <w:rFonts w:ascii="Amiri" w:hAnsi="Amiri" w:eastAsia="Amiri" w:cs="Amiri"/>
          <w:color w:val="111111"/>
          <w:sz w:val="28"/>
          <w:sz w:val="28"/>
          <w:szCs w:val="28"/>
          <w:rtl w:val="true"/>
          <w:lang w:bidi="ar-SA"/>
        </w:rPr>
        <w:t>وقد يتمسّك لوجوب الاحتياط بإطلاق أدلّة المحرّمات</w:t>
      </w:r>
      <w:r>
        <w:rPr>
          <w:rStyle w:val="FootnoteAnchor"/>
          <w:rtl w:val="true"/>
        </w:rPr>
        <w:footnoteReference w:id="250"/>
      </w:r>
      <w:r>
        <w:rPr>
          <w:rFonts w:ascii="Amiri" w:hAnsi="Amiri" w:eastAsia="Amiri" w:cs="Amiri"/>
          <w:color w:val="111111"/>
          <w:sz w:val="28"/>
          <w:sz w:val="28"/>
          <w:szCs w:val="28"/>
          <w:rtl w:val="true"/>
          <w:lang w:bidi="ar-SA"/>
        </w:rPr>
        <w:t xml:space="preserve">، بأن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إطلاق ما دلّ على حرمة شرب الخمر وشموله لصورتي الابتلاء به وعدمه ، والقدر الثابت من التقييد عقلاً هو ما إذا كان الخمر خارجاً عن محلّ الابتلاء بحيث يلزم الاستهجان بنظر العرف ، فإذا شكّ فيه فالمرجع هو إطلاق الدليل ؛ لأنّ المخصّص مجمل دائر بين الأقلّ والأكثر ، ولا يسري إجماله إلى العامّ ، خصوصاً إذا كان لبّياً ؛ فإنّ في المخصّصات اللبّية يتمسّك بالعامّ ولو في الشبهة المصداقية ، فضلاً عن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التمسّك بالعامّ في المخصّصات اللبّية هو أنّ العقل لا يخرج العنوان عن تحت العموم ؛ بل يخرج ذوات المصاديق الخارجية ، فالشكّ يكون شكّاً في التخصيص الزائد ، ولا تكون الشبهة مصداقية كالمخصّصات اللفظية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المخصّصات اللبّية الحافّة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إجمالها إلى العامّ كالمخصّصات اللفظية المتّصلة المجملة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 نّه يمكن منع كون المخصّص هنا من الضروريات المرتكزة في الأذهان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مسلّم إذا كان الخارج عنواناً واقعياً غير مختلف المراتب ، كالفاسق المردّد بين مرتكب الكبيرة أو الأعمّ ، وأمّا إذا كان عنواناً ذا مراتب مختلفة ، وعلم بخروج بعض مراتبه عن العامّ وشكّ في بعض آخر فلا ؛ لأنّ الشكّ يرجع إلى التخصيص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بالإطلاق فرع إمكان الإطلاق الواقعي ، وفيما نحن فيه يكون الشكّ في صحّة الإطلاق النفس الأمري ؛ لاحتمال استهجان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ممنوع ؛ لأنّ التمسّك بالإطلاق لو كان فرع الإمكان الواقعي لما جاز التمسّك به مطلقاً ؛ لأنّ في كلّية الموارد يكون الشكّ في إمكان الإطلاق النفس الأمري ، خصوصاً على مذهب العدلية من تبعية الأحكام للمصالح والمفاسد ؛ فإنّ الشكّ يرجع إلى الشكّ في وجود مصلحة أو مفسدة ، ويمتنع الإطلاق مع عدمهما ، فكما أنّ الإطلاق يكشف عن المصلحة النفس الأمرية ، فكذلك يكشف عن عدم الاستهجان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محصّل تقرير كلمات بعض الأعاظم في جواز التمسّك بالإطلاق فيما نحن فيه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 كون المخصّص هنا ضرورياً مرتكزاً في الأذهان قابل 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التحقيق أنّ إجمال المخصّص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مثل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إلى العامّ ولو كان نظرياً ؛ ضرورة أ نّه بعد النظر يكشف العقل بأنّ </w:t>
      </w:r>
    </w:p>
    <w:p>
      <w:pPr>
        <w:pStyle w:val="BookText"/>
        <w:rPr/>
      </w:pPr>
      <w:r>
        <w:rPr>
          <w:rFonts w:ascii="Amiri" w:hAnsi="Amiri" w:eastAsia="Amiri" w:cs="Amiri"/>
          <w:color w:val="111111"/>
          <w:sz w:val="28"/>
          <w:sz w:val="28"/>
          <w:szCs w:val="28"/>
          <w:rtl w:val="true"/>
          <w:lang w:bidi="ar-SA"/>
        </w:rPr>
        <w:t xml:space="preserve">الخطاب من الأوّل غير متوجّه إلى الخارج عن محلّ الابتلاء ، ففرق بين ورود المخصّص منفصلاً ، وبين الغفلة عن الواقع والعلم بمحدودية الخطاب وتقييده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كشف القرينة اللفظية الحافّة بالكلام بعد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النظر أنّ الخطاب لا يتوجّه إلى العاجز من أوّل الأمر ، وأنّ الخارج عن محلّ الابتلاء خارج ، والخطابَ محدود بالداخل في محلّ الابتلاء ، يسري الإجمال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إجمال المخصّص اللبّي الحافّ بالكلام كالمخصّص اللفظي المتّصل به يسري إلى العامّ بلا كلام ؛ ضرورة أنّ ظهور العامّ لا ينعقد إلاّ في المقدار المتقيّد ، والفرض أنّ القيد مجمل دائر بين الأقلّ والأكثر ، فلا يكون العامّ المتقيّد حجّة إلاّ في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التمسّك بالعامّ في الشبهات المصداقية في المخصّص اللبّي لا يجوز أيضاً ، ولا فرق بينه وبين المخصّص 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العلاّمة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السرّ في الجواز في اللبّي أنّ العقل يخرج ذوات المصاديق ، لا العنوان حتّى تصير الشبهة فيه مصداقية ، بل تصير من قبيل التخصيص الزائد ممنوع ؛ فإنّ العقل قد يخرج الأفراد بملاك واحد ، وقد يخرج كلّ فرد بملاك يخصّه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من قبيل الثاني فلا إشكال في جواز التمسّك بالعامّ ؛ فإنّ الشكّ في الفرد الآخر يكون من قبيل الشكّ في التخصيص الزائد ، لكنّ المخصّص اللفظي أيضاً لو أخرج كلّ فرد بعنوان خاصّ به يكون كذلك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الإخراج بملاك واحد في الكلّ ، كما لو كانت العداوة ملاك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 المخرج هو العنوان </w:t>
      </w:r>
    </w:p>
    <w:p>
      <w:pPr>
        <w:pStyle w:val="BookText"/>
        <w:rPr/>
      </w:pPr>
      <w:r>
        <w:rPr>
          <w:rFonts w:ascii="Amiri" w:hAnsi="Amiri" w:eastAsia="Amiri" w:cs="Amiri"/>
          <w:color w:val="111111"/>
          <w:sz w:val="28"/>
          <w:sz w:val="28"/>
          <w:szCs w:val="28"/>
          <w:rtl w:val="true"/>
          <w:lang w:bidi="ar-SA"/>
        </w:rPr>
        <w:t xml:space="preserve">الوحداني ، ويكون المخصّص واحداً ، لا كثيراً ، وتصير الشبهة مصداقية ، لا يمكن التمسّك بالعامّ فيها لعين ما ذكر في المخصّص 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الجهات قد تكون تعليلية في اللبّيات ، ويخرج العقل نفس الأفراد بالجهة التعليلية</w:t>
      </w:r>
      <w:r>
        <w:rPr>
          <w:rStyle w:val="FootnoteAnchor"/>
          <w:rtl w:val="true"/>
        </w:rPr>
        <w:footnoteReference w:id="252"/>
      </w:r>
      <w:r>
        <w:rPr>
          <w:rFonts w:ascii="Amiri" w:hAnsi="Amiri" w:eastAsia="Amiri" w:cs="Amiri"/>
          <w:color w:val="111111"/>
          <w:sz w:val="28"/>
          <w:sz w:val="28"/>
          <w:szCs w:val="28"/>
          <w:rtl w:val="true"/>
          <w:lang w:bidi="ar-SA"/>
        </w:rPr>
        <w:t xml:space="preserve">، فليس بشيء ؛ فإنّ كلّية الجهات التعليلية عند العقل ترجع إلى الجهات التقييدية ، فلو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لأ 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فالمسكرية جهة تعليلية في القضيّة اللفظية ، لكنّ العقل يرى الموضوع بحسب الواقع هو المسكر ، ويثبت الحكم للمسكر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فرقاً بين اللفظيات واللبّيات من هذه الجهة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بعض أعاظم علماء العصر رحمه الله علیه من الفرق بين المخصّص الذي له عنوان واقعي غير ذي مراتب ، وبين الذي له مراتب مختلفة ، وجوّز التمسّك بالعامّ في الثاني حتّى في المخصّص 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لفظياً كان أو لبّياً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الأوّل ؛ معلّلاً بأنّ الشكّ في الثاني يرجع إلى التخصيص الزائد فيما عدا المراتب المتيقّنة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الفرق بين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الثاني مختلف المراتب دون الأوّل ، مع أنّ الخروج عن طاعة اللّه له مراتب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منه ارتكاب الصغائر ، ومرتبة منه أشدّ منه هو ارتكاب الكبيرة ، ومرتبة أشدّ منهما هو ارتكاب الموبقات ، ونشكّ في مفهوم الفاسق أ نّه مطلق الخارج عن طاعة اللّه أو الخارج عنها بمرتبة شديدة ، كما أنّ </w:t>
      </w:r>
    </w:p>
    <w:p>
      <w:pPr>
        <w:pStyle w:val="BookText"/>
        <w:rPr/>
      </w:pPr>
      <w:r>
        <w:rPr>
          <w:rFonts w:ascii="Amiri" w:hAnsi="Amiri" w:eastAsia="Amiri" w:cs="Amiri"/>
          <w:color w:val="111111"/>
          <w:sz w:val="28"/>
          <w:sz w:val="28"/>
          <w:szCs w:val="28"/>
          <w:rtl w:val="true"/>
          <w:lang w:bidi="ar-SA"/>
        </w:rPr>
        <w:t xml:space="preserve">البلاد مختلفة المراتب من حيث القرب والبعد ، فبعضها في أقصى بلاد المغرب ، وبعضها أقرب منه ، ونشكّ في أنّ الخارج عن محلّ الابتلاء هو البلاد النائية جدّاً أو الأعمّ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مفهوم الفاسق أولى بادّعاء كونه ذا مراتب من مفهوم الخارج عن محلّ الابتلاء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عدم سراية الإجمال إلى العامّ في المخصّص المتّصل إذا كان مفهوم المخصّص ذا مراتب ، ممنوعة ، فلو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الأبيض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 أنّ الخارج هو الأبيض الشديد أو أعمّ منه ، فلا إشكال في عدم جواز التمسّك بالعامّ لوجوب إكرام الأبيض الناقص ؛ لرجوعه إلى التمسّك بالعامّ في الشبهة المصداقية بالنسبة إلى نفس العامّ ، لا المخصّص ؛ لأ نّه ليس للكلام حينئذٍ إلاّ ظهور واحد ، فمع إجمال القيد لا يعقل عدم السراية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كون مفهوم ذا مراتب ، وشكّ في خروج بعض مراتبه من العامّ ، خروج عن الشبهة المفهومية ؛ لأنّ معناها أنّ المفهوم مجمل في مقام مفهوميته ، فلا يعلم انطباقه على موضوع ؛ مثل مفهوم الفاسق المردّد بين كونه بمعنى مرتكب الكبائر أو الأعمّ ، فيكون الشكّ في انطباق مفهوم الفاسق على مرتكب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علم أنّ مفهوماً له مراتب ، وشكّ في خروج بعض مراتبه بعد العلم بخروج بعضها ، فهو خارج عن الشبهة المفهومية ، وداخل في إجمال المراد بعد كون المفهوم مبيّناً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بالإطلاق والعموم ليس مشروطاً بإحراز إمكان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لانسدّ باب التمسّك بهما ، خصوصاً على مذهب </w:t>
      </w:r>
    </w:p>
    <w:p>
      <w:pPr>
        <w:pStyle w:val="BookText"/>
        <w:rPr/>
      </w:pP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فرق واضح بين قضيّة استهجان الخطاب وغيره ؛ فإنّ في الشكّ في التقييد أو التخصيص في موارد اُخر يكون الخطاب تامّاً متوجّهاً إلى المكلّف ، ويكون الأصل العقلائي هو مطابقة الإرادة الاستعمالية للجدّية ، ثمّ إذا شكّ في التقييد أو التخصيص تكون أصالة الإطلاق أو العموم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الأحكام تابعة للمصالح والمفاسد النفس الأمرية ممّا يغفل عنه العامّة ، وإنّما هو أمر مبحوث عنه عند العلماء الباحثين عن دقائق المسائل ، فإذا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العرف والعقلاء وجوب إكرام كلّ عالم ، وعند الشكّ في التخصيص يتمسّكون بالعامّ من غير توجّه إلى إمكان الإطلاق النفس الأمري على مسلك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قضيّة استهجان الخطاب ممّا يكون كالضروري عندهم ، ولو شكّ في استهجانه ولغويته لا يكون بناؤهم على التمسّك بالإطلاق لكشف حاله ، فالتمسّك بأصالة الإطلاق فرع إحراز إمكانه بهذا المعنى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 وقرّره بعض أعاظم العصر ، وشيّد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يجوز </w:t>
      </w:r>
      <w:r>
        <w:rPr>
          <w:rFonts w:eastAsia="Amiri" w:cs="Amiri" w:ascii="Amiri" w:hAnsi="Amiri"/>
          <w:color w:val="111111"/>
          <w:sz w:val="28"/>
          <w:szCs w:val="28"/>
          <w:rtl w:val="true"/>
          <w:lang w:bidi="ar-SA"/>
        </w:rPr>
        <w:t xml:space="preserve">. </w:t>
      </w:r>
      <w:bookmarkStart w:id="200" w:name="pg12132_127966"/>
    </w:p>
    <w:p>
      <w:pPr>
        <w:pStyle w:val="Heading2"/>
        <w:numPr>
          <w:ilvl w:val="1"/>
          <w:numId w:val="1"/>
        </w:numPr>
        <w:rPr/>
      </w:pPr>
      <w:bookmarkStart w:id="201" w:name="__RefHeading___Toc3352696_417432637"/>
      <w:bookmarkStart w:id="202" w:name="_Toc69"/>
      <w:bookmarkEnd w:id="200"/>
      <w:bookmarkEnd w:id="201"/>
      <w:r>
        <w:rPr>
          <w:rtl w:val="true"/>
        </w:rPr>
        <w:t xml:space="preserve">التنبيه الثالث </w:t>
      </w:r>
      <w:r>
        <w:rPr>
          <w:rtl w:val="true"/>
        </w:rPr>
        <w:t xml:space="preserve">: </w:t>
      </w:r>
      <w:r>
        <w:rPr>
          <w:rtl w:val="true"/>
        </w:rPr>
        <w:t>في الشبهة الغير المحصورة</w:t>
      </w:r>
      <w:bookmarkEnd w:id="2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عرفت أ نّه مع فعلية التكليف المعلوم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محلّ البحث عدم وجوب الاحتياط في الشبهة الغير المحصورة في الجملة ممّا لا إشكال فيه ، وعليه دعوى الإجماع بل الضرورة</w:t>
      </w:r>
      <w:r>
        <w:rPr>
          <w:rStyle w:val="FootnoteAnchor"/>
          <w:rtl w:val="true"/>
        </w:rPr>
        <w:footnoteReference w:id="253"/>
      </w:r>
      <w:r>
        <w:rPr>
          <w:rFonts w:ascii="Amiri" w:hAnsi="Amiri" w:eastAsia="Amiri" w:cs="Amiri"/>
          <w:color w:val="111111"/>
          <w:sz w:val="28"/>
          <w:sz w:val="28"/>
          <w:szCs w:val="28"/>
          <w:rtl w:val="true"/>
          <w:lang w:bidi="ar-SA"/>
        </w:rPr>
        <w:t xml:space="preserve">، وإنّما الكلام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يمحّض الكلام فيها بحيث لو كانت محصورة وجب الاحتياط ، ففرض خروج بعض الأطراف عن محلّ الابتلاء ، أو الاضطرار إلى بعضها ، أو حرجية الاحتياط ، خروج عن محلّ البحث </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3352698_417432637"/>
      <w:bookmarkStart w:id="204" w:name="_Toc70"/>
      <w:bookmarkEnd w:id="203"/>
      <w:r>
        <w:rPr>
          <w:rtl w:val="true"/>
        </w:rPr>
        <w:t>في الاستدلال على عدم وجوب الاحتياط في المقام</w:t>
      </w:r>
      <w:bookmarkEnd w:id="204"/>
    </w:p>
    <w:p>
      <w:pPr>
        <w:pStyle w:val="BookText"/>
        <w:rPr/>
      </w:pPr>
      <w:r>
        <w:rPr>
          <w:rFonts w:ascii="Amiri" w:hAnsi="Amiri" w:eastAsia="Amiri" w:cs="Amiri"/>
          <w:color w:val="111111"/>
          <w:sz w:val="28"/>
          <w:sz w:val="28"/>
          <w:szCs w:val="28"/>
          <w:rtl w:val="true"/>
          <w:lang w:bidi="ar-SA"/>
        </w:rPr>
        <w:t xml:space="preserve">وقد اضطرب كلام القوم في ميزان الشبهة الغير المحصورة ، والسرّ في عدم وجوب الاجتناب عن بعض أطرافها أو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 ما قيل في المقام هو ما أفاده شيخنا العلاّمة الحائري قدّس سرّه لكنّه لأجل شبهة أشكل عليه الأمر في عدم وجوب الاحتياط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غاية ما يمكن أن يقال في وجه عدم وجوب الاحتياط هو أنّ كثرة </w:t>
      </w:r>
    </w:p>
    <w:p>
      <w:pPr>
        <w:pStyle w:val="BookText"/>
        <w:rPr/>
      </w:pPr>
      <w:r>
        <w:rPr>
          <w:rFonts w:ascii="Amiri" w:hAnsi="Amiri" w:eastAsia="Amiri" w:cs="Amiri"/>
          <w:color w:val="111111"/>
          <w:sz w:val="28"/>
          <w:sz w:val="28"/>
          <w:szCs w:val="28"/>
          <w:rtl w:val="true"/>
          <w:lang w:bidi="ar-SA"/>
        </w:rPr>
        <w:t>الأطراف توجب ضعف احتمال كون الحرام مثلاً في طرف خاصّ ؛ بحيث لا يعتني به العقلاء ويجعلونه كالشكّ البدوي ، فيكون في كلّ طرف يُقدم الفاعل على الارتكاب طريق عقلائي على عدم كون الحرام فيه</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توضيح ذلك وتصديقه فارجع إلى طريقة العقلاء ، ترى أنّ كثرة الأطراف قد تكون بحدّ يعدّ الاعتناء ببعضها خروجاً عن طريقة العقلاء وحكم العقل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الإنسان في بلد له عشرة آلاف بيت ، وسمع أ نّه وقع في واحد من بيوت البلد حريق ، فوثب للتفتيش عن الواقعة ، وأظهر الوحشة والاضطراب ؛ معلّلاً بأ نّه يمكن أن يكون في بيتي ، لعُدّ عند العقلاء ضعيف العقل ، وليس ذلك إلاّ لكثرة الأطراف وضعف الاحتمال ، وإلاّ فالعلم الإجمالي محقّق ، وبيته أحد الأطراف ، وغرضه تامّ في حفظ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سمع أحد أنّ واحداً من أهل بلدة فيها مائة ألف نسمة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ولده العزيز فيها ، فاضطرب من هذا الخبر ، ورتّب عليه الأثر من التفتيش عن حال ولده وإظهار الوحشة والاضطراب ، لعدّ سفيهاً ضعيف العقل ؛ وليس ذلك إلاّ لكثرة الاحتمال ، وأنّ العقلاء لا يعتنون به لأجل موهوميته ، وهذا واضح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الشبهة التي أوقعت شيخنا العلاّمة في التأ مّل في ذلك فقد مرّت مع جوابها في خلال المباحث السالفة</w:t>
      </w:r>
      <w:r>
        <w:rPr>
          <w:rStyle w:val="FootnoteAnchor"/>
          <w:rtl w:val="true"/>
        </w:rPr>
        <w:footnoteReference w:id="255"/>
      </w:r>
      <w:r>
        <w:rPr>
          <w:rFonts w:ascii="Amiri" w:hAnsi="Amiri" w:eastAsia="Amiri" w:cs="Amiri"/>
          <w:color w:val="111111"/>
          <w:sz w:val="28"/>
          <w:sz w:val="28"/>
          <w:szCs w:val="28"/>
          <w:rtl w:val="true"/>
          <w:lang w:bidi="ar-SA"/>
        </w:rPr>
        <w:t xml:space="preserve">،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الاطمئنان بعدم الحرام في كلّ واحد من الأطراف لا يجتمع مع العلم بوجود الحرام بينها </w:t>
      </w:r>
      <w:r>
        <w:rPr>
          <w:rFonts w:eastAsia="Amiri" w:cs="Amiri" w:ascii="Amiri" w:hAnsi="Amiri"/>
          <w:color w:val="111111"/>
          <w:sz w:val="28"/>
          <w:szCs w:val="28"/>
          <w:rtl w:val="true"/>
          <w:lang w:bidi="ar-SA"/>
        </w:rPr>
        <w:t xml:space="preserve">. </w:t>
      </w:r>
      <w:bookmarkStart w:id="205" w:name="pg12132_127968"/>
    </w:p>
    <w:p>
      <w:pPr>
        <w:pStyle w:val="BookText"/>
        <w:rPr/>
      </w:pPr>
      <w:bookmarkEnd w:id="205"/>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 يجتمع هو الاطمئنان بعدم الحرام في كلّ من الأطراف بنحو السالبة الكلّية مع العلم بوجوده بينها ، وأمّا الاطمئنان بعدم الحرام في واحد في مقابل البقيّة ، ومقايسة احتمال واحد في مقابل مائة ألف احتمال ، فلا مانع من اجتماعه معه ، فكلّ واحد من الأطراف إذا لوحظ في مقابل البقيّة يكون احتمالاً واحداً في مقابل الاحتمالات الكثيرة ، ولا إشكال في ضعف احتمال واحد في مقابل مائة ألف احتمال </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3352700_417432637"/>
      <w:bookmarkStart w:id="207" w:name="_Toc71"/>
      <w:bookmarkEnd w:id="206"/>
      <w:r>
        <w:rPr>
          <w:rtl w:val="true"/>
        </w:rPr>
        <w:t>ضابط الشبهة الغير المحصورة</w:t>
      </w:r>
      <w:bookmarkEnd w:id="207"/>
    </w:p>
    <w:p>
      <w:pPr>
        <w:pStyle w:val="BookText"/>
        <w:rPr/>
      </w:pPr>
      <w:r>
        <w:rPr>
          <w:rFonts w:ascii="Amiri" w:hAnsi="Amiri" w:eastAsia="Amiri" w:cs="Amiri"/>
          <w:color w:val="111111"/>
          <w:sz w:val="28"/>
          <w:sz w:val="28"/>
          <w:szCs w:val="28"/>
          <w:rtl w:val="true"/>
          <w:lang w:bidi="ar-SA"/>
        </w:rPr>
        <w:t>وبهذا يتّضح الضابط في الشبهة الغير المحصورة ، وهو أنّ الكثرة تكون بمثابة لا يعتني العقلاء باحتمال كون الواقع في بعض الأطراف في مقابل البقيّة ؛ لضعف الاحتمال الحاصل لأجل الكثرة</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سنان عن أبي عبداللّه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أبداً حتّى تعرف الحرام بعينه فتدعه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فهي ظاهرة في خصوص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منها الشبهة المحصورة إمّا بالإجماع أو العقل ، وبقيت الشبهة الغير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ندرة الغير المحصورة في غاية السقوط ؛ ضرورة أنّ غالب الشبهات غير محصورة ، وقد تتّفق المحصورة لبعض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باب الجبن ، كمرسلة معاوية بن عمّار عن أبي جعفر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ساُخبرك عن الجبن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فيه الحلال والحرام فهو لك حلال ، حتّى تعرف الحرام فتدعه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رواية عبداللّه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ومصبّ هذه الروايات هو الشبهة الغير المحصورة ، كما تشهد به رواية أبي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الجبن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رأى أ نّه يجعل فيه الميتة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أجل مكان واحد يجعل فيه الميتة حرم ما في جميع الأرضين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 نّه ميتة فلا تأكله ، وإن لم تعلم فاشترِ ، وبِعْ ، وكُلْ ، واللّه‌ِ إنّي لأعترض السوق فأشتري بها اللحم والجبن ، واللّه‌ِ ما أظنّ كلّهم يسمّون ؛ هذه البربر وهذه السودان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 عليها الشيخ الأعظم باحتمال أنّ المراد جعل الميتة في الجبن في مكان واحد لا يوجب الاجتناب عن جبن غيره من الأماكن ، فيكون خارجاً عن المدّعى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كلّهم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عدم وجوب الظنّ أو القطع بالحلّية ، بل يكفي أخذها من سوق المسلمين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سوق المسلمين غير معتبر مع العلم الإجمالي ، فلا مسوّغ للارتكاب إلاّ كون الشبهة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بالتأ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وأنت خبير بأنّ احتماله الأوّل في غاية البعد عن مساق الرواية ، خصوصاً مع ذيلها ممّا هو كالنصّ في العلم الإجمالي ، ومعلوم أنّ ذيلها لم يكن أمراً أجنبيّاً عن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ظاهر في أنّ القطع حاصل بعدم التسمية ؛ فإنّ الطائفتين غير مسلمين ، فلا إشكال في دلالتها على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هي ضعيفة السند كرواية عبداللّه بن سليمان ، وفيهما احتمال التقيّة 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أبي عبداللّه في بعض عمّال بني اُميّة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خلط الحرام حلالاً فاختلطا جميعاً ، فلم يعرف الحرام من الحلال ،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يبعد أن يكون موردها الغير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صحيحتا الحلبي وأبي المعزى في باب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وموردهما أيضاً العلم الإجمالي ، والظاهر أنّ مصبّهما الغير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ومقابلها روايات اُخر محمولة على المحصورة كروايات التخميس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محمولة على ما جهل المقدار واحتمل مقدار الخمس والزيادة والنقيصة ، وأمّا لو علم أنّ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 خمسين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من الحرام لا إشكال في عدم وجوب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الروايات على الشبهة الغير المحصورة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يخرج منها بعض الموارد ؛ كما لو عرف صاحب المال فيجب التخلّص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الكلام في سائر الأقسام في الفقه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ما يكتسب به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الأطعمة والأشربة ، أبواب الأطعمة المباحة ،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الأطعمة والأشربة ، أبواب الأطعمة المباحة ،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الأطعمة والأشربة ، أبواب الأطعمة المباحة ،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 ضمن تراث الشيخ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ما يكتسب به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الربا ،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الخمس ، أبواب ما يجب فيه الخمس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لو شرع في الأطراف قاصداً ارتكاب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طول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معذوراً ؛ لأنّ التكليف باقٍ على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قسّم الأطراف الغير المحصورة بأقسام معدودة محصورة ، وأراد ارتكاب بعض </w:t>
      </w:r>
      <w:bookmarkStart w:id="208" w:name="pg12132_127971"/>
    </w:p>
    <w:p>
      <w:pPr>
        <w:pStyle w:val="BookText"/>
        <w:rPr/>
      </w:pPr>
      <w:bookmarkEnd w:id="208"/>
      <w:r>
        <w:rPr>
          <w:rFonts w:ascii="Amiri" w:hAnsi="Amiri" w:eastAsia="Amiri" w:cs="Amiri"/>
          <w:color w:val="111111"/>
          <w:sz w:val="28"/>
          <w:sz w:val="28"/>
          <w:szCs w:val="28"/>
          <w:rtl w:val="true"/>
          <w:lang w:bidi="ar-SA"/>
        </w:rPr>
        <w:t xml:space="preserve">الأقسام الذي يكون نسبته إلى البقيّة نسبة محصورة ؛ كأن تكون الأطراف عشرة آلاف ، وقسّمها عشرة أقسام ، وأراد ارتكاب قسم منها ، فإنّه غير معذور فيه ؛ لأ نّه من قبيل الشبهة المحصورة ؛ لعدم كون احتمال الواقع في القسم الذي أراد ارتكابه ضعيفاً بحيث لا يعتني به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بناءً على أن يكون المستند الأخبار يجوز ارتكاب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الشبهة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أطرافها كثيرة ؛ بحيث لا يعتني العقلاء بكون الواجب في بعض الأطراف في مقابل البقيّة ، لم يجب الاحتياط ؛ كما لو نذر شرب كأس ، واشتبه بين غير محصور تكون جميع أطرافه محلّ ابتلائه ، ثمّ خرج جميع الأطراف عن محلّ الابتلاء وبقي واحد منها ، ففي هذه الصورة لا يكون الاحتياط واجباً ؛ لقيام الأمارة العقلائية على عدم كونه هو الواقع ، ولا يعتني العقلاء بمثل هذا الاحتمال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تمكّن المكلّف من إتيان عدّة من الأطراف يكون نسبتها إلى البقيّة نسبة محصورة وجب الاحتياط ، فلو تمكّن من إتيان ألف من بين عشرة آلاف وجب عليه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حال الشبهة الغير المحصورة موضوعاً وحكماً </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3352702_417432637"/>
      <w:bookmarkStart w:id="210" w:name="_Toc72"/>
      <w:bookmarkEnd w:id="209"/>
      <w:r>
        <w:rPr>
          <w:rtl w:val="true"/>
        </w:rPr>
        <w:t>مناقشة بعض الأعاظم في ضابط الشبهة الغير المحصورة</w:t>
      </w:r>
      <w:bookmarkEnd w:id="21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تصدّى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ضابطها ، فقال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ضابطها أن تبلغ الأطراف حدّاً لا يمكن عادةً جمعها في الاستعمال ، من أكل وشرب وأمثالهما ، فلو علم نجاسة حبّة </w:t>
      </w:r>
    </w:p>
    <w:p>
      <w:pPr>
        <w:pStyle w:val="BookText"/>
        <w:rPr/>
      </w:pPr>
      <w:r>
        <w:rPr>
          <w:rFonts w:ascii="Amiri" w:hAnsi="Amiri" w:eastAsia="Amiri" w:cs="Amiri"/>
          <w:color w:val="111111"/>
          <w:sz w:val="28"/>
          <w:sz w:val="28"/>
          <w:szCs w:val="28"/>
          <w:rtl w:val="true"/>
          <w:lang w:bidi="ar-SA"/>
        </w:rPr>
        <w:t xml:space="preserve">من الحنطة في ضمن حُقّة لا يكون من غير المحصور ؛ لإمكان استعمال الحقّة ، مع أنّ نسبتها إلى الحقّة تزيد عن نسبة الواحد إلى الألف ، وأمّا لو علم نجاسة إناء من لبن البلد فيكون منه ، ولو لم تبلغ الأواني ألفاً ؛ لعدم التمكّن العادي من جمع الأواني في الاستعمال ، وإن كان المكلّف متمكّناً من آحادها ، فليس العبرة بكثرة العدد فقط ؛ إذ ربّ كثير تكون الشبهة فيه محصورة كالحقّة من الحنطة ، كما لا عبرة بعدم التمكّن من الجمع فقط ؛ إذ ربّما لا يتمكّن عادة والشبهة محصورة ، ككون أحد الأطراف في أقصى بلاد المغرب ، بل لا بدّ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الأطراف ، وعدم التمكّن العادي من الجمع ، وبهذا تمتاز الشبهة الغير المحصورة عمّا تقدّم في الشبهة المحصورة من أ نّه يعتبر فيها إمكان الابتلاء بكلّ واحدٍ من أطرافها ، فإنّ إمكان الابتلاء بكلّ واحدٍ غير إمكان الابتلاء بالمجموع ، فالشبهة الغير المحصورة ما تكون كثرة الأطراف فيها بحدّ يكون عدم التمكّن في الجمع في الاستعمال مستنداً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حكمها ، وهو عدم حرمة المخالفة القطعية ، وعدم وجوب الموافقة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الحرمة فلأنّ المفروض عدم التمكّن العادي منها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وجوب الموافقة القطعية فلأنّ وجوبها فرع حرمة المخالفة القطعية ؛ لأ نّها هي الأصل في باب العلم الإجمالي ؛ لأنّ وجوب الموافقة القطعية يتوقّف على تعارض الاُصول في الأطراف ، وتعارضها يتوقّف على حرمة المخالفة القطعية ، فيلزم من جريانها في جميع الأطراف مخالفة عملية </w:t>
      </w:r>
    </w:p>
    <w:p>
      <w:pPr>
        <w:pStyle w:val="BookText"/>
        <w:rPr/>
      </w:pPr>
      <w:r>
        <w:rPr>
          <w:rFonts w:ascii="Amiri" w:hAnsi="Amiri" w:eastAsia="Amiri" w:cs="Amiri"/>
          <w:color w:val="111111"/>
          <w:sz w:val="28"/>
          <w:sz w:val="28"/>
          <w:szCs w:val="28"/>
          <w:rtl w:val="true"/>
          <w:lang w:bidi="ar-SA"/>
        </w:rPr>
        <w:t>للتكليف ، فإذا لم تحرم المخالفة القطعية لم يقع التعارض بين الاُصول ، ومعه لا يجب الموافقة القطعية</w:t>
      </w:r>
      <w:r>
        <w:rPr>
          <w:rStyle w:val="FootnoteAnchor"/>
          <w:rtl w:val="true"/>
        </w:rPr>
        <w:footnoteReference w:id="25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عدم التمكّن من الجمع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عدم التمكّن دفعة ، وإمّا أن يكون أعمّ منه ومن عدمه تدريجاً ولو في ظرف سنين متمادية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يلزم أن يكون غالب الشبهات المحصورة من غيرها ، وعلى الثاني يلزم أن يكون غالب الشبهات الغير المحصورة من المحصورة ؛ فإنّه قلّما يتّفق عدم إمكان الجمع بين الأطراف ولو في ستّين سنة ، فلو كان جميع الأطراف في محلّ الابتلاء ، وتمكّن المكلّف من جمعها في الاستعمال ولو تدريجاً في سنين متمادية ، كانت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محصورة ، وهذا ممّا لا يمكن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ارتكاب جميع الأطراف في السنين المتمادية ممّا لا يمكن نوعاً ؛ لفقدان بعض الأطراف في طول المدّة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تأثير العلم في التدريجيات محلّ إشكال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فرض الفقدان خلاف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فقدان بعض الأطراف بعد العلم لا يضرّ بتنجيز العلم الإجمالي في بقيّة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وتأثير العلم في التدريجي من حيث الاستعمال ممّا لا إشكال فيه ، وفي التدريجي من حيث الوجود أيضاً مؤثّر على الأقوى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الميزان في تأثير العلم الإجمالي هو فعلية التكليف ، وعدم استهجان الخطاب ، والفرض أنّ مورد التكليف يكون محلّ الابتلاء ؛ لأنّ كلّ واحد من الأطراف ممّا يمكن استعماله ويكون محلّ الابتلاء ، فتعلّق التكليف به ممّا 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الجمع بين الأطراف وعدمه فممّا لا يكون متعلّقاً لخطاب وتكليف ، وإنّما هو حكم العقل في أطراف العلم الإجمالي لا غير ، فما يكون متعلّق التكليف يكون المكلّف متمكّناً من إتيانه ؛ لأ نّه متمكّن بالنسبة إلى كلّ واحد منها ، والمكلّف به لا يكون خارجاً منها ، وما لا يكون متمكّناً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الجمع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يتعلّق به تكليف من المولى ، فالعلم الإجمالي منجّز بالنسبة إلى الأطراف وإن لم يتمكّن المكلّف من الجمع بينها ، ونتيجته حرمة المخالفة الاحتمالية بارتكاب بعض الأطراف ، فارتكاب بعضها لا يجوز عقلاً ؛ لتعلّق العلم بالتكليف الفعلي وكونه منجّزاً بالنسبة إلى جميع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بما ذكرنا النظر فيما ادّعى في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حرمة المخالفة القطعية ، وعدم وجوب الموافقة القطعية ؛ لأجل تفرّع الثانية على الاُولى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اتّضح بما أسلفناه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ضابط الشبهة الغير المحصورة ، وأ نّه معه لا فرق بين الشبهات التحريمية والوجوبية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فيما ذكر في ذيل التنبيه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ذكرنا في وجه عدم وجوب الموافقة القطعية إنّما يختصّ بالشبهات التحريمية </w:t>
      </w:r>
      <w:r>
        <w:rPr>
          <w:rFonts w:eastAsia="Amiri" w:cs="Amiri" w:ascii="Amiri" w:hAnsi="Amiri"/>
          <w:color w:val="111111"/>
          <w:sz w:val="28"/>
          <w:szCs w:val="28"/>
          <w:rtl w:val="true"/>
          <w:lang w:bidi="ar-SA"/>
        </w:rPr>
        <w:t>. . .»</w:t>
      </w:r>
      <w:r>
        <w:rPr>
          <w:rStyle w:val="FootnoteAnchor"/>
          <w:rtl w:val="true"/>
        </w:rPr>
        <w:footnoteReference w:id="258"/>
      </w:r>
      <w:r>
        <w:rPr>
          <w:rFonts w:ascii="IRNazanin" w:hAnsi="IRNazanin" w:eastAsia="IRNazanin"/>
          <w:color w:val="111111"/>
          <w:sz w:val="28"/>
          <w:sz w:val="28"/>
          <w:szCs w:val="28"/>
          <w:rtl w:val="true"/>
          <w:lang w:bidi="fa-IR"/>
        </w:rPr>
        <w:t xml:space="preserve">إلى آخره ، فراجع </w:t>
      </w:r>
      <w:r>
        <w:rPr>
          <w:rFonts w:eastAsia="IRNazanin" w:cs="IRNazanin"/>
          <w:color w:val="111111"/>
          <w:sz w:val="28"/>
          <w:szCs w:val="28"/>
          <w:rtl w:val="true"/>
          <w:lang w:bidi="fa-IR"/>
        </w:rPr>
        <w:t xml:space="preserve">. </w:t>
      </w:r>
      <w:bookmarkStart w:id="211" w:name="pg12132_127975"/>
    </w:p>
    <w:p>
      <w:pPr>
        <w:pStyle w:val="Heading2"/>
        <w:numPr>
          <w:ilvl w:val="1"/>
          <w:numId w:val="1"/>
        </w:numPr>
        <w:rPr/>
      </w:pPr>
      <w:bookmarkStart w:id="212" w:name="__RefHeading___Toc3352704_417432637"/>
      <w:bookmarkStart w:id="213" w:name="_Toc73"/>
      <w:bookmarkEnd w:id="211"/>
      <w:bookmarkEnd w:id="212"/>
      <w:r>
        <w:rPr>
          <w:rtl w:val="true"/>
        </w:rPr>
        <w:t xml:space="preserve">تنبيه </w:t>
      </w:r>
      <w:r>
        <w:rPr>
          <w:rtl w:val="true"/>
        </w:rPr>
        <w:t xml:space="preserve">: </w:t>
      </w:r>
      <w:r>
        <w:rPr>
          <w:rtl w:val="true"/>
        </w:rPr>
        <w:t>في سقوط حكم الشكّ البدوي بعد سقوط العلم الإجمالي</w:t>
      </w:r>
      <w:bookmarkEnd w:id="213"/>
    </w:p>
    <w:p>
      <w:pPr>
        <w:pStyle w:val="BookText"/>
        <w:rPr/>
      </w:pPr>
      <w:r>
        <w:rPr>
          <w:rFonts w:ascii="Amiri" w:hAnsi="Amiri" w:eastAsia="Amiri" w:cs="Amiri"/>
          <w:color w:val="111111"/>
          <w:sz w:val="28"/>
          <w:sz w:val="28"/>
          <w:szCs w:val="28"/>
          <w:rtl w:val="true"/>
          <w:lang w:bidi="ar-SA"/>
        </w:rPr>
        <w:t xml:space="preserve">بناءً على ما ذكرنا في الشبهة الغير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العقلاء لا يعتنون بالعلم الإجمالي بالنسبة إلى بعض الأطراف ، بل يكون الاعتناء به من الوسوسة وخلاف المتعارف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حكم الشكّ البدوي أيضاً عن بعض الأطراف بعد سقوط العلم الإجمالي ؛ فلو علم إجمالاً بكون مائع مضاف بين الأواني الغير المحصورة من الماء جاز التوضّي ببعض الأطراف ؛ لقيام الطريق العقلائي على عدم كونه مضافاً ، فلا يجري فيه حكم الشكّ البدوي أيضاً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ما أفاد المحقّق المتقدّم من الضابط فلازمه عدم سقوط حكم الشكّ ؛ لأنّ عدم حرمة المخالفة القطعية الجائية من قِبل عدم إمكان الجمع في الاستعمال ، اللازم منه عدم وجوب الموافقة القطعية ، لا يلازم سقوط حكم الشكّ كما لا يخفى ، مع أنّ الفاضل المقرّر رحمه الله علیه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رحمه الله علیه كان يميل إلى سقوط حكم الشبهة أيضاً</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 xml:space="preserve">وهذا ممّا لا وجه له على مبناه ، ومتّجه على ما ذهبنا إليه </w:t>
      </w:r>
      <w:r>
        <w:rPr>
          <w:rFonts w:eastAsia="Amiri" w:cs="Amiri" w:ascii="Amiri" w:hAnsi="Amiri"/>
          <w:color w:val="111111"/>
          <w:sz w:val="28"/>
          <w:szCs w:val="28"/>
          <w:rtl w:val="true"/>
          <w:lang w:bidi="ar-SA"/>
        </w:rPr>
        <w:t xml:space="preserve">. </w:t>
      </w:r>
      <w:bookmarkStart w:id="214" w:name="pg12132_127976"/>
    </w:p>
    <w:p>
      <w:pPr>
        <w:pStyle w:val="Heading2"/>
        <w:numPr>
          <w:ilvl w:val="1"/>
          <w:numId w:val="1"/>
        </w:numPr>
        <w:rPr/>
      </w:pPr>
      <w:bookmarkStart w:id="215" w:name="__RefHeading___Toc3352706_417432637"/>
      <w:bookmarkStart w:id="216" w:name="_Toc74"/>
      <w:bookmarkEnd w:id="214"/>
      <w:bookmarkEnd w:id="215"/>
      <w:r>
        <w:rPr>
          <w:rtl w:val="true"/>
        </w:rPr>
        <w:t xml:space="preserve">التنبيه الرابع </w:t>
      </w:r>
      <w:r>
        <w:rPr>
          <w:rtl w:val="true"/>
        </w:rPr>
        <w:t xml:space="preserve">: </w:t>
      </w:r>
      <w:r>
        <w:rPr>
          <w:rtl w:val="true"/>
        </w:rPr>
        <w:t>في ملاقي بعض أطراف المعلوم بالإجمال</w:t>
      </w:r>
      <w:bookmarkEnd w:id="21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إنّما يجب عقلاً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هاهنا جهات من البحث </w:t>
      </w:r>
      <w:r>
        <w:rPr>
          <w:rFonts w:eastAsia="IRNazanin" w:cs="IRNazanin"/>
          <w:color w:val="111111"/>
          <w:sz w:val="28"/>
          <w:szCs w:val="28"/>
          <w:rtl w:val="true"/>
          <w:lang w:bidi="fa-IR"/>
        </w:rPr>
        <w:t>:</w:t>
      </w:r>
    </w:p>
    <w:p>
      <w:pPr>
        <w:pStyle w:val="Heading2"/>
        <w:numPr>
          <w:ilvl w:val="1"/>
          <w:numId w:val="1"/>
        </w:numPr>
        <w:rPr/>
      </w:pPr>
      <w:bookmarkStart w:id="217" w:name="__RefHeading___Toc3352708_417432637"/>
      <w:bookmarkStart w:id="218" w:name="_Toc75"/>
      <w:bookmarkEnd w:id="217"/>
      <w:r>
        <w:rPr>
          <w:rtl w:val="true"/>
        </w:rPr>
        <w:t xml:space="preserve">الجهة الاُولى </w:t>
      </w:r>
      <w:r>
        <w:rPr>
          <w:rtl w:val="true"/>
        </w:rPr>
        <w:t xml:space="preserve">: </w:t>
      </w:r>
      <w:r>
        <w:rPr>
          <w:rtl w:val="true"/>
        </w:rPr>
        <w:t>في صور العلم بالملاقاة</w:t>
      </w:r>
      <w:bookmarkEnd w:id="218"/>
    </w:p>
    <w:p>
      <w:pPr>
        <w:pStyle w:val="BookText"/>
        <w:rPr/>
      </w:pPr>
      <w:r>
        <w:rPr>
          <w:rFonts w:ascii="Amiri" w:hAnsi="Amiri" w:eastAsia="Amiri" w:cs="Amiri"/>
          <w:color w:val="111111"/>
          <w:sz w:val="28"/>
          <w:sz w:val="28"/>
          <w:szCs w:val="28"/>
          <w:rtl w:val="true"/>
          <w:lang w:bidi="ar-SA"/>
        </w:rPr>
        <w:t xml:space="preserve">إنّ العلم بالملاقاة قد يكون بعد العلم الإجمالي بنجاسة بعض الأطراف ، وقد يكون قبله ، وقد يكون مقارناً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محلّ الابتلاء رأساً ، ولا يعود إليه ، وقد يكون عائداً إليه</w:t>
      </w:r>
    </w:p>
    <w:p>
      <w:pPr>
        <w:pStyle w:val="BookText"/>
        <w:rPr/>
      </w:pPr>
      <w:r>
        <w:rPr>
          <w:rFonts w:ascii="Amiri" w:hAnsi="Amiri" w:eastAsia="Amiri" w:cs="Amiri"/>
          <w:color w:val="111111"/>
          <w:sz w:val="28"/>
          <w:sz w:val="28"/>
          <w:szCs w:val="28"/>
          <w:rtl w:val="true"/>
          <w:lang w:bidi="ar-SA"/>
        </w:rPr>
        <w:t xml:space="preserve">بعد خروجه حين العلم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وأمثلتها واضحة </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3352710_417432637"/>
      <w:bookmarkStart w:id="220" w:name="_Toc76"/>
      <w:bookmarkEnd w:id="219"/>
      <w:r>
        <w:rPr>
          <w:rtl w:val="true"/>
        </w:rPr>
        <w:t xml:space="preserve">الجهة الثانية </w:t>
      </w:r>
      <w:r>
        <w:rPr>
          <w:rtl w:val="true"/>
        </w:rPr>
        <w:t xml:space="preserve">: </w:t>
      </w:r>
      <w:r>
        <w:rPr>
          <w:rtl w:val="true"/>
        </w:rPr>
        <w:t>مقتضى الأصل العقلي في صور الملاقاة</w:t>
      </w:r>
      <w:bookmarkEnd w:id="22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العقلي في جميعها يقتضي البراءة ؛ لأنّ العلم الإجمالي بنجاسة بعض الأطراف منجّز لها ، فإذا علم بالملاقاة ، أو بكون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الملاقى ، لا يؤثّر العلم الإجمالي الثاني ؛ لأنّ العلم الإجمالي بنجاسة بعض الأطراف تكون رتبته سابقة على العلم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سواءً كان بحسب الزمان مقارناً له ، أو متقدّماً عليه ، أو متأخّراً عنه ، فينجّز الأطراف في الرتبة السابقة على تأثير العلم الثاني ، وبعد تنجيز الأوّلِ الأطرافَ لا يمكن أن يؤثّر العلم الثاني ؛ لعدم </w:t>
      </w:r>
    </w:p>
    <w:p>
      <w:pPr>
        <w:pStyle w:val="BookText"/>
        <w:rPr/>
      </w:pPr>
      <w:r>
        <w:rPr>
          <w:rFonts w:ascii="Amiri" w:hAnsi="Amiri" w:eastAsia="Amiri" w:cs="Amiri"/>
          <w:color w:val="111111"/>
          <w:sz w:val="28"/>
          <w:sz w:val="28"/>
          <w:szCs w:val="28"/>
          <w:rtl w:val="true"/>
          <w:lang w:bidi="ar-SA"/>
        </w:rPr>
        <w:t xml:space="preserve">إمكان تنجّز المنجّز ؛ للزوم تحصيل الحاصل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ثمّ علم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وأنّ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الملاقي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فرضها تكون من الملاقى ، ينجّز العلم المتأخّر زماناً أطرافه في الرتبة السابقة ؛ لأنّ معلومه يكون</w:t>
      </w:r>
    </w:p>
    <w:p>
      <w:pPr>
        <w:pStyle w:val="BookText"/>
        <w:rPr/>
      </w:pPr>
      <w:r>
        <w:rPr>
          <w:rFonts w:ascii="Amiri" w:hAnsi="Amiri" w:eastAsia="Amiri" w:cs="Amiri"/>
          <w:color w:val="111111"/>
          <w:sz w:val="28"/>
          <w:sz w:val="28"/>
          <w:szCs w:val="28"/>
          <w:rtl w:val="true"/>
          <w:lang w:bidi="ar-SA"/>
        </w:rPr>
        <w:t xml:space="preserve">متقدّماً على المعلوم الأوّل ، والمناط في التنجيز هو تقدّم المعلوم زماناً أو رتبةً ، لا العلم ، كما لو علمنا بوقوع قطرة من الدم في أحد الأواني الثلاثة ، ثمّ علمنا بوقوع قطرة منه قبله في أحد الإناءين منها ، يكون العلم الأوّل بلا أثر ، ولا يجب الاجتناب عن الطرف المختصّ به ؛ لأنّ العلم الثاني يؤثّر في تنجيز معلومه في الزمان السابق على العلم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تقدّم تنجّز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بالرتبة ، يكون العلم المتعلّق بالملاقي والطرف في جميع الصور بلا أثر ، فيجب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دون الملاقي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الخروج عن محلّ الابتلاء ، فمضافاً إلى ما أسلفناه</w:t>
      </w:r>
      <w:r>
        <w:rPr>
          <w:rStyle w:val="FootnoteAnchor"/>
          <w:rtl w:val="true"/>
        </w:rPr>
        <w:footnoteReference w:id="260"/>
      </w:r>
      <w:r>
        <w:rPr>
          <w:rFonts w:ascii="Amiri" w:hAnsi="Amiri" w:eastAsia="Amiri" w:cs="Amiri"/>
          <w:color w:val="111111"/>
          <w:sz w:val="28"/>
          <w:sz w:val="28"/>
          <w:szCs w:val="28"/>
          <w:rtl w:val="true"/>
          <w:lang w:bidi="ar-SA"/>
        </w:rPr>
        <w:t>من عدم مانعيته عن تأثير العلم الإجمالي أساساً ، سيأتي</w:t>
      </w:r>
      <w:r>
        <w:rPr>
          <w:rStyle w:val="FootnoteAnchor"/>
          <w:rtl w:val="true"/>
        </w:rPr>
        <w:footnoteReference w:id="261"/>
      </w:r>
      <w:r>
        <w:rPr>
          <w:rFonts w:ascii="Amiri" w:hAnsi="Amiri" w:eastAsia="Amiri" w:cs="Amiri"/>
          <w:color w:val="111111"/>
          <w:sz w:val="28"/>
          <w:sz w:val="28"/>
          <w:szCs w:val="28"/>
          <w:rtl w:val="true"/>
          <w:lang w:bidi="ar-SA"/>
        </w:rPr>
        <w:t xml:space="preserve">أنّ المقام له خصوصية لأجلها لا يكون الخروج عن محلّ الابتلاء مانعاً عن تأثير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الثاني وإن كان معلولاً للعلم الأوّل ومتأخّراً عنه رتبةً ، لكن لِم لا يجوز أن يصيرا بجامعهما منجّزين بالنسبة إلى المعلوم الأوّل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ينجّز العلم السابق رتبةً الطرفين حدوثاً ، وبعد تولّد </w:t>
      </w:r>
    </w:p>
    <w:p>
      <w:pPr>
        <w:pStyle w:val="BookText"/>
        <w:rPr/>
      </w:pPr>
      <w:r>
        <w:rPr>
          <w:rFonts w:ascii="Amiri" w:hAnsi="Amiri" w:eastAsia="Amiri" w:cs="Amiri"/>
          <w:color w:val="111111"/>
          <w:sz w:val="28"/>
          <w:sz w:val="28"/>
          <w:szCs w:val="28"/>
          <w:rtl w:val="true"/>
          <w:lang w:bidi="ar-SA"/>
        </w:rPr>
        <w:t xml:space="preserve">العلم الثاني من الأوّل يؤثّر العلم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المعلول 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بجامعهما في تنجيز الطرفين ، ويستقلّ المعلول في تنجيز الملاقي بالكسر ، وترتّبهما لا يضرّ بتأثير جامعهما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تأثير الجامع في العلل التكوينية أيضاً ممّا لا أساس له ، وإنّما هو كلام صدر ممّن لا قدم 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العلوم العقلية ؛ اغتراراً ببعض الأمثلة الجزئية ممّا لا مساس لها بالصادرية والمصدرية بنحو الفاعلية الإلهية ، كتأثير النار والشمس في حرارة الماء ، وتأثير البندقتين في قتل الإنسان ، وأمثالهما من الفواعل الطبيعية ، وهذه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مقام التعرّض لها ، وإنّما حصل الاشتباه فيها من الخلط بين الفواعل الإلهية والطبيعية ، ثمّ بعد هذا الاشتباه انجرّ الأمر إلى أن اتّسعت دائرته ، وجرّ ذيله إلى الاُمور الاعتبارية والمعاني العقلائية المبحوث عنهما في مثل علم اُصول الفقه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موضوع علم الاُصول لا بدّ وأن يكون واحداً ؛ لقاعدة عدم صدور الواحد إلاّ من الواحد ، وإنّ الصلاة حقيقة واحدة؛ لتلك القاعدة ، وإنّ العلم في المنجّزية لا بدّ وأن يكون واحداً في التأثير ، ومع اجتماع العلمين يكون الجامع مؤثّراً ، كلّ ذلك للخلط الواقع بين مسائل العلوم العقلية الإلهية وغيرها من العلوم الرسمية المفترقة عنها موضوعاً ، ومحمولاً وبرهاناً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نحن فيه ليس تأثير وتأثّر وأثر ومؤثّر وصدور وصادر حتّى يأتي فيه ما ذكر في غيره من تأثير الجامع عند الاجتماع ، وإن كان تأثيره أيضاً غير معقول كما هو ظاهر عند أهله ؛ فتعلّق العلم بموضوع ذي أثر شرعي يتمّ الحجّة على العبد ، وينجّز الواقع ، ويحكم العقل بلزوم الاجتناب عن الأطراف ؛ لتمامية </w:t>
      </w:r>
    </w:p>
    <w:p>
      <w:pPr>
        <w:pStyle w:val="BookText"/>
        <w:rPr/>
      </w:pPr>
      <w:r>
        <w:rPr>
          <w:rFonts w:ascii="Amiri" w:hAnsi="Amiri" w:eastAsia="Amiri" w:cs="Amiri"/>
          <w:color w:val="111111"/>
          <w:sz w:val="28"/>
          <w:sz w:val="28"/>
          <w:szCs w:val="28"/>
          <w:rtl w:val="true"/>
          <w:lang w:bidi="ar-SA"/>
        </w:rPr>
        <w:t xml:space="preserve">الحجّة ، ولا معنى لتمامية الحجّة مرّتين بالنسبة إلى موضوع واحد ، فلو علم بنجاسة بعض الأطراف تمّت الحجّة على العبد ، ويتنجّز النجس في البين ؛ بحيث لو ارتكب بعض الأطراف وصادف الواقع كان مستحقّاً للعقوبة ، ولا معنى لحصول هذا الأمر مرّتين بالنسبة إلى موضوع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علم بنجاسة اُخرى غير الاُولى صار العلم بها أيضاً منجّزاً للأطراف ؛ بحيث لو ارتكب الاثنين وصادفا للواقع صار مستحقّاً للعقوبة بالنسبة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باب الملاقي والملاقى يكون العلم الإجمالي بنجاسة في البين حجّة على المكلّف ومنجّزاً للأطراف ؛ بحيث لو ارتكب بعضها وصادف الواقع صار مستحقّاً للعقوبة ، وعند حصول الملاقاة يعلم إجمالاً بأنّ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الطرف نجس ، لكن العلم الأوّل صار منجّزاً للطرف بما ذكرنا ، ولا معنى للتنجيز فوق التنجيز ، فيكون الملاقي بحكم الشبهة البدوية</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وبهذا يظهر حال الصورة الثالثة ، وأنّ العلم متعلّق بتكليف فعلي منجّز إمّا في الطرف وإمّا في الملاقي والملاقى ، فالعلم كاشف فعلي ومنجّز كذلك بالنسبة إلى جميع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تأثير لتقدّم الرتبة عقلاً في تقدّم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في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التنجيز إنّما هو أثر العلم في الوجود الخارجي ، وتقدّم السبب على المسبّب ليس تقدّماً خارجياً ، بل هو معنىً يدركه العقل ، وينتزع من نشوء أحدهما عن الآخر ، فالعلم الإجمالي المتعلّق بالملاقى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لو كان مقدّماً على العلم الإجمالي بالملاقي والطرف في الرتبة العقلية لا يوجب تقدّمه في التنجيز حتّى يصير مانعاً من تنجيز المتأخّر رتبة ، فالعلم إذا تعلّق بالأطراف بعد العلم بالملاقاة ، والعلم بأ نّه ليس للملاقي نجاسة غير ما اكتسب من الملاقى ، لكن حصل العلم الإجمالي بنجاسة الطرف والملاقى في زمان حدوث العلم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 يكون منجّزاً ، ويجب الاجتناب عن جميع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من عدم تأثير التقدّم الرتبي باب واسع يتّسع نطاقه إلى الأصل السببي والمسبّبي ممّا جعل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تقدّمه عليه هو التقدّم الرتبي ، وتبعه شيخنا العلاّمة 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التفصيل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 ضمن تراث الشيخ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الفوائد ، المحقّق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الإمام الخميني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2132_127981"/>
      <w:bookmarkStart w:id="222" w:name="pg12132_127981"/>
      <w:bookmarkEnd w:id="222"/>
    </w:p>
    <w:p>
      <w:pPr>
        <w:pStyle w:val="Heading2"/>
        <w:numPr>
          <w:ilvl w:val="1"/>
          <w:numId w:val="1"/>
        </w:numPr>
        <w:rPr/>
      </w:pPr>
      <w:bookmarkStart w:id="223" w:name="pg12132_127981"/>
      <w:bookmarkStart w:id="224" w:name="__RefHeading___Toc3352712_417432637"/>
      <w:bookmarkStart w:id="225" w:name="_Toc77"/>
      <w:bookmarkEnd w:id="223"/>
      <w:bookmarkEnd w:id="224"/>
      <w:r>
        <w:rPr>
          <w:rtl w:val="true"/>
        </w:rPr>
        <w:t xml:space="preserve">الجهة الثالثة </w:t>
      </w:r>
      <w:r>
        <w:rPr>
          <w:rtl w:val="true"/>
        </w:rPr>
        <w:t xml:space="preserve">: </w:t>
      </w:r>
      <w:r>
        <w:rPr>
          <w:rtl w:val="true"/>
        </w:rPr>
        <w:t>مقتضى الأصل الشرعي في صور الملاقاة</w:t>
      </w:r>
      <w:bookmarkEnd w:id="225"/>
    </w:p>
    <w:p>
      <w:pPr>
        <w:pStyle w:val="BookText"/>
        <w:rPr/>
      </w:pPr>
      <w:r>
        <w:rPr>
          <w:rFonts w:ascii="Amiri" w:hAnsi="Amiri" w:eastAsia="Amiri" w:cs="Amiri"/>
          <w:color w:val="111111"/>
          <w:sz w:val="28"/>
          <w:sz w:val="28"/>
          <w:szCs w:val="28"/>
          <w:rtl w:val="true"/>
          <w:lang w:bidi="ar-SA"/>
        </w:rPr>
        <w:t xml:space="preserve">بناءً على ما قوّيناه من عدم جريان الاُصول الشرعية في أطراف المعلوم بالإجمال ، وأنّ الأدلّة العامّة غير وافية للترخيص ولو في بعض الأطراف ، لا يبقى إشكال بالنسبة إلى جريان الاُصول في الملاقي في الصورة الاُولى والملاقى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 بعد عدم تأثير العلم الإجمالي بالنسبة إليه ، وأ نّه كالشبهة البدوية عقلاً ؛ فإنّ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معارض له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جريانها في الأطراف وسقوطها بالمعارضة ، فقد تصدّى المحقّقون لرفع التعارض</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 الملاقى حاكم على الأصل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الشكّ في طهارته ونجاسته ناشئاً من الشكّ في الملاقى ، فجريان الأصل فيه يرفع الشكّ عن ملاقيه ، فلا مجرى للأصل في الملاقي في رتبة جريان الأصل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الطهارة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لمثلها في الطرف ، وبعد سقوطهما تبقى في الملاقي جارية بلا معارض ، من غير فرق بين تأخّر العلم بالملاقاة عن العلم بنجاسة بعض الأطراف أو تقدّمه أو مقارنته ، ومن غير فرق بين خروج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الابتلاء ثمّ عوده إليه وغيره ؛ وذلك لأنّ رتبة السبب مقدّمة على المسبّب ، والأصل الجاري فيه يرفع الشكّ عن المسبّب كلّما تحقّق ؛ فإذا علم </w:t>
      </w:r>
      <w:bookmarkStart w:id="226" w:name="pg12132_127982"/>
    </w:p>
    <w:p>
      <w:pPr>
        <w:pStyle w:val="BookText"/>
        <w:rPr/>
      </w:pPr>
      <w:bookmarkEnd w:id="226"/>
      <w:r>
        <w:rPr>
          <w:rFonts w:ascii="Amiri" w:hAnsi="Amiri" w:eastAsia="Amiri" w:cs="Amiri"/>
          <w:color w:val="111111"/>
          <w:sz w:val="28"/>
          <w:sz w:val="28"/>
          <w:szCs w:val="28"/>
          <w:rtl w:val="true"/>
          <w:lang w:bidi="ar-SA"/>
        </w:rPr>
        <w:t xml:space="preserve">إجمالاً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 ثمّ علم بأ نّه لو كان نجساً فإنّما هو من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الأصل فيه رافعاً للشكّ في ملاقيه ، ويصير معارضاً للأصل في الطرف ، ويصير الأصل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معارض بقاءً </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3352714_417432637"/>
      <w:bookmarkStart w:id="228" w:name="_Toc78"/>
      <w:bookmarkEnd w:id="227"/>
      <w:r>
        <w:rPr>
          <w:rtl w:val="true"/>
        </w:rPr>
        <w:t>شبهة التفكيك بين قاعدتي الطهارة والحلّ في الملاقي</w:t>
      </w:r>
      <w:bookmarkEnd w:id="228"/>
    </w:p>
    <w:p>
      <w:pPr>
        <w:pStyle w:val="BookText"/>
        <w:rPr/>
      </w:pPr>
      <w:r>
        <w:rPr>
          <w:rFonts w:ascii="Amiri" w:hAnsi="Amiri" w:eastAsia="Amiri" w:cs="Amiri"/>
          <w:color w:val="111111"/>
          <w:sz w:val="28"/>
          <w:sz w:val="28"/>
          <w:szCs w:val="28"/>
          <w:rtl w:val="true"/>
          <w:lang w:bidi="ar-SA"/>
        </w:rPr>
        <w:t>لكن</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الإمام الخميني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هاهنا إشكال استصعب حلّه على هذا المبنى ذكره شيخنا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قدّس سرّه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الطرفين كما هما مشكوكان من حيث الطهارة والنجاسة ، كذلك هما مشكوكان من حيث الحلّ والحرمة ، والشكّ في الحلّ والحرمة فيهما مسبّب عن الشكّ في الطهارة والنجاسة ، فأصالة الطهارة فيهما حاكمة على أصالة الحلّ ، فهي جارية في الطرفين قبل جريان أصالة الحلّ قبلية بالرتبة ، فإذا تساقطا بالتعارض جرت أصالة الحلّ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وأصالة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لكونها في عرض واحد بلا تقدّم وتأخّر ؛ فإنّ الشكّ في الحلّية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مسبّبان عن الشكّ في الطهارة في الملاقى ، وليس بينهما سببية ومسبّبية ، فإذا تعارضت الاُصول الثلاث ؛ أي أصالتا الحلّ في الملاقى والطرف ، وأصالة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w:t>
      </w:r>
    </w:p>
    <w:p>
      <w:pPr>
        <w:pStyle w:val="BookText"/>
        <w:rPr/>
      </w:pPr>
      <w:r>
        <w:rPr>
          <w:rFonts w:ascii="Amiri" w:hAnsi="Amiri" w:eastAsia="Amiri" w:cs="Amiri"/>
          <w:color w:val="111111"/>
          <w:sz w:val="28"/>
          <w:sz w:val="28"/>
          <w:szCs w:val="28"/>
          <w:rtl w:val="true"/>
          <w:lang w:bidi="ar-SA"/>
        </w:rPr>
        <w:t xml:space="preserve">أصالة الحلّ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الطرفين والملاقي أصل موضوعي هو أصل الطهارة ، وأصل حكمي هو أصل الحلّ ، والاُصول الحكمية محكومة بالنسبة إلى الموضوعية ، والأصل الموضوعي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الأصل الموضوعي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تعارض الأصلان الموضوعيان في الطرفين تصل النوبة إلى الأصلين الحكميين فيهما وإلى الأصل الموضوعي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فتتعارض هذه الاُصول ، ويبقى الأصل الحكمي في الملاقي سليماً عن المعارض ، فالملاقي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بالاجتناب من حيث النجاسة ، ومحكوم بالحلّية لأصالة الحلّ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والجواب عن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جريان الاُصول في أطراف العلم الإجمالي بالتقريب الذي ذكرنا سابقاً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الأدلّة العامّة المرخّصة لا تصلح لشمول الأطراف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فعليه تكون الاُصول الموضوعية والحكمية غير جارية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 وأمّا جريانها بالنسبة إلى ملاقيه فلا مانع منه ؛ لعدم تأثير العلم الإجمالي بالنسبة إليه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كالشبهة البدوية ، فلا مانع من جريان الاُصول الشرعية فيه</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وبهذا يظهر وجه جريان الأصل في الصورة الثانية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بنجاسة الملاقي والملاقى والطرف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فيها عدم جريان الاُصول في شيء منها ؛ لما حقّقنا من قصور الأدلّة ، ومع الغضّ تجري الاُصول وتعارضُ من غير تقدّم للأصل السببي على المسبّبي ؛ لما حقّقنا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الإمام الخميني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تنقيح الاُصول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الإمام الخميني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الحاشية قد انمحى بعض كلماتها ولكن صحّحناها بالمقايسة إلى متن تهذيب الاُصول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2132_127985"/>
      <w:bookmarkStart w:id="230" w:name="pg12132_127985"/>
      <w:bookmarkEnd w:id="230"/>
    </w:p>
    <w:p>
      <w:pPr>
        <w:pStyle w:val="Heading2"/>
        <w:numPr>
          <w:ilvl w:val="1"/>
          <w:numId w:val="1"/>
        </w:numPr>
        <w:rPr/>
      </w:pPr>
      <w:bookmarkStart w:id="231" w:name="pg12132_127985"/>
      <w:bookmarkStart w:id="232" w:name="__RefHeading___Toc3352716_417432637"/>
      <w:bookmarkStart w:id="233" w:name="_Toc79"/>
      <w:bookmarkEnd w:id="231"/>
      <w:bookmarkEnd w:id="232"/>
      <w:r>
        <w:rPr>
          <w:rtl w:val="true"/>
        </w:rPr>
        <w:t>جواب العلاّمة الحائري ومناقشته</w:t>
      </w:r>
      <w:bookmarkEnd w:id="233"/>
    </w:p>
    <w:p>
      <w:pPr>
        <w:pStyle w:val="BookText"/>
        <w:rPr/>
      </w:pPr>
      <w:r>
        <w:rPr>
          <w:rFonts w:ascii="Amiri" w:hAnsi="Amiri" w:eastAsia="Amiri" w:cs="Amiri"/>
          <w:color w:val="111111"/>
          <w:sz w:val="28"/>
          <w:sz w:val="28"/>
          <w:szCs w:val="28"/>
          <w:rtl w:val="true"/>
          <w:lang w:bidi="ar-SA"/>
        </w:rPr>
        <w:t xml:space="preserve">ولقد أجاب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الاُصول في أطراف العلم غير جارية حكمية كانت أو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التناقض الواقع في مدلول الدليل ، وإمّا لأجل أنّ أصالة الظهور في عمومات الحلّ والطهارة معلّقة بعدم العلم على خلافه ، فحيثما تحقّق العلم يصير قرينة على عدم الظهور فيها ، من غير فرق بين كون العلم سابقاً على مرتبة جريانها أو مقارناً ،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المانع من جريان الأصلين الموضوعيين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التناقض ، أو لأجل عدم جريان أصالة الظهور في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جريان الأصلين الحكميين أيضاً ؛ لكونه قرينة على عدم الظهور ، غاية الأمر تكون قرينيته بالنسبة إلى الأصل الموضوعي مقارنة ، وبالنسبة إلى الأصل الحكمي مقدّمة ، ولا فرق من هذه الحيثية ، فمورد جريان الأصل الحكمي ووجود الشكّ في الأصل المحكوم كان حين وجود القرينة على خلافه ، فلا يبقى الظهور لأدلّة الاُصول ، فيبقى الأصل الموضوعي في الملاقي سليماً عن المعارض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 من لزوم التناقض في مدلول 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مراده ما أفاد الشيخ الأنصاري رحمه الله علیه في أدلّة الاستصحاب من لزوم تناقض صدرها لذيلها</w:t>
      </w:r>
      <w:r>
        <w:rPr>
          <w:rStyle w:val="FootnoteAnchor"/>
          <w:rtl w:val="true"/>
        </w:rPr>
        <w:footnoteReference w:id="268"/>
      </w:r>
      <w:r>
        <w:rPr>
          <w:rFonts w:ascii="Amiri" w:hAnsi="Amiri" w:eastAsia="Amiri" w:cs="Amiri"/>
          <w:color w:val="111111"/>
          <w:sz w:val="28"/>
          <w:sz w:val="28"/>
          <w:szCs w:val="28"/>
          <w:rtl w:val="true"/>
          <w:lang w:bidi="ar-SA"/>
        </w:rPr>
        <w:t>، وكذا في دليل أصالة الحلّ</w:t>
      </w:r>
      <w:r>
        <w:rPr>
          <w:rStyle w:val="FootnoteAnchor"/>
          <w:rtl w:val="true"/>
        </w:rPr>
        <w:footnoteReference w:id="269"/>
      </w:r>
      <w:r>
        <w:rPr>
          <w:rFonts w:ascii="Amiri" w:hAnsi="Amiri" w:eastAsia="Amiri" w:cs="Amiri"/>
          <w:color w:val="111111"/>
          <w:sz w:val="28"/>
          <w:sz w:val="28"/>
          <w:szCs w:val="28"/>
          <w:rtl w:val="true"/>
          <w:lang w:bidi="ar-SA"/>
        </w:rPr>
        <w:t>فقد فرغنا عن جوابه فيما سلف</w:t>
      </w:r>
      <w:r>
        <w:rPr>
          <w:rStyle w:val="FootnoteAnchor"/>
          <w:rtl w:val="true"/>
        </w:rPr>
        <w:footnoteReference w:id="27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234" w:name="pg12132_127986"/>
    </w:p>
    <w:p>
      <w:pPr>
        <w:pStyle w:val="BookText"/>
        <w:rPr/>
      </w:pPr>
      <w:bookmarkEnd w:id="234"/>
      <w:r>
        <w:rPr>
          <w:rFonts w:ascii="Amiri" w:hAnsi="Amiri" w:eastAsia="Amiri" w:cs="Amiri"/>
          <w:color w:val="111111"/>
          <w:sz w:val="28"/>
          <w:sz w:val="28"/>
          <w:szCs w:val="28"/>
          <w:rtl w:val="true"/>
          <w:lang w:bidi="ar-SA"/>
        </w:rPr>
        <w:t xml:space="preserve">وإن كان مراده لزومه بواسطة جريان الأصلين للعلم بمخالفة أحدهما للواقع ، فهذا ليس تناقضاً في مدلول الدليل ، بل هو مناقضة الحكم الظاهري مع الواقعي ، وقد فرغنا عن رفع المناقضة بينهما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ادّعى من كون العلم قرينة على عدم الظهور في أدلّة الاُصول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الأطراف لا يكون إلاّ مشكوكاً فيه ، والعلم بمخالفة بعضها للواقع لا يوجب صرف ظهورها بعد رفع المناقضة بينها وبين الواقع </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3352718_417432637"/>
      <w:bookmarkStart w:id="236" w:name="_Toc80"/>
      <w:bookmarkEnd w:id="235"/>
      <w:r>
        <w:rPr>
          <w:rtl w:val="true"/>
        </w:rPr>
        <w:t xml:space="preserve">الجهة الرابعة </w:t>
      </w:r>
      <w:r>
        <w:rPr>
          <w:rtl w:val="true"/>
        </w:rPr>
        <w:t xml:space="preserve">: </w:t>
      </w:r>
      <w:r>
        <w:rPr>
          <w:rtl w:val="true"/>
        </w:rPr>
        <w:t>تعميم الأصل في الملاقي لجميع الصور</w:t>
      </w:r>
      <w:bookmarkEnd w:id="236"/>
    </w:p>
    <w:p>
      <w:pPr>
        <w:pStyle w:val="BookText"/>
        <w:rPr/>
      </w:pPr>
      <w:r>
        <w:rPr>
          <w:rFonts w:ascii="Amiri" w:hAnsi="Amiri" w:eastAsia="Amiri" w:cs="Amiri"/>
          <w:color w:val="111111"/>
          <w:sz w:val="28"/>
          <w:sz w:val="28"/>
          <w:szCs w:val="28"/>
          <w:rtl w:val="true"/>
          <w:lang w:bidi="ar-SA"/>
        </w:rPr>
        <w:t xml:space="preserve">بناءً على جريان الاُصول العملية في الأطراف ، وحكومة الأصل الجاري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الجاري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جريان الأصل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معارض في جميع صور الملاقاة ، من غير فرق بين تقدّم العلم بنجاسة أحد الطرفين على العلم بالملاقاة أو تأخّره عنه أو مقارنتهما ؛ فإنّ الأصل في السبب في جميع الصور يرفع الشكّ عن المسبّب ، غاية الأمر أنّ الأصل السببي يمنع عن جريان الأصل المسبّبي من أوّل الأمر في بعض الصور ، ويرفع الموضوع ويمنع عن الجريان في مرحلة البقاء في بعضها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آخر ، ثمّ علم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وأنّ النجاسة في الملاقي لو كانت فهي من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الأمر عمّا هو عليه ، ويجري الأصل السببي في </w:t>
      </w:r>
      <w:bookmarkStart w:id="237" w:name="pg12132_127987"/>
    </w:p>
    <w:p>
      <w:pPr>
        <w:pStyle w:val="BookText"/>
        <w:rPr/>
      </w:pPr>
      <w:bookmarkEnd w:id="237"/>
      <w:r>
        <w:rPr>
          <w:rFonts w:ascii="Amiri" w:hAnsi="Amiri" w:eastAsia="Amiri" w:cs="Amiri"/>
          <w:color w:val="111111"/>
          <w:sz w:val="28"/>
          <w:sz w:val="28"/>
          <w:szCs w:val="28"/>
          <w:rtl w:val="true"/>
          <w:lang w:bidi="ar-SA"/>
        </w:rPr>
        <w:t xml:space="preserve">الرتبة السابقة ، ويرفع موضوع الأصل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المسبّب قد جرى وسقط بالتعارض ، والساقط لا يعود ؛ فإنّه كلام شعري لا يصغى إليه ؛ لأنّ التقدّم الزماني لا دخالة له بعد رفع الموضوع </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3352720_417432637"/>
      <w:bookmarkStart w:id="239" w:name="_Toc81"/>
      <w:bookmarkEnd w:id="238"/>
      <w:r>
        <w:rPr>
          <w:rtl w:val="true"/>
        </w:rPr>
        <w:t xml:space="preserve">الجهة الخامسة </w:t>
      </w:r>
      <w:r>
        <w:rPr>
          <w:rtl w:val="true"/>
        </w:rPr>
        <w:t xml:space="preserve">: </w:t>
      </w:r>
      <w:r>
        <w:rPr>
          <w:rtl w:val="true"/>
        </w:rPr>
        <w:t>في خروج الملاقى عن محلّ الابتلاء</w:t>
      </w:r>
      <w:bookmarkEnd w:id="239"/>
    </w:p>
    <w:p>
      <w:pPr>
        <w:pStyle w:val="BookText"/>
        <w:rPr/>
      </w:pPr>
      <w:r>
        <w:rPr>
          <w:rFonts w:ascii="IRNazanin" w:hAnsi="IRNazanin" w:eastAsia="IRNazanin"/>
          <w:color w:val="111111"/>
          <w:sz w:val="28"/>
          <w:sz w:val="28"/>
          <w:szCs w:val="28"/>
          <w:rtl w:val="true"/>
          <w:lang w:bidi="fa-IR"/>
        </w:rPr>
        <w:t xml:space="preserve">من الصور التي أوجب المحقّق الخراساني رحمه الله علیه الاجتناب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والطرف دون الملاقى ، ما إذا كان الملاقى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عن محلّ الابتلاء ، قال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وكذا يجب الاجتناب عن الملاقي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والطرف دون الملاقى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بالملاقاة ثمّ حدث العلم الإجمالي ، ولكن كان الملاقى خارجاً عن محلّ الابتلاء في حال حدوثه وصار مبتلىً به بعده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فأورد عليه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 نّه لا أثر لخروج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الابتلاء في ظرف حدوث العلم مع عوده إلى محلّ الابتلاء بعد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أنّ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ظرف حدوث العلم خارجاً عن محلّ الابتلاء ولم يعد بعد ذلك إلى محلّه ولو بالأصل ، فالعلم الإجمالي بنجاسته أو الطرف ممّا لا أثر له ، ويبقى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للعلم الإجمالي ، فيجب الاجتناب عنه وعن الطرف</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240" w:name="pg12132_127988"/>
    </w:p>
    <w:p>
      <w:pPr>
        <w:pStyle w:val="BookText"/>
        <w:rPr/>
      </w:pPr>
      <w:bookmarkEnd w:id="240"/>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أنّ الخروج عن محلّ الابتلاء ممّا لا أثر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أنّ الخروج عن محلّه يؤثّر في عدم جريان الأصل بالنسبة إليه ، لكنّه فيما إذا لم يكن للخارج أثر يكون محلّ الابتلاء ، وأمّا لو فرض أنّ له أثراً في الجملة كان الأصل جارياً فيه بلحاظ ذلك الأثر ، وفيما نحن فيه يكون كذلك ؛ لأنّ أثر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محلّ الابتلاء هو نجاسة الملاقي الذي هو محلّ الابتلاء ، فأصالة الطهارة في الملاقى جارية بلحاظ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نجاسة ملاقيه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وحاكم على الأصل في الملاقي وإن لم يعد إلى محلّ الابتلاء ، فظهر أنّ الأصل في جميع الصور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عن المعارض </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3352722_417432637"/>
      <w:bookmarkStart w:id="242" w:name="_Toc82"/>
      <w:bookmarkEnd w:id="241"/>
      <w:r>
        <w:rPr>
          <w:rtl w:val="true"/>
        </w:rPr>
        <w:t xml:space="preserve">الجهة السادسة </w:t>
      </w:r>
      <w:r>
        <w:rPr>
          <w:rtl w:val="true"/>
        </w:rPr>
        <w:t xml:space="preserve">: </w:t>
      </w:r>
      <w:r>
        <w:rPr>
          <w:rtl w:val="true"/>
        </w:rPr>
        <w:t>وجوه اُخرى في وجوب الاجتناب عن الملاقي</w:t>
      </w:r>
      <w:bookmarkEnd w:id="24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يستدلّ</w:t>
      </w:r>
      <w:r>
        <w:rPr>
          <w:rStyle w:val="FootnoteAnchor"/>
          <w:rtl w:val="true"/>
        </w:rPr>
        <w:footnoteReference w:id="274"/>
      </w:r>
      <w:r>
        <w:rPr>
          <w:rFonts w:ascii="Amiri" w:hAnsi="Amiri" w:eastAsia="Amiri" w:cs="Amiri"/>
          <w:color w:val="111111"/>
          <w:sz w:val="28"/>
          <w:sz w:val="28"/>
          <w:szCs w:val="28"/>
          <w:rtl w:val="true"/>
          <w:lang w:bidi="ar-SA"/>
        </w:rPr>
        <w:t xml:space="preserve">على وجوب الاجتناب عن الملاقي لأحد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وجوب الاجتناب عن النجس هو الاجتناب عنه وعن ملاقيه؛ بحيث يكون الاجتناب عن ملاقيه من شؤون وجوب الاجتناب عنه ، وليس وجوب الاجتناب عن الملاقي لأجل تعبّد آخر وراء التعبّد بوجوب الاجتناب عن النجس ، فالاجتناب واللا اجتناب عن الملاقي هو الاجتناب واللا اجتناب عن النجس ، ويكون المرتكب للملاقي معاقباً على ارتكاب النجس لا على ارتكاب ملاقيه ؛ لعدم الحكم للملاقي مستقلاًّ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البين حكم إلاّ وجوب الاجتناب عن عين النجس ، لكن لا يتحقّق الاجتناب عنها إلاّ بالاجتناب عنها وعن ملاقيها ، فإذا علم إجمالاً بنجاسة أحد الإناءين يحكم العقل بوجوب الاجتناب عنهما وعن ملاقي أحدهما بعين حكمه بوجوب الاجتناب عن الملاقى ؛ للعلم بوجوب الاجتناب شرعاً إمّا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وملاقيه الذي يكون اجتنابه من شؤون اجتناب الملاقى ، وإمّا بوجوب الاجتناب عن الطرف ، فيتنجّز التكليف في البين ، ولازمه الاجتناب عن الملاقي والملاقى والطرف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Style w:val="FootnoteAnchor"/>
          <w:rtl w:val="true"/>
        </w:rPr>
        <w:footnoteReference w:id="275"/>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وفيه ما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لا وجه للاستدلال عليه برواية جابر عن أبي جعفر علیه السلام ؛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الميتة من كلّ شيءٍ</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 xml:space="preserve">ليس للاستدلال على نجاسة الملاقي للفأرة ، بل لبيان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الفأرة أهون عليّ من أن أترك طعامي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استخفاف بحكم اللّه تعالى ، لتعلّق حكمه بكلّ ميتة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على كون الملاقي نجاسة اُخرى مستقلّة بالجعل والتعبّد بالاجتناب عنه بمفهوم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فإنّ </w:t>
      </w:r>
      <w:bookmarkStart w:id="243" w:name="pg12132_127990"/>
    </w:p>
    <w:p>
      <w:pPr>
        <w:pStyle w:val="BookText"/>
        <w:rPr/>
      </w:pPr>
      <w:bookmarkEnd w:id="243"/>
      <w:r>
        <w:rPr>
          <w:rFonts w:ascii="Amiri" w:hAnsi="Amiri" w:eastAsia="Amiri" w:cs="Amiri"/>
          <w:color w:val="111111"/>
          <w:sz w:val="28"/>
          <w:sz w:val="28"/>
          <w:szCs w:val="28"/>
          <w:rtl w:val="true"/>
          <w:lang w:bidi="ar-SA"/>
        </w:rPr>
        <w:t xml:space="preserve">المفهوم منه أنّ الماء الغير البالغ حدّ الكرّ ينجّسه بعض النجاسات ؛ أي يجعله نجساً ، فالظاهر منه أنّ الأعيان النجسة واسطة لثبوت النجاسة للماء ، فيصير الماء لأجل الملاقاة للنجس فرداً من النجاسات مختصّاً بالجعل ووجوب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 نّه قذر</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أي حتّى تعلم أ نّه صار قذراً بواسطة الملاقاة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يمكن أن يستدلّ عليه بما دلّ على أنّ الماء والأرض والشمس وغيرها مطهّرات للأشياء ؛ فإنّ الظاهر منها أ نّها صارت نجسة فتطهر بالمطهّرات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نجاسة الملاقي للنجاسات إنّما هي من نجاسة الأعيان النجسة التي يلاقيها ، كما أنّ الظاهر أ نّه مختصّ بجعل آخر ووجوب اجتناب مستقلّ به ، لا أنّ وجوب الاجتناب عنه عين وجوب الاجتناب عن الأعيان النجسة من غير جعل آخر متعلّق به </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3352724_417432637"/>
      <w:bookmarkStart w:id="245" w:name="_Toc83"/>
      <w:bookmarkEnd w:id="244"/>
      <w:r>
        <w:rPr>
          <w:rtl w:val="true"/>
        </w:rPr>
        <w:t xml:space="preserve">الجهة السابعة </w:t>
      </w:r>
      <w:r>
        <w:rPr>
          <w:rtl w:val="true"/>
        </w:rPr>
        <w:t xml:space="preserve">: </w:t>
      </w:r>
      <w:r>
        <w:rPr>
          <w:rtl w:val="true"/>
        </w:rPr>
        <w:t>الأصل عند الشكّ في اختصاص الملاقي بجعل مستقلّ</w:t>
      </w:r>
      <w:bookmarkEnd w:id="24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شككنا في أنّ الملاقي مخصوص بجعل مستقلّ حتّى لا يجب الاجتناب عنه ، أو لا حتّى يجب الاجتناب عنه ، فهل الأصل يقتضي الاحتياط أو البراءة ؟ </w:t>
      </w:r>
    </w:p>
    <w:p>
      <w:pPr>
        <w:pStyle w:val="BookText"/>
        <w:rPr/>
      </w:pPr>
      <w:r>
        <w:rPr>
          <w:rFonts w:ascii="IRNazanin" w:hAnsi="IRNazanin" w:eastAsia="IRNazanin"/>
          <w:color w:val="111111"/>
          <w:sz w:val="28"/>
          <w:sz w:val="28"/>
          <w:szCs w:val="28"/>
          <w:rtl w:val="true"/>
          <w:lang w:bidi="fa-IR"/>
        </w:rPr>
        <w:t>الظاهر</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جريان البراءة العقلية والشرعية فيه ؛ لرجوع الشكّ فيه إلى الأقلّ والأكثر ؛ فإنّ التكليف بوجوب الاجتناب عن نفس الأعيان النجسة معلوم ، وشكّ في أنّ الوجوب هل هو متعلّق بها على نحوٍ وخصوصية يقتضي وجوب الاجتناب عن ملاقي بعض الأطراف أم لا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المولى بوجوب الاجتناب عن النجس معلوم ، وكونه بحيث يكلّف العبد بوجوب الاجتناب عن الملاقي مشكوك فيه ، ألا ترى أ نّه لو لم يدلّ دليل على وجوب الاجتناب عن ملاقي النجس لم تكن نفس الأدلّة الدالّة على وجوب الاجتناب عن الأعيان النجسة حجّة على المكلّف؛ لقصورها عن إفادة ذلك ؟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ادّعى أحد أنّ وجوب الاجتناب عن الملاقي إنّما هو بحكم </w:t>
      </w:r>
    </w:p>
    <w:p>
      <w:pPr>
        <w:pStyle w:val="BookText"/>
        <w:rPr/>
      </w:pPr>
      <w:r>
        <w:rPr>
          <w:rFonts w:ascii="Amiri" w:hAnsi="Amiri" w:eastAsia="Amiri" w:cs="Amiri"/>
          <w:color w:val="111111"/>
          <w:sz w:val="28"/>
          <w:sz w:val="28"/>
          <w:szCs w:val="28"/>
          <w:rtl w:val="true"/>
          <w:lang w:bidi="ar-SA"/>
        </w:rPr>
        <w:t xml:space="preserve">العقل ، وأ نّه من كيفيات إطاعة وجوب الهجر للرجز ، لكان للاحتياط عند الشكّ وجه ، لكنّه معلوم البطلان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بعض مشايخ العصر رحمه الله علیه وجوب الاجتناب عنه ، وجعل المسألة مبتنية على أمر يشبه بالأكل من القفا ، قال رحمه الله علیه 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الأقوى وجوب الاجتناب ، ويتّضح وجهه بتمهيد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 نّه لو دار الأمر بين شرطية أحد الشيئين ومانعية الآخر ،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من الضدّين اللذين لا ثالث لهما ؛ كما إذا شكّ</w:t>
      </w:r>
    </w:p>
    <w:p>
      <w:pPr>
        <w:pStyle w:val="BookText"/>
        <w:rPr/>
      </w:pPr>
      <w:r>
        <w:rPr>
          <w:rFonts w:ascii="Amiri" w:hAnsi="Amiri" w:eastAsia="Amiri" w:cs="Amiri"/>
          <w:color w:val="111111"/>
          <w:sz w:val="28"/>
          <w:sz w:val="28"/>
          <w:szCs w:val="28"/>
          <w:rtl w:val="true"/>
          <w:lang w:bidi="ar-SA"/>
        </w:rPr>
        <w:t xml:space="preserve">في أنّ الجهر بالقراءة شرط في الصلاة ، أو أنّ الإخفات بها مانع ؛ لعدم الواسطة بينهما ، لعدم إمكان خلوّ القراءة عن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واسطة بينهما ؛ كما إذا شكّ في أنّ السورة بشرط الوحدة شرط في الصلاة ، أو أنّ القِران مانع ، فتكون الصلاة بلا سورة واسطة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جريان البراءة عن الشرطية المشكوك فيها في القسم الثاني ؛ لرجوع الشكّ فيه إلى الأقلّ والأكثر ؛ لأنّ شرطية السورة بقيد الوحدة تقتضي بطلان الصلاة بلا سورة ، ومانعية القران لا تقتضي ذلك ، فتجري البراءة بالنسبة إلى الأثر الزائد ، ويعمّه 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تفصيلاً بأنّ القران مبطل ؛ إمّا لفقد الشرط ، أو لوجود المانع ، ويشكّ في بطلان الصلاة بلا سورة ؛ للشكّ في الشرطية ، فتجري فيه البراءة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الأوّل فالشكّ فيه يرجع إلى المتباينين ؛ لاشتراك الشرطية والمانعية في الآثار ، وليس للشرطية أثر زائد ؛ إذ كما أنّ شرطية الجهر تقتضي البطلان عند الإخفات ، كذلك مانعية الإخفات تقتضي ذلك عنده ، فلا فرق بين </w:t>
      </w:r>
    </w:p>
    <w:p>
      <w:pPr>
        <w:pStyle w:val="BookText"/>
        <w:rPr/>
      </w:pPr>
      <w:r>
        <w:rPr>
          <w:rFonts w:ascii="Amiri" w:hAnsi="Amiri" w:eastAsia="Amiri" w:cs="Amiri"/>
          <w:color w:val="111111"/>
          <w:sz w:val="28"/>
          <w:sz w:val="28"/>
          <w:szCs w:val="28"/>
          <w:rtl w:val="true"/>
          <w:lang w:bidi="ar-SA"/>
        </w:rPr>
        <w:t xml:space="preserve">الشرطية والمانعية في عالم الجعل والثبوت في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هما يفترقان عند الشكّ ؛ لأنّ الشرط لا بدّ من إحرازه ، ولا يكفي الشكّ في وجوده ، بخلاف المانع ؛ فإنّه لا يلزم إحراز عدمه بناءً على جريان أصالة عدم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المأموم في أنّ الإمام أجهر بالقراءة أو أخفت بها ، فبناءً على المانعية يجري الأصل ويتمّ صلاته معه ، وبناءً على شرطية الجهر ليس له الإتمام معه ؛ لعدم إحراز ما هو الشرط في صحّة صلاته ، فلزوم إحراز الشرط إنّما هو من آثار نفس الشكّ في الشرطية ، لا جعل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يقع الكلام في أنّ هذا المقدار من الأثر الذي اقتضاه الشكّ لا الجعل ممّا تجري فيه البراءة ويعمّه حديث الرفع أو لا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جعل الشرطية ضيق وكلفة ؛ للزوم إحراز الشرط ، بخلاف جعل المانعية ، ففي رفع الشرطية توسعة ومنّة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يعتبر في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المرفوع من المجعولات الشرعية ولو تبعاً ، وخصوصية لزوم إحراز الشرط ليست بنفسها من المجعولات الشرعية ولا من لوازمها ، بل هي من الآثار المترتّبة على الشكّ فيما هو المجعول الشرعي ، ومثل هذه الخصوصية لا يعمّها حديث الرفع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الوجهين اللذين ذكرناهما في نجاسة الملاقي يشتركان في الأثر ؛ لأ نّه يجب الاجتناب عن ملاقي النجس على كلّ تقدير ، سواء قلنا بالسراية أو لم نقل ، وليس هنا أثر يختصّ به أحد الوجهين في عالم الجعل والثبوت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يظهر لأحد الوجهين أثر زائد عند الشكّ ، فإنّه بناءً على </w:t>
      </w:r>
    </w:p>
    <w:p>
      <w:pPr>
        <w:pStyle w:val="BookText"/>
        <w:rPr/>
      </w:pPr>
      <w:r>
        <w:rPr>
          <w:rFonts w:ascii="Amiri" w:hAnsi="Amiri" w:eastAsia="Amiri" w:cs="Amiri"/>
          <w:color w:val="111111"/>
          <w:sz w:val="28"/>
          <w:sz w:val="28"/>
          <w:szCs w:val="28"/>
          <w:rtl w:val="true"/>
          <w:lang w:bidi="ar-SA"/>
        </w:rPr>
        <w:t>السراية يجب الاجتناب عن الملاقي لأحد طرفي المعلوم بالإجمال ، ولا يجري فيه أصالة الطهارة ، وبناءً على الوجه الآخر لا يجب الاجتناب عنه وتجري فيه أصالة الطهارة ، فيكون الشكّ في أحد الوجهين كالشكّ في شرطية أحد الشيئين ومانعية الآخر في الضدّين اللذين لا ثالث لهما ، من حيث عدم اقتضاء أحد الجعلين أثراً زائداً ، واقتضاء الشكّ فيما هو المجعول أثراً زائداً ، وحيث قلنا بعدم جريان البراءة هناك لم تجرِ هاهنا ؛ لأ نّه طرف العلم الإجمالي وجداناً ، وإنّما أخرجناه عن ذلك بمعونة السببية والمسبّبية ، وهما مبتنيان على أن لا تكون نجاسة الملاقي بالسراية ، فلو احتمل كونها بالسراية تبقى طرفيته للعلم الإجمالي على حالها كالملاقى بالفتح</w:t>
      </w:r>
      <w:r>
        <w:rPr>
          <w:rStyle w:val="FootnoteAnchor"/>
          <w:rtl w:val="true"/>
        </w:rPr>
        <w:footnoteReference w:id="28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مواقع للنظر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الشكّ إلى الأقلّ والأكثر ،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بالشكّ بين شرطية السورة بشرط الوحدة وبين مانعية القران ، وجعل الواسطة بينهما خلوّ الصلاة من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وتركيب بين 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الشكّ في جزئية السورة في الصلاة وعدمها ، وثانيهما على فرض الجزئية الشكّ في شرطية الوحدة للسورة ومانعية القران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شرط الجزء ، لا الجزء بشرط الوحدة شرط الصلاة ، ومعلوم أنّ الشكّ في شرطية شيء لجزء الصلاة بعد الفراغ عن الجزئية ، وليس الشكّ في الجزئية وشرطية شيء للجزء في رتبة واحدة ؛ حتّى يجعل أحدهما </w:t>
      </w:r>
    </w:p>
    <w:p>
      <w:pPr>
        <w:pStyle w:val="BookText"/>
        <w:rPr/>
      </w:pPr>
      <w:r>
        <w:rPr>
          <w:rFonts w:ascii="Amiri" w:hAnsi="Amiri" w:eastAsia="Amiri" w:cs="Amiri"/>
          <w:color w:val="111111"/>
          <w:sz w:val="28"/>
          <w:sz w:val="28"/>
          <w:szCs w:val="28"/>
          <w:rtl w:val="true"/>
          <w:lang w:bidi="ar-SA"/>
        </w:rPr>
        <w:t xml:space="preserve">واسطة بين الآخر وضدّه ، وإلاّ فلنا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 الأوّل أيضاً من الضدّين اللذين لهما ثالث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أنّ القراءة المجهور بها شرط للصلاة أو الإخفات مانع ، وتكون الصلاة بلا قراءة واسطة بينهما ؛ لإمكان خلوّ الصلاة عن 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لزوم إحراز الشرط من الآثار المترتّبة على نفس الشكّ في الشرطية ، لا من آثار جعل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ضرورة أنّ لزوم الإحراز إنّما هو من آثار الشرطية ، فإنّ الأمر إذا تعلّق بالصلاة بشرط الطهارة لا بدّ من إحرازها عند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كانت محرزة لا معنى لإحرازها بأصل وغيره ، وعند الشكّ يجب إحرازها ولو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الإحراز عند الشكّ من آثار جعل الشرطية ، لا من آثار الشكّ فيها ، وهذا واضح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جعله مانعاً عن جريان البراءة وتعميم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خصوصية لزوم إحراز الشرط ليست بنفسها من المجعولات الشرعية ، ولا تنالها يد الوضع والرفع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فإنّ المرفوع هو الشرطية الآتي من قِبلها لزوم الإحراز ، لا خصوصية لزوم الإحراز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اتّضح الأمر فيما نحن فيه ؛ فإنّ لزوم الاجتناب عن الملاقي إنّما هو من آثار كيفية الجعل ، وأ نّه بما هو متعلّق بالأعيان النجسة هل تعلّق بنحو وخصوصية أوجب الاجتناب عن ملاقيها ، ويكون الاجتناب عنه من شؤون الاجتناب عنها ، أم لا ؟ فجريان البراءة شرعاً وعقلاً إنّما هو من الخصوصية الزائدة في الجعل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لا بدّ من إحرازه ، بخلاف المانع ؛ فإنّه لا يلزم إحراز عدمه بناءً على جريان أصالة عدم المانع عند الشكّ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من سوء التعبير ؛ فإنّ عدم لزوم الإحراز ليس مبنيّاً على أصالة عدم المانع عند الشكّ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الإحراز ، لا مبنى عدم لزومه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بناءً على المانعية لا يلزم الإحراز ولو بالأصل ؛ لجريان البراءة العقلية والشرعية بناءً عليها ، وعدمِ جريانها بناءً على الشرطية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لو بنينا على لزوم الإحراز حتّى بناءً على المانعية ، وبنينا على جريان أصالة عدم المانع ، كان من وجوه الفرق بين جعل الشرطية والمانعية هو إمكان إحراز عدم المانع بالأصل وعدم إمكان إحراز الشرط عند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التعبير من فلتات قلم الفاضل المقرّر رحمه الله علیه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شكّ المأموم في أنّ الإمام جهر بالقراءة أو أخفت بها ، فبناءً على مانعية الإخفات يجوز الائتمام ؛ لجريان أصالة عدم المانع ، وبناءً على الشرطية لا يجوز له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بيان مقتضى القاعدة الأوّلية مع قطع النظر عن القواعد الاُخر ، وإلاّ فلا إشكال في جواز الائتمام مع الشكّ في واجدية الإمام للشرائط أو فاقديته للموانع ، فلو شكّ في أنّ الإمام على طهر أو أنّ قراءته صحيحة جاز الائتمام به ؛ لأصالة الصحّة ، وبناء المتشرّعة على الائتمام به من دون إحراز الشرائط ولو بالأصل ، غير أصالة الصحّة </w:t>
      </w:r>
      <w:r>
        <w:rPr>
          <w:rFonts w:eastAsia="Amiri" w:cs="Amiri" w:ascii="Amiri" w:hAnsi="Amiri"/>
          <w:color w:val="111111"/>
          <w:sz w:val="28"/>
          <w:szCs w:val="28"/>
          <w:rtl w:val="true"/>
          <w:lang w:bidi="ar-SA"/>
        </w:rPr>
        <w:t xml:space="preserve">. </w:t>
      </w:r>
      <w:bookmarkStart w:id="246" w:name="pg12132_127997"/>
    </w:p>
    <w:p>
      <w:pPr>
        <w:pStyle w:val="Heading2"/>
        <w:numPr>
          <w:ilvl w:val="1"/>
          <w:numId w:val="1"/>
        </w:numPr>
        <w:rPr/>
      </w:pPr>
      <w:bookmarkStart w:id="247" w:name="__RefHeading___Toc3352726_417432637"/>
      <w:bookmarkStart w:id="248" w:name="_Toc84"/>
      <w:bookmarkEnd w:id="246"/>
      <w:bookmarkEnd w:id="247"/>
      <w:r>
        <w:rPr>
          <w:rtl w:val="true"/>
        </w:rPr>
        <w:t xml:space="preserve">تذييل استطرادي </w:t>
      </w:r>
      <w:r>
        <w:rPr>
          <w:rtl w:val="true"/>
        </w:rPr>
        <w:t xml:space="preserve">: </w:t>
      </w:r>
      <w:r>
        <w:rPr>
          <w:rtl w:val="true"/>
        </w:rPr>
        <w:t>في بيع أحد طرفي المعلوم بالإجمال حرمته</w:t>
      </w:r>
      <w:bookmarkEnd w:id="248"/>
    </w:p>
    <w:p>
      <w:pPr>
        <w:pStyle w:val="BookText"/>
        <w:rPr/>
      </w:pPr>
      <w:r>
        <w:rPr>
          <w:rFonts w:ascii="IRNazanin" w:hAnsi="IRNazanin" w:eastAsia="IRNazanin"/>
          <w:color w:val="111111"/>
          <w:sz w:val="28"/>
          <w:sz w:val="28"/>
          <w:szCs w:val="28"/>
          <w:rtl w:val="true"/>
          <w:lang w:bidi="fa-IR"/>
        </w:rPr>
        <w:t xml:space="preserve">قد ذكر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على البحث عن الملاقي لبعض أطراف الشبهة ما لا يكون التعرّض له خالياً عن الفائدة ؛ قال 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وجوب ترتيب كلّ ما للمعلوم بالإجمال من الآثار الشرعية على كلّ واحد من الأطراف ؛ للقطع بالفراغ ، فكما لا يجوز شرب كلّ من الإناءين المعلوم خمرية أحدهما ، كذلك لا يصحّ بيع كلّ واحد منهما ؛ للعلم بعدم السلطنة على بيع أحدهما ، فأصالة الصحّة في كلّ معارضة لها في الآخر ، وبعد سقوطهما يحكم بفساد البيع ؛ لكفاية عدم ثبوت الصحّة للحكم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حقّ لو كان المعلوم بالإجمال تمام الموضوع للأثر ، وأمّا إذا كان جزءه فما لم يثبت الجزء الآخر لا يجب ترتيب الأثر ، ففي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تمام الموضوع لفساد البيع بل جزءه ، وجزؤه الآخر وقوع البيع ؛ إذ الصحّة والفساد من الأحكام اللاحقة للبيع بعد صدوره ، فلا وجه للحكم بفساد بيع أحد الإناءين ؛ للشكّ في وقوعه على الخمر ، فتجري فيه أصالة الصحّة ، ولا يعارضها أصالة الصحّة في بيع الآخر ؛ لأنّ المفروض عدم وقوعه عليه ، فلا موضوع لأصالة الصحّة فيه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وقع لهذا الإشكال ؛ فإنّ الخمر تمام الموضوع لعدم السلطنة على بيعه ، وعدم السلطنة عليه يلازم الفساد ، بل عينه ؛ لأ نّه ليس المجعول الشرعي </w:t>
      </w:r>
    </w:p>
    <w:p>
      <w:pPr>
        <w:pStyle w:val="BookText"/>
        <w:rPr/>
      </w:pPr>
      <w:r>
        <w:rPr>
          <w:rFonts w:ascii="Amiri" w:hAnsi="Amiri" w:eastAsia="Amiri" w:cs="Amiri"/>
          <w:color w:val="111111"/>
          <w:sz w:val="28"/>
          <w:sz w:val="28"/>
          <w:szCs w:val="28"/>
          <w:rtl w:val="true"/>
          <w:lang w:bidi="ar-SA"/>
        </w:rPr>
        <w:t xml:space="preserve">إلاّ حكماً واحداً ، غايته أ نّه قبل البيع يعبّر عنه بعدم السلطنة ، وبعده يعبّر عنه بالفساد ، فعدم السلطنة عليه عبارة اُخرى عن فساده ، والسلطنة عليه عبارة اُخرى عن صحّته ، فأصالة الصحّة في بيع كلّ منهما تجري قبل صدور البيع وتسقط بالمعارضة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عدم السلطنة على بيع الخمر وفساده من الآثار المترتّبة على نفس المعلوم بالإجمال ، وقد عرفت أنّ كلّ ما للمعلوم بالإجمال من الأحكام وضعاً أو تكليفاً يجب ترتّبه على كلّ من الأطراف</w:t>
      </w:r>
      <w:r>
        <w:rPr>
          <w:rStyle w:val="FootnoteAnchor"/>
          <w:rtl w:val="true"/>
        </w:rPr>
        <w:footnoteReference w:id="28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يتّضح مراده من أصالة الصحّة ، هل هي عبارة عن أصالة الصحّة المعروفة الجارية في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يدلّ على اعتبارها بناء العقلاء على الأقوى</w:t>
      </w:r>
      <w:r>
        <w:rPr>
          <w:rStyle w:val="FootnoteAnchor"/>
          <w:rtl w:val="true"/>
        </w:rPr>
        <w:footnoteReference w:id="283"/>
      </w:r>
      <w:r>
        <w:rPr>
          <w:rFonts w:ascii="Amiri" w:hAnsi="Amiri" w:eastAsia="Amiri" w:cs="Amiri"/>
          <w:color w:val="111111"/>
          <w:sz w:val="28"/>
          <w:sz w:val="28"/>
          <w:szCs w:val="28"/>
          <w:rtl w:val="true"/>
          <w:lang w:bidi="ar-SA"/>
        </w:rPr>
        <w:t>، أو الإجماع على ما قيل</w:t>
      </w:r>
      <w:r>
        <w:rPr>
          <w:rStyle w:val="FootnoteAnchor"/>
          <w:rtl w:val="true"/>
        </w:rPr>
        <w:footnoteReference w:id="284"/>
      </w:r>
      <w:r>
        <w:rPr>
          <w:rFonts w:ascii="Amiri" w:hAnsi="Amiri" w:eastAsia="Amiri" w:cs="Amiri"/>
          <w:color w:val="111111"/>
          <w:sz w:val="28"/>
          <w:sz w:val="28"/>
          <w:szCs w:val="28"/>
          <w:rtl w:val="true"/>
          <w:lang w:bidi="ar-SA"/>
        </w:rPr>
        <w:t xml:space="preserve">وقوّاه هذا المحقّق في مبحثها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منها قاعدة الفراغ أو التجاوز ، أو المراد منها عمومات حلّ البيع والوفاء بالعقود أو المراد منها قاعدة السلطنة على الأموال ؟</w:t>
      </w:r>
    </w:p>
    <w:p>
      <w:pPr>
        <w:pStyle w:val="BookText"/>
        <w:rPr/>
      </w:pPr>
      <w:r>
        <w:rPr>
          <w:rFonts w:ascii="Amiri" w:hAnsi="Amiri" w:eastAsia="Amiri" w:cs="Amiri"/>
          <w:color w:val="111111"/>
          <w:sz w:val="28"/>
          <w:sz w:val="28"/>
          <w:szCs w:val="28"/>
          <w:rtl w:val="true"/>
          <w:lang w:bidi="ar-SA"/>
        </w:rPr>
        <w:t xml:space="preserve">فعلى الأوّل لا معنى لجريانها في فعل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قاعدة التجاوز والفراغ فلا تجريان قبل العمل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العمومات فلا يجوز التمسّك بها ولو في الشبهة البدوية ؛ فإنّها مخصّصة بالنسبة إلى بيع الخمر وأشباهه ، فلا يجوز التمسّك بها في الشبهة المصداقية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يتّضح حال قاعدة السلطنة ، فإنّها أيضاً مخصّصة ، وتكون الشبهة 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جواز بيع أحد الإناءين المشتبهين ليس لأجل العلم الإجمالي ، بل لو كانت الشبهة بدوية أيضاً لما حكمنا بالصحّة ؛ لعدم الدليل عليها ، ويكفي في الحكم بالفساد عدم ثبوت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المجعول الشرعي ليس إلاّ حكماً واحداً ، غايته أ نّه قبل البيع يعبّر عنه بعدم السلطنة وبعده يعبّر عنه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محصّل له ؛ لأنّ قاعدة السلطنة قاعدة عقلائية أو شرعية موضوعها الناس ومحمولها كونهم مسلّطين ، ويكون اتّصاف الناس بالسلطنة في سلسلة علل المعاملات والمعاقدات ، والصحّة والفساد ممّا تتّصف بهما المعاملات ؛ لأجل حصول النقل والانتقال الواقعيين ، والتأثير والتأثّر النفس الأمريين ، فهما واقعان في سلسلة معاليلها ، فهما مختلفان موضوعاً ومحمولاً ومورداً ، فأين أحدهما من الآخر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 شيء واحد يختلف اسمه باختلاف الاعتبار ؟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المعلوم بالإجمال إذا كان تمام الموضوع لحكم يجب ترتّبه على كلّ واحد من الأطراف وضعاً كان أو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ينبغي أن يصغى إليه ، فإنّ وجوب الاجتناب عن الأطراف حكم عقلي من باب الاحتياط والمقدّمة العلمية ، ولا معنى لترتيب آثار الواقع على كلّ واحد من الأطراف مع أنّ الواحد منها ليس واقعاً ، ولازم ما ذكره أ نّه لو ارتكب كلا المشتبهين يكون معاقباً عليهما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التفصيلي مأخوذ في موضوع حسن العقوبة ويكون الواقع جزء الموضوع ، ولازمه أن لا يكون معاقباً أصلاً ، وكلا الالتزامين خلاف الضرورة </w:t>
      </w:r>
      <w:r>
        <w:rPr>
          <w:rFonts w:eastAsia="Amiri" w:cs="Amiri" w:ascii="Amiri" w:hAnsi="Amiri"/>
          <w:color w:val="111111"/>
          <w:sz w:val="28"/>
          <w:szCs w:val="28"/>
          <w:rtl w:val="true"/>
          <w:lang w:bidi="ar-SA"/>
        </w:rPr>
        <w:t xml:space="preserve">. </w:t>
      </w:r>
      <w:bookmarkStart w:id="249" w:name="pg12132_128000"/>
    </w:p>
    <w:p>
      <w:pPr>
        <w:pStyle w:val="BookText"/>
        <w:rPr/>
      </w:pPr>
      <w:bookmarkEnd w:id="249"/>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ترتّب آثار الواقع على الطرفين ، فما وجه الحكم بفساد البيع الواقع على كلّ واحد من الأطراف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بالصحّة لعدم الدليل عليها ، ويكفي عدم الدليل للحكم بالفساد ، هذا إذا اُوقع البيع على واحد منها ، ولو اُوقع على كليهما لم يمكن الحكم بالصحّة لو لم يكن الواقع متميّزاً عند البائع والمشتري ؛ لعدم جواز الانتفاع بواحد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 للمشتري تميّز الواقع ولو في المستقبل يجوز بيع ما هو الواقع بينهما مع ارتفاع الغرر بالتوصيف مثلاً </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3352728_417432637"/>
      <w:bookmarkStart w:id="251" w:name="_Toc85"/>
      <w:bookmarkEnd w:id="250"/>
      <w:r>
        <w:rPr>
          <w:rtl w:val="true"/>
        </w:rPr>
        <w:t>حكم التوابع لأطراف المعلوم بالإجمال حرمته</w:t>
      </w:r>
      <w:bookmarkEnd w:id="251"/>
    </w:p>
    <w:p>
      <w:pPr>
        <w:pStyle w:val="BookText"/>
        <w:rPr/>
      </w:pPr>
      <w:r>
        <w:rPr>
          <w:rFonts w:ascii="IRNazanin" w:hAnsi="IRNazanin" w:eastAsia="IRNazanin"/>
          <w:color w:val="111111"/>
          <w:sz w:val="28"/>
          <w:sz w:val="28"/>
          <w:szCs w:val="28"/>
          <w:rtl w:val="true"/>
          <w:lang w:bidi="fa-IR"/>
        </w:rPr>
        <w:t xml:space="preserve">ثمّ قال رحمه الله علیه في تعقيب ما أفاده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عرفت أنّ كلّ ما للمعلوم من الأحكام يجب ترتّبه على كلّ واحد من الأطراف ، سواء كان من مقولة الوضع أو التكليف ، وسواء قارن زمان الابتلاء بالتصرّف في أحد الأطراف لزمان العلم أو تأخّر عنه ؛ إذ المدار في ترتّب الأحكام عليها على فعليتها وتنجّزها ، لا زمان الابتلاء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يتفرّع وجوب الاجتناب عمّا للأطراف من المنافع والتوابع المتّصلة والمنفصلة ، كما لو علم بمغصوبية إحدى الشجرتين ، فإنّه كما يجب الاجتناب عن نفسهما يجب الاجتناب عن ثمرتهما ، من غير فرق بين أن يكون كلّ منهما من ذوات الأثمار أو أحدهما كذلك ، وبين وجود الثمرة حال العلم وعدمه ، وبين ثمرة هذا السنة والسنين الآتية ، وبين بقاء الطرف الآخر أو الأصل حال وجود الثمرة وعدمهما ، ففي جميع التقادير يجب الاجتناب عن الثمرة </w:t>
      </w:r>
    </w:p>
    <w:p>
      <w:pPr>
        <w:pStyle w:val="BookText"/>
        <w:rPr/>
      </w:pPr>
      <w:r>
        <w:rPr>
          <w:rFonts w:ascii="Amiri" w:hAnsi="Amiri" w:eastAsia="Amiri" w:cs="Amiri"/>
          <w:color w:val="111111"/>
          <w:sz w:val="28"/>
          <w:sz w:val="28"/>
          <w:szCs w:val="28"/>
          <w:rtl w:val="true"/>
          <w:lang w:bidi="ar-SA"/>
        </w:rPr>
        <w:t xml:space="preserve">كالاجتناب عن أصلها والطرف ؛ لأنّ وجوب الاجتناب عن منافع المغصوب ممّا يقتضيه وجوب الاجتناب عن نفسه ؛ فإنّ النهي عن التصرّف فيه نهي عنه وعن توابعه ومنافعه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أنّ الشجرة المثمرة مغصوبة ، فوجوب الاجتناب عن ثمرها المتجدّد وإن لم يكن فعلياً لعدم وجود موضوعه ، إلاّ أ نّه يكفي في وجوب الاجتناب عنه فعلية وجوب الاجتناب عن نفس الشجرة بما لها من المنافع والتوابع ، وحينئذٍ تسقط أصالة الحلّ عن الثمرة بنفس سقوطها عن ذي الثمرة بالمعارضة لأصالة الحلّ في الطرف الآخر ، فلا تجري أصالة الحلّ في الثمرة بعد وجودها وفقدان طرف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ذلك الدار ومنافعها ، والحمل وذا الحمل ، وسائر ما كان لأحد الأطراف منافع متجدّدة دون الآخر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المقصود من تبعية حكم الثمرة للشجرة والحمل لذي الحمل هو فعلية وجوب الاجتناب عنهما قبل وجودهما ؛ فإنّه معلوم البطلان ، بل المقصود منها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التصرّف في الشجرة يقتضي النهي عن التصرّف في الثمرة عند وجودها ، وكذا الدابّة ، فلا يحتاج حرمة التصرّف فيهما في ظرف وجودهما إلى تعبّد وتشريع آخر غير تشريع حرمة الأصل بمنافعه ، فحرمة التصرّف في المنافع من شؤون حرمة التصرّف في ذي المنفعة ؛ فإنّ تمام الموضوع لوجوب الاجتناب عن الثمرة والحمل ومنافع الدار إنّما هو نفس المعلوم بالإجمال ، وقد عرفت أ نّه مهما كان المعلوم بالإجمال تمام الموضوع لحكم فلا بدّ من ترتّبه على الأطراف ، بخلاف ما إذا كان جزء الموضوع له ، وعلى ذلك يتفرّع عدم جواز إقامة الحدّ على من شرب أحد طرفي المعلوم بالإجمال ؛ فإنّ الخمر </w:t>
      </w:r>
    </w:p>
    <w:p>
      <w:pPr>
        <w:pStyle w:val="BookText"/>
        <w:rPr/>
      </w:pPr>
      <w:r>
        <w:rPr>
          <w:rFonts w:ascii="Amiri" w:hAnsi="Amiri" w:eastAsia="Amiri" w:cs="Amiri"/>
          <w:color w:val="111111"/>
          <w:sz w:val="28"/>
          <w:sz w:val="28"/>
          <w:szCs w:val="28"/>
          <w:rtl w:val="true"/>
          <w:lang w:bidi="ar-SA"/>
        </w:rPr>
        <w:t xml:space="preserve">المعلوم في البين إنّما يكون تمام الموضوع بالنسبة إلى شربه وفساد بيعه ، وأمّا بالنسبة إلى إقامة الحدّ فيتوقّف على أن يكون شربه عن عمد واختيار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الحاكم بشرب الخمر اُخذ جزء الموضوع لوجوب إقامة الحدّ ، ولا علم مع شرب أحد الطرفين</w:t>
      </w:r>
      <w:r>
        <w:rPr>
          <w:rStyle w:val="FootnoteAnchor"/>
          <w:rtl w:val="true"/>
        </w:rPr>
        <w:footnoteReference w:id="28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فرّع على ما ذكر حكم الملاقي وبنى وجوب الاجتناب عنه على كونه بالنسبة إلى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كثمرة الشجرة بالنسبة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دعوى كونِ وجوب الاجتناب عن التوابع والمنافع بعين وجوبه عن المتبوع وذي المنفعة؛ بحيث يكون أحدهما من شؤون الآخر من غير تعلّق جعل وتعبّد به ، وكونِ أدلّة الغصب دالّة على حرمة العين المغصوبة بمنافعها وتوابعها من غير تعلّق حكم بهما ، خالية عن البيّنة والبرهان ، وإنّما هي مجرّد الدعوى ؛ فإنّه لم يرد في باب الغصب دليل لفظي معتدّ به يكون دالاًّ على مدّعاه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الغصب كلّه مردود</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لا يدلّ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نسب إلى صاحب الزمان روحي له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لا يدلّ على ذلك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عدم ملازمة التصرّف للغصب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w:t>
      </w:r>
    </w:p>
    <w:p>
      <w:pPr>
        <w:pStyle w:val="BookText"/>
        <w:rPr/>
      </w:pPr>
      <w:r>
        <w:rPr>
          <w:rFonts w:ascii="Amiri" w:hAnsi="Amiri" w:eastAsia="Amiri" w:cs="Amiri"/>
          <w:color w:val="111111"/>
          <w:sz w:val="28"/>
          <w:sz w:val="28"/>
          <w:szCs w:val="28"/>
          <w:rtl w:val="true"/>
          <w:lang w:bidi="ar-SA"/>
        </w:rPr>
        <w:t xml:space="preserve">تعلّق الحرمة بكلّ ما يكون مالاً بالاستقلال ، فهو على خلاف المطلوب أدلّ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مدّعاه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ينتج في باب المنافع والتوابع والملاقي هو أن يكون وجوب الاجتناب عنها من شؤون وجوب الاجتناب عن المتبوعات ؛ بحيث يعاقب المكلّف في التصرّف في التوابع على المتبوعات ، فيقال لمن تصرّف في الثمرة والحمل والملاقي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تصرّفت في الشجرة وذي الحمل وارتكبت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أنّ الضرورة في الشجرة وذي الحمل قاضية على خلافه ؛ لأنّ الغصب مفهومه مبيّن ، فإنّه استيلاء اليد واستقلالها على مال الغير بغير إذنه ، فلو استقلّت</w:t>
      </w:r>
    </w:p>
    <w:p>
      <w:pPr>
        <w:pStyle w:val="BookText"/>
        <w:rPr/>
      </w:pPr>
      <w:r>
        <w:rPr>
          <w:rFonts w:ascii="Amiri" w:hAnsi="Amiri" w:eastAsia="Amiri" w:cs="Amiri"/>
          <w:color w:val="111111"/>
          <w:sz w:val="28"/>
          <w:sz w:val="28"/>
          <w:szCs w:val="28"/>
          <w:rtl w:val="true"/>
          <w:lang w:bidi="ar-SA"/>
        </w:rPr>
        <w:t xml:space="preserve">اليد على ثمرة الشجرة وحمل الدابّة دون الشجرة وذي الحمل ، لا يمكن أن يؤاخذ على غصب الشجرة وذي الحمل ؛ لأ نّه لم يغصبهما وإنّما غصب منافعهما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استيلاء اليد على الشجرة وذي الحمل دون منافعهما ، وعلى المنافع دون الاُصول ، بل على الدار دون المنفعة ، وعليها دون الدار ، ممكن ، ويكون الاستيلاء على كلٍّ غير الآخر ، ولا يمكن أن يعاقب على ما ليس بمغصوب لأجل غصب آخر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النهي عن ارتكاب الملاقى يمكن أن يكون بوجه يكون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شؤونه ، ويكون العقاب في ارتكابه لأجل عدم هجر الرجس ، فقياس باب الشجرة والحمل بباب الملاقي مع الفارق ؛ لأنّ الحرمة بملاك الغصب لا يمكن أن تتعلّق بما ليس بمغصوب ، ولا يمكن أن تكون الحرمة من شؤون أمر غير محرّم كما في غصب الثمرة دون الشجرة ، فغصب الشجرة </w:t>
      </w:r>
    </w:p>
    <w:p>
      <w:pPr>
        <w:pStyle w:val="BookText"/>
        <w:rPr/>
      </w:pPr>
      <w:r>
        <w:rPr>
          <w:rFonts w:ascii="Amiri" w:hAnsi="Amiri" w:eastAsia="Amiri" w:cs="Amiri"/>
          <w:color w:val="111111"/>
          <w:sz w:val="28"/>
          <w:sz w:val="28"/>
          <w:szCs w:val="28"/>
          <w:rtl w:val="true"/>
          <w:lang w:bidi="ar-SA"/>
        </w:rPr>
        <w:t xml:space="preserve">قد يكون منفكّاً عن غصب ثمرتها ، وقد يكون توأماً معه ، فيكون غصب الثمرة غصباً مستقلاًّ وله حرمة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كانا توأمين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حرمة واحدة متعلّقة بغصب الشجرة دون الثمرة ، كما ترى ، ولو سلّم إمكانه ثبوتاً لا دليل عليه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المنافع المنفصلة لا يمكن الالتزام به قطعاً ؛ لكونه خلاف الضرورة والبداهة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الخمر بالنسبة إلى حرمة شربه وفساد بيعه تمام الموضوع ، وبالنسبة إلى إقامة الحدّ جزؤه ، وجزؤه الآخر أن يكون الشرب عن عمد واختيار ، أو أنّ علم الحاكم جزؤه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فمنظور فيه ؛ لأنّ شرب أحد الأطراف شرب اختياري ، فلو صادف الواقع يكون شرب الخمر اختيارياً ، فلهذا لو ارتكب أحد الأطراف وصادف الواقع يستحقّ العقوبة عليه ، مع أنّ صحّة العقوبة تكون في مخالفة الواقع عن عمد واختيار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أخذ علم الحاكم جزء الموضوع أيضاً واضح البطلان ؛ ضرورة أنّ موضوع الحدّ بحسب الأدلّة هو شرب الخمر عصياناً ، وفي صورة ارتكاب بعض الأطراف لا يثبت الحدّ ؛ للشكّ في حصول شرب الخمر ، ولو كان الخمر تمام الموضوع لحكم الحدّ لا يجوز إجراء الحدّ أيضاً على من شرب بعض الأطراف ؛ لعدم العلم بتحقّق الموضوع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مهما كان المعلوم بالإجمال تمام الموضوع لحكم تكليفي أو وضعي ، فلا بدّ من ترتيب آثار ذلك الحكم على كلّ واحد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فيها ، وأ نّه ممّا لا يمكن الالتزام بها </w:t>
      </w:r>
      <w:r>
        <w:rPr>
          <w:rFonts w:eastAsia="Amiri" w:cs="Amiri" w:ascii="Amiri" w:hAnsi="Amiri"/>
          <w:color w:val="111111"/>
          <w:sz w:val="28"/>
          <w:szCs w:val="28"/>
          <w:rtl w:val="true"/>
          <w:lang w:bidi="ar-SA"/>
        </w:rPr>
        <w:t xml:space="preserve">. </w:t>
      </w:r>
      <w:bookmarkStart w:id="252" w:name="pg12132_128005"/>
    </w:p>
    <w:p>
      <w:pPr>
        <w:pStyle w:val="Heading2"/>
        <w:numPr>
          <w:ilvl w:val="1"/>
          <w:numId w:val="1"/>
        </w:numPr>
        <w:rPr/>
      </w:pPr>
      <w:bookmarkStart w:id="253" w:name="__RefHeading___Toc3352730_417432637"/>
      <w:bookmarkStart w:id="254" w:name="_Toc86"/>
      <w:bookmarkEnd w:id="252"/>
      <w:bookmarkEnd w:id="253"/>
      <w:r>
        <w:rPr>
          <w:rtl w:val="true"/>
        </w:rPr>
        <w:t>تنبيهات</w:t>
      </w:r>
      <w:bookmarkEnd w:id="254"/>
    </w:p>
    <w:p>
      <w:pPr>
        <w:pStyle w:val="BookText"/>
        <w:rPr/>
      </w:pPr>
      <w:r>
        <w:rPr>
          <w:rFonts w:ascii="Amiri" w:hAnsi="Amiri" w:eastAsia="Amiri" w:cs="Amiri"/>
          <w:color w:val="111111"/>
          <w:sz w:val="28"/>
          <w:sz w:val="28"/>
          <w:szCs w:val="28"/>
          <w:rtl w:val="true"/>
          <w:lang w:bidi="ar-SA"/>
        </w:rPr>
        <w:t>ثمّ ينبغي التعرّض لتنبيهات ذكرها الشيخ العلاّمة الأنصاري</w:t>
      </w:r>
      <w:r>
        <w:rPr>
          <w:rStyle w:val="FootnoteAnchor"/>
          <w:rtl w:val="true"/>
        </w:rPr>
        <w:footnoteReference w:id="289"/>
      </w:r>
      <w:r>
        <w:rPr>
          <w:rFonts w:ascii="Amiri" w:hAnsi="Amiri" w:eastAsia="Amiri" w:cs="Amiri"/>
          <w:color w:val="111111"/>
          <w:sz w:val="28"/>
          <w:sz w:val="28"/>
          <w:szCs w:val="28"/>
          <w:rtl w:val="true"/>
          <w:lang w:bidi="ar-SA"/>
        </w:rPr>
        <w:t>وتعرّض لها المحقّق المتقدّم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3352732_417432637"/>
      <w:bookmarkStart w:id="256" w:name="_Toc87"/>
      <w:bookmarkEnd w:id="255"/>
      <w:r>
        <w:rPr>
          <w:rtl w:val="true"/>
        </w:rPr>
        <w:t xml:space="preserve">التنبيه الأوّل </w:t>
      </w:r>
      <w:r>
        <w:rPr>
          <w:rtl w:val="true"/>
        </w:rPr>
        <w:t xml:space="preserve">: </w:t>
      </w:r>
      <w:r>
        <w:rPr>
          <w:rtl w:val="true"/>
        </w:rPr>
        <w:t>في التفصيل بين الشرائط والموانع في وجوب الاحتياط</w:t>
      </w:r>
      <w:bookmarkEnd w:id="256"/>
    </w:p>
    <w:p>
      <w:pPr>
        <w:pStyle w:val="BookText"/>
        <w:rPr/>
      </w:pPr>
      <w:r>
        <w:rPr>
          <w:rFonts w:ascii="Amiri" w:hAnsi="Amiri" w:eastAsia="Amiri" w:cs="Amiri"/>
          <w:color w:val="111111"/>
          <w:sz w:val="28"/>
          <w:sz w:val="28"/>
          <w:szCs w:val="28"/>
          <w:rtl w:val="true"/>
          <w:lang w:bidi="ar-SA"/>
        </w:rPr>
        <w:t xml:space="preserve">لا ينبغي الإشكال في عدم الفرق في وجوب الاحتياط عند الجهل بالموضوع بين الشرائط والموانع وغيرها ، فيجب تكرار الصلاة إلى أربع جهات عند اشتباه القبلة ، أو في الثوبين المشتبهين عند اشتباه الطاهر بالنجس ، ولا وجه لسقوط الشرط والمانع بمجرّد الإجمال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حكي عن المحقّق القمّي رحمه الله علیه من التفصيل بين ما يستفاد من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فيما لا يؤكل</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 xml:space="preserve">فذهب إلى السقوط ، وبين ما يستفاد من مثل قوله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فذهب إلى عدم السقوط</w:t>
      </w:r>
      <w:r>
        <w:rPr>
          <w:rStyle w:val="FootnoteAnchor"/>
          <w:rtl w:val="true"/>
        </w:rPr>
        <w:footnoteReference w:id="293"/>
      </w:r>
      <w:r>
        <w:rPr>
          <w:rFonts w:ascii="Amiri" w:hAnsi="Amiri" w:eastAsia="Amiri" w:cs="Amiri"/>
          <w:color w:val="111111"/>
          <w:sz w:val="28"/>
          <w:sz w:val="28"/>
          <w:szCs w:val="28"/>
          <w:rtl w:val="true"/>
          <w:lang w:bidi="ar-SA"/>
        </w:rPr>
        <w:t xml:space="preserve">؛ لعلّه مبنيّ على ما ذهب إليه </w:t>
      </w:r>
    </w:p>
    <w:p>
      <w:pPr>
        <w:pStyle w:val="BookText"/>
        <w:rPr/>
      </w:pPr>
      <w:r>
        <w:rPr>
          <w:rFonts w:ascii="Amiri" w:hAnsi="Amiri" w:eastAsia="Amiri" w:cs="Amiri"/>
          <w:color w:val="111111"/>
          <w:sz w:val="28"/>
          <w:sz w:val="28"/>
          <w:szCs w:val="28"/>
          <w:rtl w:val="true"/>
          <w:lang w:bidi="ar-SA"/>
        </w:rPr>
        <w:t>من عدم منجّزية العلم الإجمالي وأ نّه كالشكّ البدوي، على ما هو المعروف منه</w:t>
      </w:r>
      <w:r>
        <w:rPr>
          <w:rStyle w:val="FootnoteAnchor"/>
          <w:rtl w:val="true"/>
        </w:rPr>
        <w:footnoteReference w:id="294"/>
      </w:r>
      <w:r>
        <w:rPr>
          <w:rFonts w:ascii="Amiri" w:hAnsi="Amiri" w:eastAsia="Amiri" w:cs="Amiri"/>
          <w:color w:val="111111"/>
          <w:sz w:val="28"/>
          <w:sz w:val="28"/>
          <w:szCs w:val="28"/>
          <w:rtl w:val="true"/>
          <w:lang w:bidi="ar-SA"/>
        </w:rPr>
        <w:t xml:space="preserve">، ففصّل بين الشرائط والموانع ، فيكون حالهما بعد سقوط العلم الإجمالي عن الأثر كالشكّ البدوي ، فيجب إحراز الشرط دون عدم المانع ، فما هو المستفاد من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إحرازه ، فيجوز أن يصلّي المصلّي في الثوبين المعلوم كون أحدهما ممّا لا يؤكل ، وما هو المستفاد من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يستفاد منه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إحرازه ، فيجب أن يكرّر الوضوء بالماء المشتبه بالمضاف ، وأن يكرّر الصلاة إلى أربع جهات عند اشتباه القبلة لتحصيل الشرط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احتمل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المحقّق قاس باب العلم والجهل بالموضوع بباب القدرة وبالعجز ، ثمّ استشكل عليه</w:t>
      </w:r>
      <w:r>
        <w:rPr>
          <w:rStyle w:val="FootnoteAnchor"/>
          <w:rtl w:val="true"/>
        </w:rPr>
        <w:footnoteReference w:id="295"/>
      </w:r>
      <w:r>
        <w:rPr>
          <w:rFonts w:ascii="Amiri" w:hAnsi="Amiri" w:eastAsia="Amiri" w:cs="Amiri"/>
          <w:color w:val="111111"/>
          <w:sz w:val="28"/>
          <w:sz w:val="28"/>
          <w:szCs w:val="28"/>
          <w:rtl w:val="true"/>
          <w:lang w:bidi="ar-SA"/>
        </w:rPr>
        <w:t xml:space="preserve">فهو ساقط احتمالاً وإشكالاً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القياس المذكور لا يقتضي التفصيل الذي ذهب إليه المحقّق ؛ ضرورة أنّ العجز عن الشرط والمانع على حدّ سواء ، فإن كان الشرط والمانع على نحو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حال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سقوط التكليف عن المشروط والممنوع ، وإلاّ فلازمه سقوط الشرطية والمانعية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إشكالاً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محصّل إشكاله أنّ القدرة من شرائط ثبوت التكليف ، </w:t>
      </w:r>
      <w:bookmarkStart w:id="257" w:name="pg12132_128007"/>
    </w:p>
    <w:p>
      <w:pPr>
        <w:pStyle w:val="BookText"/>
        <w:rPr/>
      </w:pPr>
      <w:bookmarkEnd w:id="257"/>
      <w:r>
        <w:rPr>
          <w:rFonts w:ascii="Amiri" w:hAnsi="Amiri" w:eastAsia="Amiri" w:cs="Amiri"/>
          <w:color w:val="111111"/>
          <w:sz w:val="28"/>
          <w:sz w:val="28"/>
          <w:szCs w:val="28"/>
          <w:rtl w:val="true"/>
          <w:lang w:bidi="ar-SA"/>
        </w:rPr>
        <w:t xml:space="preserve">والعلم من شرائط التنجيز ، وفيه ما مرّ سابقاً </w:t>
      </w:r>
      <w:r>
        <w:rPr>
          <w:rStyle w:val="FootnoteAnchor"/>
          <w:rtl w:val="true"/>
        </w:rPr>
        <w:footnoteReference w:id="296"/>
      </w:r>
      <w:r>
        <w:rPr>
          <w:rFonts w:ascii="Amiri" w:hAnsi="Amiri" w:eastAsia="Amiri" w:cs="Amiri"/>
          <w:color w:val="111111"/>
          <w:sz w:val="28"/>
          <w:sz w:val="28"/>
          <w:szCs w:val="28"/>
          <w:rtl w:val="true"/>
          <w:lang w:bidi="ar-SA"/>
        </w:rPr>
        <w:t xml:space="preserve">من منع كون القدرة من شرائط التكليف ، بل حالها حال العلم ، ولهذا يجب الاحتياط عند الشكّ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نسب المحقّق المعاصر رحمه الله علیه إلى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ذهابه إلى عدم وجوب الستر عند اشتباه اللباس ، لعلّه بدعوى سقوط الشرط عند عدم العلم به تفصيلاً ، فيأتي بالمشروط فاقداً للشرط</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غرائب الكلام ؛ فإنّ الحلّي رحمه الله علیه قد صرّح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ذلك ، وجعل وجه ما ذهب إليه هو لزوم كون المكلّف عالماً بتحقّق الشرط عند إتيانه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3352734_417432637"/>
      <w:bookmarkStart w:id="259" w:name="_Toc88"/>
      <w:bookmarkEnd w:id="258"/>
      <w:r>
        <w:rPr>
          <w:rtl w:val="true"/>
        </w:rPr>
        <w:t xml:space="preserve">التنبيه الثاني </w:t>
      </w:r>
      <w:r>
        <w:rPr>
          <w:rtl w:val="true"/>
        </w:rPr>
        <w:t xml:space="preserve">: </w:t>
      </w:r>
      <w:r>
        <w:rPr>
          <w:rtl w:val="true"/>
        </w:rPr>
        <w:t>في كيفية النيّة لو كان المعلوم بالإجمال أو المحتمل من العبادات</w:t>
      </w:r>
      <w:bookmarkEnd w:id="259"/>
    </w:p>
    <w:p>
      <w:pPr>
        <w:pStyle w:val="BookText"/>
        <w:rPr/>
      </w:pPr>
      <w:r>
        <w:rPr>
          <w:rFonts w:ascii="IRNazanin" w:hAnsi="IRNazanin" w:eastAsia="IRNazanin"/>
          <w:color w:val="111111"/>
          <w:sz w:val="28"/>
          <w:sz w:val="28"/>
          <w:szCs w:val="28"/>
          <w:rtl w:val="true"/>
          <w:lang w:bidi="fa-IR"/>
        </w:rPr>
        <w:t xml:space="preserve">إذا كان المعلوم بالإجمال أو المحتمل من العبادات ، وقع النزاع في كيفية النيّة ، ففصّل الشيخ رحمه الله علیه بين الشبهات البدوية والمقرونة بالعلم ، بكفاية مجرّد قصد احتمال المحبوبية والأمر في الشبهات البدوية ، فإنّه هو الذي يمكن في حقّه ، وعدم كفايته في المقرونة بالعلم ، بل لا بدّ من قصد امتثال الأمر المعلوم بالإجمال على كلّ تقدير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أن يكون المكلّف حال الإتيان بأحد المحتملين قاصداً للإتيان </w:t>
      </w:r>
    </w:p>
    <w:p>
      <w:pPr>
        <w:pStyle w:val="BookText"/>
        <w:rPr/>
      </w:pPr>
      <w:r>
        <w:rPr>
          <w:rFonts w:ascii="Amiri" w:hAnsi="Amiri" w:eastAsia="Amiri" w:cs="Amiri"/>
          <w:color w:val="111111"/>
          <w:sz w:val="28"/>
          <w:sz w:val="28"/>
          <w:szCs w:val="28"/>
          <w:rtl w:val="true"/>
          <w:lang w:bidi="ar-SA"/>
        </w:rPr>
        <w:t>بالمحتمل الآخر ؛ إذ مع عدم قصد ذلك لا يتحقّق قصد امتثال الأمر المعلوم بالإجمال على كلّ تقدير ، بل يكون قاصداً لامتثال الأمر على تقدير تعلّقه بالمأتيّ به ، وهذا لا يكفي في تحقّق الامتثال مع العلم بالأمر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وتنظّر فيه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بتعلّق الأمر بأحد المحتملين لا يوجب فرقاً في كيفية النية في الشبهات ؛ فإنّ الطاعة في كلّ من المحتملين ليست إلاّ احتمالية كالشبهة البدوية ؛ إذ المكلّف لا يمكنه أزيد من قصد امتثال الأمر الاحتمالي عند الإتيان بكلّ من المحتملين ، وليس المحتملان بمنزلة فعل واحد مرتبط الأجزاء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بتعلّق التكليف بعمل واحد يقتضي قصد امتثال الأمر المعلوم ، فلو أتى المكلّف بأحد المحتملين من دون قصد الإتيان بالآخر يحصل الامتثال على تقدير تعلّق الأمر بالمأتيّ به ، وإن كان متجرّياً في قصده عدم الامتثال على كلّ تقدير</w:t>
      </w:r>
      <w:r>
        <w:rPr>
          <w:rStyle w:val="FootnoteAnchor"/>
          <w:rtl w:val="true"/>
        </w:rPr>
        <w:footnoteReference w:id="30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قضيّة كيفية قصد الامتثال فلا ينبغي أن يستشكل في أنّ الداعي للإتيان بالمحتمل في الشبهة البدوية ليس إلاّ احتمال الأمر أو الأمر المحتمل ، وأمّا في الشبهة المقرونة بالعلم فالداعي ليس احتمال الأمر فقط ، بل الداعي بالنسبة إلى أصل الإتيان هو الأمر المعلوم ، لكن ينشأ من هذا الداعي داعٍ آخر لإتيان المحتمل لأجل احتمال انطباق المعلوم عليه ، فالداعي الأوّل لإتيان المحتمل هو الأمر المعلوم ، والداعي الآخر المنشأ منه هو احتمال الانطباق ، فما أفاد الشيخ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لا بدّ من قصد امتثال الأمر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لو كان </w:t>
      </w:r>
      <w:bookmarkStart w:id="260" w:name="pg12132_128009"/>
    </w:p>
    <w:p>
      <w:pPr>
        <w:pStyle w:val="BookText"/>
        <w:rPr/>
      </w:pPr>
      <w:bookmarkEnd w:id="260"/>
      <w:r>
        <w:rPr>
          <w:rFonts w:ascii="Amiri" w:hAnsi="Amiri" w:eastAsia="Amiri" w:cs="Amiri"/>
          <w:color w:val="111111"/>
          <w:sz w:val="28"/>
          <w:sz w:val="28"/>
          <w:szCs w:val="28"/>
          <w:rtl w:val="true"/>
          <w:lang w:bidi="ar-SA"/>
        </w:rPr>
        <w:t xml:space="preserve">مراده ذلك ، لكن مع توسّط قصد متعلّق بالطرف ؛ لاحتمال انطباق المعلوم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 المحقّق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لا يمكن للمكلّف أزيد من قصد امتثال الأمر الاحتمالي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ضرورة أنّ الداعي للإتيان ليس إلاّ امتثال الأمر المعلوم في البين ، لكن لا يكفي هذا الداعي للتحريك نحو المحتمل ، بل لا بدّ من إرادة اُخرى منشأة منه ، وهذا بوجه نظير إرادة ذي المقدّمة التي يتولّد منها إرادة المقدّمات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أفاد الشيخ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إطاعة الأمر المعلوم تتوقّف على أن يكون المكلّف حال الإتيان بأحد المحتملين قاصداً للإتيان بالمحتمل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ممنوع ؛ لأنّ الداعي إلى إتيان أحد المحتملين ليس إلاّ إطاعة المولى ، فهو على فرض الانطباق مطيع لأمره ، وكونه قاصداً لترك الإتيان بالمحتمل الآخر ومتجرّئاً بالنسبة إليه لا يضرّ بذلك ، فلا يتوقّف امتثال الأمر المعلوم على قصد امتثال كلا المشتبهين ، وهذا أيضاً واضح </w:t>
      </w:r>
      <w:r>
        <w:rPr>
          <w:rFonts w:eastAsia="IRNazanin" w:cs="IRNazanin"/>
          <w:color w:val="111111"/>
          <w:sz w:val="28"/>
          <w:szCs w:val="28"/>
          <w:rtl w:val="true"/>
          <w:lang w:bidi="fa-IR"/>
        </w:rPr>
        <w:t>.</w:t>
      </w:r>
    </w:p>
    <w:p>
      <w:pPr>
        <w:pStyle w:val="Heading2"/>
        <w:numPr>
          <w:ilvl w:val="1"/>
          <w:numId w:val="1"/>
        </w:numPr>
        <w:rPr/>
      </w:pPr>
      <w:bookmarkStart w:id="261" w:name="__RefHeading___Toc3352736_417432637"/>
      <w:bookmarkStart w:id="262" w:name="_Toc89"/>
      <w:bookmarkEnd w:id="261"/>
      <w:r>
        <w:rPr>
          <w:rtl w:val="true"/>
        </w:rPr>
        <w:t xml:space="preserve">التنبيه الثالث </w:t>
      </w:r>
      <w:r>
        <w:rPr>
          <w:rtl w:val="true"/>
        </w:rPr>
        <w:t xml:space="preserve">: </w:t>
      </w:r>
      <w:r>
        <w:rPr>
          <w:rtl w:val="true"/>
        </w:rPr>
        <w:t>حكم ما لو كان المعلوم بالإجمال أمرين مترتّبين شرعاً</w:t>
      </w:r>
      <w:bookmarkEnd w:id="26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المعلوم بالإجمال أمرين مترتّبين شرعاً كالظهر والعصر المردّدين بين الجهات عند اشتباه القبلة ، هل يجب استيفاء جميع محتملات المترتّب عليه قبل الشروع في الآخر</w:t>
      </w:r>
      <w:r>
        <w:rPr>
          <w:rStyle w:val="FootnoteAnchor"/>
          <w:rtl w:val="true"/>
        </w:rPr>
        <w:footnoteReference w:id="301"/>
      </w:r>
      <w:r>
        <w:rPr>
          <w:rFonts w:ascii="Amiri" w:hAnsi="Amiri" w:eastAsia="Amiri" w:cs="Amiri"/>
          <w:color w:val="111111"/>
          <w:sz w:val="28"/>
          <w:sz w:val="28"/>
          <w:szCs w:val="28"/>
          <w:rtl w:val="true"/>
          <w:lang w:bidi="ar-SA"/>
        </w:rPr>
        <w:t xml:space="preserve">، أو يجوز الإتيان بهما مترتّبين إلى كلّ جهة ، فيجوز الإتيان </w:t>
      </w:r>
    </w:p>
    <w:p>
      <w:pPr>
        <w:pStyle w:val="BookText"/>
        <w:rPr/>
      </w:pPr>
      <w:r>
        <w:rPr>
          <w:rFonts w:ascii="Amiri" w:hAnsi="Amiri" w:eastAsia="Amiri" w:cs="Amiri"/>
          <w:color w:val="111111"/>
          <w:sz w:val="28"/>
          <w:sz w:val="28"/>
          <w:szCs w:val="28"/>
          <w:rtl w:val="true"/>
          <w:lang w:bidi="ar-SA"/>
        </w:rPr>
        <w:t>بظهر وعصر إلى جهة وظهر وعصر إلى الاُخرى وهكذا حتّى يستوفي جميع الجهات</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اختار بعض أعاظم العصر رحمه الله علیه 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ما قوّاه سابقاً من ترتّب الامتثال الإجمالي على الامتثال التفصيلي</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فيما نحن فيه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القبلة ، فهو ممّا لا يمكن على الفرض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الترتيب بين الظهر والعصر ، وهو بمكان من الإمكان ، وذلك بإتيان جميع محتملات الظهر ، ثمّ الاشتغال بالعصر ، وعدم العلم حين إتيان كلّ عصر بأ نّه صلاة صحيحة واقعة عقيب الظهر إنّما هو للجهل بالقبلة ، لا الجهل بالترتيب ، وسقوط اعتبار الامتثال التفصيلي في شرط لعدم إمكانه لا يوجب سقوطه في سائر الشروط مع الإمكان</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كبرى وصغرى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ممنوعية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ذكره</w:t>
      </w:r>
      <w:r>
        <w:rPr>
          <w:rStyle w:val="FootnoteAnchor"/>
          <w:rtl w:val="true"/>
        </w:rPr>
        <w:footnoteReference w:id="305"/>
      </w:r>
      <w:r>
        <w:rPr>
          <w:rFonts w:ascii="Amiri" w:hAnsi="Amiri" w:eastAsia="Amiri" w:cs="Amiri"/>
          <w:color w:val="111111"/>
          <w:sz w:val="28"/>
          <w:sz w:val="28"/>
          <w:szCs w:val="28"/>
          <w:rtl w:val="true"/>
          <w:lang w:bidi="ar-SA"/>
        </w:rPr>
        <w:t xml:space="preserve">من عدم طولية الامتثال الإجمالي بالنسبة إلى الامتثال التفصيلي ، فيجوز الاحتياط مع التمكّن من الاجتهاد والتقليد ، ويجوز الجمع بين المحتملات مع التمكّن من العلم ، ما لم ينجرّ إلى اللعب بأمر المولى ، ويكون فيه غرض عقلائي ، والشاهد عليه حكم العقل والعقلاء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ممنوعية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الإتيان بكلّ ظهر وعصر مترتّبين إلى كلّ جهة ممّا يكون فيه موافقة تفصيلية على تقدير ، وعدم الموافقة رأساً بالنسبة إلى الظهر والعصر على تقدير آخر ، وليس الأمر دائراً بين الموافقة الإجمالية والتفصيلية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مترتّبتان ؛ فإنّ كلّ جهة إمّا تكون قبلة ، فيكون الظهر والعصر مترتّبين بحسب الواقع ، وإمّا لا تكون قبلة فلا يتحقّق ظهر ولا عصر ، ولا ترتيب بينهما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موافقة إجمالية ، والعلم بحصول الترتيب بين الظهر والعصر حين الإتيان بهما لا يمكن على أيّ حال ، سواء أتى بجميع محتملات الظهر قبل العصر أو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يصغى إلى ما ادّعى رحمه الله علیه من أنّ ذلك إنّما هو من جهة الجهل بالقبلة لا الجهل بالترتيب ؛ ضرورة أنّ الترتيب إذا كان بين الظهر والعصر الواقعيين يكون مجهولاً عند الإتيان بكلّ عصر ؛ فإنّه لا يعلم المكلّف عند الإتيان به أ نّها صلاة واقعية عقيب الظهر ، بل يعلم إجمالاً أ نّها إمّا صلاة واقعية مترتّبة على الظهر ، وإمّا ليست بصلاة ، وهذا العلم حاصل عيناً فيما إذا أتى بكلّ ظهر وعصر مترتّبين إلى كلّ جهة ؛ فإنّه يعلم بأنّ العصر إمّا صلاة واقعية مترتّبة على الظهر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ليس بصلاة ، وهذا من الوضوح بمكان </w:t>
      </w:r>
      <w:r>
        <w:rPr>
          <w:rFonts w:eastAsia="Amiri" w:cs="Amiri" w:ascii="Amiri" w:hAnsi="Amiri"/>
          <w:color w:val="111111"/>
          <w:sz w:val="28"/>
          <w:szCs w:val="28"/>
          <w:rtl w:val="true"/>
          <w:lang w:bidi="ar-SA"/>
        </w:rPr>
        <w:t xml:space="preserve">. </w:t>
      </w:r>
      <w:bookmarkStart w:id="263" w:name="pg12132_128012"/>
    </w:p>
    <w:p>
      <w:pPr>
        <w:pStyle w:val="Heading2"/>
        <w:numPr>
          <w:ilvl w:val="1"/>
          <w:numId w:val="1"/>
        </w:numPr>
        <w:rPr/>
      </w:pPr>
      <w:bookmarkStart w:id="264" w:name="__RefHeading___Toc3352738_417432637"/>
      <w:bookmarkStart w:id="265" w:name="_Toc90"/>
      <w:bookmarkEnd w:id="263"/>
      <w:bookmarkEnd w:id="264"/>
      <w:r>
        <w:rPr>
          <w:rtl w:val="true"/>
        </w:rPr>
        <w:t>المقام الثاني</w:t>
      </w:r>
      <w:r>
        <w:rPr>
          <w:rtl w:val="true"/>
        </w:rPr>
        <w:t xml:space="preserve">: </w:t>
      </w:r>
      <w:r>
        <w:rPr>
          <w:rtl w:val="true"/>
        </w:rPr>
        <w:t>دوران الأمر بين الأقلّ والأكثر الارتباطيين</w:t>
      </w:r>
      <w:bookmarkEnd w:id="26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الارتباطيين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ثمّ إنّ محطّ البحث متقوّم بأخذ الأقلّ لا بشرط ، وإلاّ يرجع إلى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خروج ما دار الأمر بين الطبيعي والحصّة من موضوع البحث ، كتردّده بين وجوب إكرام الإنسان وإكرام زيد ، بدعوى أنّ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قابليته للانطباق على حصّة اُخرى منه المباينة مع حصّة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محفوظاً بمعناه الإطلاقي في ضمن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ما سمّاه حصّة مخالف للاصطلاح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ما ذكر خروج المطلق والمقيّد عن محطّ البحث بعين ما ذكر ؛ فإنّ المطلق لم يبق بإطلاقه في ضمن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الطبيعي وفرده عن البحث لأجل أ نّه يشترط في باب الأقلّ والأكثر كون الأمر في الأكثر داعياً إلى الذات والقيد ؛ بحيث لو فرضنا الانحلال ينحلّ إلى الأمر بالذات والقيد ، والطبيعي والفرد ليسا كذلك عرفاً ، وإن انحلّ الفرد بالنظر الفلسفي إلى الذات والخصوصية ، فدوران الأمر بين الفرد والطبيعي والجنس ونوعه كالحيوان والإنسان خارج عن 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دخول مثل الحيوان والحيوان الأبيض ؛ أي الطبيعي وحصّته ، في مورد البحث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132_128013"/>
    </w:p>
    <w:p>
      <w:pPr>
        <w:pStyle w:val="Heading2"/>
        <w:numPr>
          <w:ilvl w:val="1"/>
          <w:numId w:val="1"/>
        </w:numPr>
        <w:rPr/>
      </w:pPr>
      <w:bookmarkStart w:id="267" w:name="__RefHeading___Toc3352740_417432637"/>
      <w:bookmarkStart w:id="268" w:name="_Toc91"/>
      <w:bookmarkEnd w:id="266"/>
      <w:bookmarkEnd w:id="267"/>
      <w:r>
        <w:rPr>
          <w:rtl w:val="true"/>
        </w:rPr>
        <w:t>في جريان البراءة العقلية</w:t>
      </w:r>
      <w:bookmarkEnd w:id="268"/>
    </w:p>
    <w:p>
      <w:pPr>
        <w:pStyle w:val="BookText"/>
        <w:rPr/>
      </w:pPr>
      <w:r>
        <w:rPr>
          <w:rFonts w:ascii="Amiri" w:hAnsi="Amiri" w:eastAsia="Amiri" w:cs="Amiri"/>
          <w:color w:val="111111"/>
          <w:sz w:val="28"/>
          <w:sz w:val="28"/>
          <w:szCs w:val="28"/>
          <w:rtl w:val="true"/>
          <w:lang w:bidi="ar-SA"/>
        </w:rPr>
        <w:t xml:space="preserve">تنقيح البحث يتوقّف على بيان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وزان المركّبات الاعتبارية في عالم الاعتبار من بعض الجهات وزان المركّبات الحقيقية في الخارج ، فإنّ المركّب الحقيقي إنّما يحصل بعد كسر سورة الأجزاء بواسطة التفاعل الواقع بينها ، فتخرج من استقلال الوجود بواسطة الفعل والانفعال والكسر والانكسار ، وتحصل صورة مستقلّة اُخرى هي صورة المركّب ، فلها وجود ووحدة غير ما للأجزاء ، والمركّب الاعتباري أيضاً يحصل بكسر سورة الأجزاء في عالم الاعتبار ، وخروجها عن استقلال الوجود اللحاظي ، وفنائها في صورة المركّب ، وحصول الوحدة الاعتبارية كالوجود الاعتباري ، فما لم يحصل للمركّب صورة وحدانية في عالم الاعتبار لم يكن له وجود ؛ فإنّ ما لا وحدة له لا وجود له ، وإنّما تحصل الوحدة بذهاب حكم الأجزاء وحصول صورة اُخرى مجملة غير صورة الأجزاء ؛ أي المفصّلات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كيفية تحصّل المركّب في ذهن الآمر غالباً إنّما تكون عكس كيفية </w:t>
      </w:r>
    </w:p>
    <w:p>
      <w:pPr>
        <w:pStyle w:val="BookText"/>
        <w:rPr/>
      </w:pPr>
      <w:r>
        <w:rPr>
          <w:rFonts w:ascii="Amiri" w:hAnsi="Amiri" w:eastAsia="Amiri" w:cs="Amiri"/>
          <w:color w:val="111111"/>
          <w:sz w:val="28"/>
          <w:sz w:val="28"/>
          <w:szCs w:val="28"/>
          <w:rtl w:val="true"/>
          <w:lang w:bidi="ar-SA"/>
        </w:rPr>
        <w:t xml:space="preserve">إتيانه في الخارج ، بمعنى أنّ المكلّف إذا همّ بإتيان مركّب تتعلّق إرادته أوّلاً بوجوده الوحداني ، غافلاً عن أجزائه وشرائطه ، ثمّ ينتقل منه إليها ، وتتولّد إرادات اُخرى متعلّقة بها على وجه يحصل المركّب منها ، فإذا همّ بإتيان الصلاة تتعلّق إرادته أوّلاً بأصل طبيعتها من غير تعلّق بالأجزاء ، ويكون المحرّك للعبد الأمر المتعلّق بالطبيعة ، ولمّا رأى أ نّها لا تحصل إلاّ بإتيان أجزائها وشرائطها على طبق المقرّر الشرعي تتولّد إرادات تبعية متعلّقة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الآمر إذا همّ بتعليق الأمر بالمركّب فلا 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تصوّر الأجزاء والشرائط أوّلاً مستقلاًّ ، ثمّ ترتيبها حسب ما تقتضي المصلحة والملاك النفس الأمريين ، ثمّ لحاظها على نعت الوحدة وإفناء الكثرات فيها ليحصل المركّب الاعتباري ، ثمّ يجعلها موضوعاً للأمر ومتعلّقاً للإرادة ، فالآمر ينتهي من الكثرة إلى الوحدة غالباً ، والمأمور من الوحدة إلى الكثرة</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بالوحدة والكثرة والإجمال والتفصيل ، لا بالمحصِّلية والمحصَّلية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عدم تنافي ما ذكرناه هاهنا لما ذكرناه في بحث المقدّمة من إسراء النزاع إلى الأجزاءأ ، فتدبّر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فاجعل هذا مقدّمة اُخرى للمقصود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المتعلّق بالمركّب واحد متعلّق بواحد ، وليست الأجزاء متعلّقة للأمر ؛ لعدم شيئية لها في لحاظ الآمر عند لحاظ المركّب ، ولا يرى عند البعث إليه إلاّ صورة وحدانية هي صورة المركّب فانياً فيها الأجزاء ، فهي تكون مغفولاً عنها ، ولا تكون متعلّقة للأمر أصلاً ، فالآمر لا يرى في تلك الملاحظة إلاّ أمراً واحداً ، ولا يأمر إلاّ بأمر واحد ، لكن هذا الأمر الوحداني يكون داعياً إلى إتيان الأجزاء بعين داعويته للمركّب وحجّة عليها بعين حجّيته عليه ؛ لكون المركّب هو الأجزاء في لحاظ الوحدة والاضمحلال</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مناهج الوصول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والأجزاء هو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فلكون المركّب يتركّب من الأجزاء وينحلّ إليها يكون الأمر به حجّة عليها لا بحجّية مستقلّة ، وداعياً إليها لا بداعوية على حدة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على المركّب إنّما تكون حجّة على الأجزاء ، والأمر المتعلّق به إنّما يكون داعياً إليها إذا قامت الحجّة على كون المركّب متركّباً من الأجزاء الكذائية ومنحلاًّ إليها ، وأمّا مع عدم قيام الحجّة عليه فلا يمكن أن يكون الأمر به حجّة عليها وداعياً إليها ، فمع الشكّ في جزئية شيء للمركّب لا يكون </w:t>
      </w:r>
      <w:bookmarkStart w:id="269" w:name="pg12132_128016"/>
    </w:p>
    <w:p>
      <w:pPr>
        <w:pStyle w:val="BookText"/>
        <w:rPr/>
      </w:pPr>
      <w:bookmarkEnd w:id="269"/>
      <w:r>
        <w:rPr>
          <w:rFonts w:ascii="Amiri" w:hAnsi="Amiri" w:eastAsia="Amiri" w:cs="Amiri"/>
          <w:color w:val="111111"/>
          <w:sz w:val="28"/>
          <w:sz w:val="28"/>
          <w:szCs w:val="28"/>
          <w:rtl w:val="true"/>
          <w:lang w:bidi="ar-SA"/>
        </w:rPr>
        <w:t>الأمر المتعلّق به حجّة عليه ؛ ضرورة أنّ تمامية الحجّة إنّما تكون بالعلم ، والعلم بتعلّق الأمر بالمركّب إنّما يكون حجّة على الأجزاء التي علم بتركّب المركّب منها ؛ لما عرفت من أنّ سرّ داعوية الأمر المتعلّق به للأجزاء ليس إلاّ كونه منحلاًّ</w:t>
      </w:r>
    </w:p>
    <w:p>
      <w:pPr>
        <w:pStyle w:val="BookText"/>
        <w:rPr/>
      </w:pPr>
      <w:r>
        <w:rPr>
          <w:rFonts w:ascii="Amiri" w:hAnsi="Amiri" w:eastAsia="Amiri" w:cs="Amiri"/>
          <w:color w:val="111111"/>
          <w:sz w:val="28"/>
          <w:sz w:val="28"/>
          <w:szCs w:val="28"/>
          <w:rtl w:val="true"/>
          <w:lang w:bidi="ar-SA"/>
        </w:rPr>
        <w:t xml:space="preserve">إليها ومتركّباً منها ، فمع الشكّ في دخالة شيء في المركّب واعتباره فيه عند ترتيب أجزائه ، لا يكون الأمر بالمركّب حجّة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العقلي في باب الأقلّ والأكثر الارتباطيين هو البراءة ، فإذا اجتهد العبد في تحصيل العلم بأجزاء المركّب ، وبذل جهده في التفحّص عن الأدلّة بمقدار ميسوره ، وقامت الحجّة على عدّة أجزاء للمركّب ، وعلم أنّ المولى قد أخذها فيه قطعاً ، وشكّ في اعتبار شيء آخر جزءاً ، فأتى بما قامت الحجّة عليه ، وترك غيرها ممّا هو مشكوك فيه ، لا يعدّ عاصياً ، ويكون العقاب على تركه بلا بيان ولا برهان </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3352742_417432637"/>
      <w:bookmarkStart w:id="271" w:name="_Toc92"/>
      <w:bookmarkEnd w:id="270"/>
      <w:r>
        <w:rPr>
          <w:rtl w:val="true"/>
        </w:rPr>
        <w:t>الإشكالات السبعة على جريان البراءة عن الأكثر ودفعها</w:t>
      </w:r>
      <w:bookmarkEnd w:id="271"/>
    </w:p>
    <w:p>
      <w:pPr>
        <w:pStyle w:val="Heading3"/>
        <w:numPr>
          <w:ilvl w:val="2"/>
          <w:numId w:val="1"/>
        </w:numPr>
        <w:rPr/>
      </w:pPr>
      <w:bookmarkStart w:id="272" w:name="__RefHeading___Toc3352744_417432637"/>
      <w:bookmarkStart w:id="273" w:name="_Toc93"/>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نعم ، هاهنا إشكالات لا بدّ من التفصّي عنها لتحقيق المقام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352746_417432637"/>
      <w:bookmarkStart w:id="275" w:name="_Toc94"/>
      <w:bookmarkEnd w:id="274"/>
      <w:r>
        <w:rPr>
          <w:rtl w:val="true"/>
        </w:rPr>
        <w:t xml:space="preserve">الإشكال الأوّل </w:t>
      </w:r>
      <w:r>
        <w:rPr>
          <w:rtl w:val="true"/>
        </w:rPr>
        <w:t>:</w:t>
      </w:r>
      <w:bookmarkEnd w:id="27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العلم الإجمالي بوجوب الأقلّ أو الأكثر حجّة على التكليف ومنجّز له ، ولا بدّ من الاحتياط بإتيان الجزء المشكوك فيه ، ولا ينحلّ هذا العلم الإجمالي بالعلم بوجوب الأقلّ والشكّ في الأكثر ؛ لتردّد وجوبه بين المتباينين ، فإنّه لا إشكال في مباينة المهية بشرط شيء للمهية لا بشرط ؛ لكونهما قسيمين ، فلو </w:t>
      </w:r>
    </w:p>
    <w:p>
      <w:pPr>
        <w:pStyle w:val="BookText"/>
        <w:rPr/>
      </w:pPr>
      <w:r>
        <w:rPr>
          <w:rFonts w:ascii="Amiri" w:hAnsi="Amiri" w:eastAsia="Amiri" w:cs="Amiri"/>
          <w:color w:val="111111"/>
          <w:sz w:val="28"/>
          <w:sz w:val="28"/>
          <w:szCs w:val="28"/>
          <w:rtl w:val="true"/>
          <w:lang w:bidi="ar-SA"/>
        </w:rPr>
        <w:t xml:space="preserve">كان متعلّق التكليف هو الأقلّ فالتكليف به إنّما يكون لا بشرط عن الزيادة ، ولو كان الأكثر فالتكليف بالأقلّ يكون بشرط انضمامه مع الزيادة ، فوجوب الأقلّ يكون مردّداً بين المتباينين باعتبار اختلاف سنخي الوجوب الملحوظ لا بشرط شيء أو بشرطه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امتثاله يكون مختلفاً أيضاً حسب اختلاف الوجوب ، فإنّ امتثال الأقلّ إنّما يكون بانضمام الزائد إليه إذا كان التكليف به ملحوظاً بشرط شيء ؛ بخلاف ما إذا كان ملحوظاً لا بشرط ، فيرجع الشكّ في الأقلّ والأكثر الارتباطيين إلى الشكّ بين المتباينين تكليفاً وامتثالاً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لم يكن ملحوظاً لا بشرط أو بشرط شيء ، بل اللا بشرطية أو بشرط الشيئية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هما في متعلّق التكليف لا نفسه ، فلا يخلو ما أفاده من سوء التعبير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التكليف أيضاً لم يكن من قبيل المهية لا بشرط شيء وبشرطه ؛ فإنّ التكليف لم يكن مردّداً بين تعلّقه بالأقلّ لا بشرط انضمامه مع الزيادة ، أو بشرط الانضمام بحيث يكون الأقلّ متعلّقاً له والزيادة من قبيل الشرائط ؛ فإنّ الأجزاء كلّها في رتبة واحدة لا يكون بعضها جزءاً وبعضها شرط الجزء ، بل الأمر دائر بين تعلّق التكليف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المركّب المنحلّ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المركّب المنحلّ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الأجزاء متعلّقة للتكليف بما أ نّها </w:t>
      </w:r>
    </w:p>
    <w:p>
      <w:pPr>
        <w:pStyle w:val="BookText"/>
        <w:rPr/>
      </w:pPr>
      <w:r>
        <w:rPr>
          <w:rFonts w:ascii="Amiri" w:hAnsi="Amiri" w:eastAsia="Amiri" w:cs="Amiri"/>
          <w:color w:val="111111"/>
          <w:sz w:val="28"/>
          <w:sz w:val="28"/>
          <w:szCs w:val="28"/>
          <w:rtl w:val="true"/>
          <w:lang w:bidi="ar-SA"/>
        </w:rPr>
        <w:t>أجزاء ، كما عرفت في كيفية تعلّقه بالمركّبات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الأقلّ اللا بشرط أو التكليف الذي هو اللا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مبايناً لما هو بشرط الشيء ؛ فإنّ معنى كون الأقلّ لا بشرط أنّ الملحوظ نفس الأقلّ من غير لحاظ انضمام شيء معه ، لا كون عدم لحاظ شيء معه ملحوظاً حتّى يصير متبايناً مع الملحوظ بشرط شيء ، ومعلوم أنّ نفس الأقلّ مع الأقلّ بشرط شيء لم يكونا متباينين ، فيكون الأقلّ متيقّناً ، والزيادة مشكوكاً فيها ، فينحلّ العلم الإجمالي إلى العلم التفصيلي بوجوب الأقلّ والشكّ البدوي في وجوب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الأجزاء لم تكن متعلّقة للتكليف بل متعلّقه واحد هو المركّب في نعت الوحدة ، كما أنّ نفسه واحد ، لكنّه حجّة على الأجزاء المعلومة الاعتبار فيه ، ولا يكون حجّة على الزيادة المشكوك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كون الأقلّ والأكثر من قبيل المتباينين لزوم إتيان الأقلّ منفصلاً عن الأكثر ، لا منضمّاً إليه ، فيجب الإتيان بالصلاة مرّة مع الزيادة ، ومرّة بغيرها؛ لأنّ المتباينين غير ممكني الاجتماع في التحقّق والامتثال ، مع أنّ القائل لم يلتزم به ، هذا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 الشبهة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المهية لا بشرط والمهية بشرط شيء ليستا من المتباينين اللذين لا جامع بينهما ؛ فإنّ التقابل بينهما ليس تقابل التضادّ ، بل من تقابل العدم والملكة ، فإنّ المهية لا بشرط ليس معناها </w:t>
      </w:r>
    </w:p>
    <w:p>
      <w:pPr>
        <w:pStyle w:val="BookText"/>
        <w:rPr/>
      </w:pPr>
      <w:r>
        <w:rPr>
          <w:rFonts w:ascii="Amiri" w:hAnsi="Amiri" w:eastAsia="Amiri" w:cs="Amiri"/>
          <w:color w:val="111111"/>
          <w:sz w:val="28"/>
          <w:sz w:val="28"/>
          <w:szCs w:val="28"/>
          <w:rtl w:val="true"/>
          <w:lang w:bidi="ar-SA"/>
        </w:rPr>
        <w:t xml:space="preserve">لحاظ عدم انضمام شيء معها بحيث يؤخذ العدم قيداً للمهية ؛ وإلاّ رجعت إلى المهية بشرط لا ويلزم تداخل أقسامها ، بل المهية لا بشرط معناها عدم لحاظ شيء معها ، 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ليس أمراً وجودياً ، بل هو عبارة عن عدم ذكر القيد ، فالمهية لا بشرط ليست مباينة بالهوية والحقيقة مع المهية بشرط شيء بحيث لا يوجد بينهما جامع ، بل يجمعهما نفس المهية ، والتقابل بينهما بمجرّد الاعتبار واللحاظ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نحن فيه يكون الأقلّ متيقّن الاعتبار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لوحظ الواجب لا بشرط أو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التغاير الاعتباري لا يوجب خروج الأقلّ من كونه متيقّن الاعتبار</w:t>
      </w:r>
      <w:r>
        <w:rPr>
          <w:rStyle w:val="FootnoteAnchor"/>
          <w:rtl w:val="true"/>
        </w:rPr>
        <w:footnoteReference w:id="31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المهية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لم يلحظ معها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المهية المقسمية التي هي نفس المهية ، ولا يعقل الجامع بين المهية الكذائية وغيرها ، ونفس ذات المهية عبارة اُخرى عن المهية التي لم يلحظ معها شيء بنحو السلب البسيط ، لا الإيجاب العدولي ، وأقسام المهية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بشرط شيء ، وبشرط لا ، ولا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الاعتبارات الواردة على نفس المهية ، وتكون تلك الأقسام متقوّمة بالاعتبار الذهني ، وليس لها وجود في الخارج حتّى المهية بشرط شيء ؛ فإنّ المهية الملحوظة بشرط شيء إنّما تتقوّم باللحاظ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اللحاظ حرفي لا اسمي ، أو إنّ هذه الاعتبارات مصحّحة لموضوعية الموضوع على الوجه المطلوب لا أ نّها مأخوذة فيه</w:t>
      </w:r>
      <w:r>
        <w:rPr>
          <w:rStyle w:val="FootnoteAnchor"/>
          <w:rtl w:val="true"/>
        </w:rPr>
        <w:footnoteReference w:id="313"/>
      </w:r>
      <w:r>
        <w:rPr>
          <w:rFonts w:ascii="Amiri" w:hAnsi="Amiri" w:eastAsia="Amiri" w:cs="Amiri"/>
          <w:color w:val="111111"/>
          <w:sz w:val="28"/>
          <w:sz w:val="28"/>
          <w:szCs w:val="28"/>
          <w:rtl w:val="true"/>
          <w:lang w:bidi="ar-SA"/>
        </w:rPr>
        <w:t xml:space="preserve">، ممّا لا ينبغي </w:t>
      </w:r>
    </w:p>
    <w:p>
      <w:pPr>
        <w:pStyle w:val="BookText"/>
        <w:rPr/>
      </w:pPr>
      <w:r>
        <w:rPr>
          <w:rFonts w:ascii="Amiri" w:hAnsi="Amiri" w:eastAsia="Amiri" w:cs="Amiri"/>
          <w:color w:val="111111"/>
          <w:sz w:val="28"/>
          <w:sz w:val="28"/>
          <w:szCs w:val="28"/>
          <w:rtl w:val="true"/>
          <w:lang w:bidi="ar-SA"/>
        </w:rPr>
        <w:t>أن يصغى إليه ؛ فإنّ تحصّل الأقسام الثلاثة للمهية ليس إلاّ بتلك الاعتبارات ،وهذه الاعتبارات مقوّمة للأقسام ، وما هو موجود في الخارج لم يكن إلاّ نفس المهية ، لا المهية بشرط الوجود التي هي إحدى أقسامها واعتباراتها ، وإنّما خرجت المهية عن كونها من حيث هي بالوجود لا قبله ، كما أنّ الاعتبارات الملحقة بالمهية تخرجها عن كونها من حيث هي ، لا أ نّها خرجت عن نفس كونها مهية من حيث هي قبل الاعتبارات ، وتكون هي واردة على المهية الملحوظة بالقياس إلى أمر خارج عن ذاتها ، كما ذهب إليه بعض أعاظم فنّ المعقول</w:t>
      </w:r>
      <w:r>
        <w:rPr>
          <w:rStyle w:val="FootnoteAnchor"/>
          <w:rtl w:val="true"/>
        </w:rPr>
        <w:footnoteReference w:id="314"/>
      </w:r>
      <w:r>
        <w:rPr>
          <w:rFonts w:ascii="Amiri" w:hAnsi="Amiri" w:eastAsia="Amiri" w:cs="Amiri"/>
          <w:color w:val="111111"/>
          <w:sz w:val="28"/>
          <w:sz w:val="28"/>
          <w:szCs w:val="28"/>
          <w:rtl w:val="true"/>
          <w:lang w:bidi="ar-SA"/>
        </w:rPr>
        <w:t>على ما قيل ، وتبعه بعض محقّقي محشّي الكفاية</w:t>
      </w:r>
      <w:r>
        <w:rPr>
          <w:rStyle w:val="FootnoteAnchor"/>
          <w:rtl w:val="true"/>
        </w:rPr>
        <w:footnoteReference w:id="315"/>
      </w:r>
      <w:r>
        <w:rPr>
          <w:rFonts w:ascii="Amiri" w:hAnsi="Amiri" w:eastAsia="Amiri" w:cs="Amiri"/>
          <w:color w:val="111111"/>
          <w:sz w:val="28"/>
          <w:sz w:val="28"/>
          <w:szCs w:val="28"/>
          <w:rtl w:val="true"/>
          <w:lang w:bidi="ar-SA"/>
        </w:rPr>
        <w:t xml:space="preserve">ممّن له حظّ من هذا الفنّ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المهية لا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مقسم 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نفس المهية من غير لحاظ شيء معها ، ولحوق الاعتبارات الثلاثة بها يجعلها أقساماً ، وهي متقوّمة بالاعتبار ، لا يمكن انسلاخ الاعتبار عنها وبقاؤها على تقرّر القسمية ؛ ولهذا لا تكون الأقسام موجودة في الخارج ، والموجودات الخارجية مصداق نفس المهية لا المهية بشرط شيء ، وإن ذهب إليه بعض المحقّقين من أهل المعقول ، واستدلّ على موجودية المهية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المهية التي بشرط شيء موجودة ، والمقسم هو القسم ، فالمقسم موجود</w:t>
      </w:r>
      <w:r>
        <w:rPr>
          <w:rStyle w:val="FootnoteAnchor"/>
          <w:rtl w:val="true"/>
        </w:rPr>
        <w:footnoteReference w:id="316"/>
      </w:r>
      <w:r>
        <w:rPr>
          <w:rFonts w:ascii="Amiri" w:hAnsi="Amiri" w:eastAsia="Amiri" w:cs="Amiri"/>
          <w:color w:val="111111"/>
          <w:sz w:val="28"/>
          <w:sz w:val="28"/>
          <w:szCs w:val="28"/>
          <w:rtl w:val="true"/>
          <w:lang w:bidi="ar-SA"/>
        </w:rPr>
        <w:t xml:space="preserve">، لكنّه خلاف التحقيق ، كما لا يخفى على المتأ مّل الدقيق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المهية ليست جامعة للمهية بشرط شيء والمهية لا بشرط ؛ أي التي لم تلحظ معها شيء ولم تتقيّد بشيء ، وإنّما تكون جامعة للمهية بشرط شيء واللا بشرط ؛ أي التي تلحظ متقيّدة باللا بشرطية ومتقوّمة بها ، فالمهية اللا بشرط بالمعنى الأوّل ليست متقابلة مع المهية بشرط شيء بنحو من التقابل ، لا العدم والملكة ولا غيره ، فما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تقابلهما بنحو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مع أنّ المتقابلين بنحو التضادّ أيضاً يكون لهما جامع جنسي ، كالبياض والسواد الداخلين تحت مطلق اللون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مجرّد وجود الجامع بينهما لا يوجب سقوط الاحتياط إذا كان بين المتعلّقين تباين ولو بنحو العدم والملكة ؛ ألا ترى أ نّه لو علم إجمالاً بوجوب إكرام أحد مردّد بين كونه كوسجاً أو ملتحياً يجب الاحتياط عقلاً ، ولكن لو علم بوجوب إكرام أحد مردّد بين مطلق الإنسان والإنسان الرومي ، لا يجب إلاّ إكرام إنسان واحد رومياً كان أو غيره ؛ لعدم التقابل بينهما ، وعدم كون المتعلّق مردّداً بين المتباينين</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132_128022"/>
    </w:p>
    <w:p>
      <w:pPr>
        <w:pStyle w:val="Heading3"/>
        <w:numPr>
          <w:ilvl w:val="2"/>
          <w:numId w:val="1"/>
        </w:numPr>
        <w:rPr/>
      </w:pPr>
      <w:bookmarkStart w:id="277" w:name="__RefHeading___Toc3352748_417432637"/>
      <w:bookmarkStart w:id="278" w:name="_Toc95"/>
      <w:bookmarkEnd w:id="276"/>
      <w:bookmarkEnd w:id="277"/>
      <w:r>
        <w:rPr>
          <w:rtl w:val="true"/>
        </w:rPr>
        <w:t xml:space="preserve">الإشكال الثاني </w:t>
      </w:r>
      <w:r>
        <w:rPr>
          <w:rtl w:val="true"/>
        </w:rPr>
        <w:t>:</w:t>
      </w:r>
      <w:bookmarkEnd w:id="278"/>
    </w:p>
    <w:p>
      <w:pPr>
        <w:pStyle w:val="BookText"/>
        <w:rPr/>
      </w:pPr>
      <w:r>
        <w:rPr>
          <w:rFonts w:ascii="Amiri" w:hAnsi="Amiri" w:eastAsia="Amiri" w:cs="Amiri"/>
          <w:color w:val="111111"/>
          <w:sz w:val="28"/>
          <w:sz w:val="28"/>
          <w:szCs w:val="28"/>
          <w:rtl w:val="true"/>
          <w:lang w:bidi="ar-SA"/>
        </w:rPr>
        <w:t xml:space="preserve">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التكليف في باب الأقلّ والأكثر مردّد بين المتباينين ، فإنّ المركّب الملتئم من الأقلّ له صورة وحدانية غير صورة المركّب الملتئم من الأكثر ، فهما صورتان وحدانيتان متباينتان ، ويكون التكليف مردّداً بين تعلّقه بهذا أو ذاك ، فلا بدّ من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 </w:t>
      </w:r>
      <w:r>
        <w:rPr>
          <w:rStyle w:val="FootnoteAnchor"/>
          <w:rtl w:val="true"/>
        </w:rPr>
        <w:footnoteReference w:id="318"/>
      </w:r>
      <w:r>
        <w:rPr>
          <w:rFonts w:ascii="Amiri" w:hAnsi="Amiri" w:eastAsia="Amiri" w:cs="Amiri"/>
          <w:color w:val="111111"/>
          <w:sz w:val="28"/>
          <w:sz w:val="28"/>
          <w:szCs w:val="28"/>
          <w:rtl w:val="true"/>
          <w:lang w:bidi="ar-SA"/>
        </w:rPr>
        <w:t xml:space="preserve">في كيفية تركيب المركّبات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الأجزاء في لحاظ الوحدة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منه أنّ المركّب الاعتباري له صورة اُخرى وحدانية تكون تلك الصورة نسبتها إلى الأجزاء نسبة المتحصّل إلى المحصّل ، ويكون الأمر متعلّقاً بالصورة التي هي حقيقة اُخرى وراء الأجزاء ؛ حتّى يكون المتحصّل من عدّة أجزاء غير المتحصّل من عدّة اُخرى أكثر ، بل ليس للمركّب تحصّل إلاّ تحصّل الأجزاء ، فهو هي ، وهي هو ، لكنّ العقل قد يرى الأجزاء في لحاظ الوحدة ، وقد يرى الكثرات ، واختلاف ملاحظة العقل لا يوجب اختلافاً جوهرياً في الملحوظ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الاختلاف بين الأقلّ والأكثر إلاّ بالأقلّية والأكثرية لا غير ، فهما مشتركان في عدّة أجزاء وممتازان في بعض أجزاء اُخر ، وليس اختلافهما في الأجزاء الداخلة في الأقلّ ، بل في الزيادة ، ومجرّد لحاظ العقل للأجزاء بنحو الوحدة لا يوجب تباين الملحوظ لملحوظ آخر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الحجّة قائمة على وجوب إتيان الأقلّ ، </w:t>
      </w:r>
      <w:bookmarkStart w:id="279" w:name="pg12132_128023"/>
    </w:p>
    <w:p>
      <w:pPr>
        <w:pStyle w:val="BookText"/>
        <w:rPr/>
      </w:pPr>
      <w:bookmarkEnd w:id="279"/>
      <w:r>
        <w:rPr>
          <w:rFonts w:ascii="Amiri" w:hAnsi="Amiri" w:eastAsia="Amiri" w:cs="Amiri"/>
          <w:color w:val="111111"/>
          <w:sz w:val="28"/>
          <w:sz w:val="28"/>
          <w:szCs w:val="28"/>
          <w:rtl w:val="true"/>
          <w:lang w:bidi="ar-SA"/>
        </w:rPr>
        <w:t xml:space="preserve">والزيادة مشكوك فيها لم تقم حجّة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ما ذكرت من إيجاب تباين الصورتين للاحتياط لازمه تكرار المركّب بإتيانه تارةً في صورة الأقلّ ، وتارةً في صورة الأكثر ، ولا يكاد يكفي إتيان الأكثر ، كما لا يخفى </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352750_417432637"/>
      <w:bookmarkStart w:id="281" w:name="_Toc96"/>
      <w:bookmarkEnd w:id="280"/>
      <w:r>
        <w:rPr>
          <w:rtl w:val="true"/>
        </w:rPr>
        <w:t xml:space="preserve">الإشكال الثالث </w:t>
      </w:r>
      <w:r>
        <w:rPr>
          <w:rtl w:val="true"/>
        </w:rPr>
        <w:t>:</w:t>
      </w:r>
      <w:bookmarkEnd w:id="281"/>
    </w:p>
    <w:p>
      <w:pPr>
        <w:pStyle w:val="BookText"/>
        <w:rPr/>
      </w:pP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الأقلّ دائر بين كونه نفسياً أصلياً توجب مخالفته العقاب ، وبين كونه نفسياً ضمنياً لا يعاقب على تركه؛ فإنّ العقاب إنّما هو على ترك الواجب الأصلي لا الضمني ، فلا يحكم العقل بلزوم إتيان الأقلّ على أيّ تقدير ، بل يكون أمره من هذه الجهة كالمردّد بين الواجب والمستحبّ ، فإذا لم يحكم العقل بوجوب إتيانه كذلك فلا ينحلّ به العلم الإجمالي ، فلا بدّ من الخروج عن عهدته بضمّ الزيادة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المركّب الذي هو واجب أصلي إنّما هو بترك كلّ واحد من الأجزاء أو جميعها ، لا بمعنى أنّ للمركّب تروكاً ؛ لأنّ نقيض الواحد لا يمكن أن يكون إلاّ واحداً ، بل بمعنى أنّ المركّب له ترك واحد هو عدمه ، وهو كما يتحقّق بعدم الإتيان به رأساً يتحقّق بعين عدم الإتيان بكلّ جزء أو شرط منه ، فعدم الحمد عين عدم الصلاة ، وعدم السورة كذلك ، وهكذا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إذا ترك المكلّف المركّب رأساً ، أو ترك الأجزاء المعلومة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بعين تركه أو تركها المأمور به من غير عذر ، فيكون معاقباً على ترك المأمور به بلا عذر ، وأمّا لو أتى بالأقلّ المعلوم وترك الزيادة بعد الفحص </w:t>
      </w:r>
    </w:p>
    <w:p>
      <w:pPr>
        <w:pStyle w:val="BookText"/>
        <w:rPr/>
      </w:pPr>
      <w:r>
        <w:rPr>
          <w:rFonts w:ascii="Amiri" w:hAnsi="Amiri" w:eastAsia="Amiri" w:cs="Amiri"/>
          <w:color w:val="111111"/>
          <w:sz w:val="28"/>
          <w:sz w:val="28"/>
          <w:szCs w:val="28"/>
          <w:rtl w:val="true"/>
          <w:lang w:bidi="ar-SA"/>
        </w:rPr>
        <w:t xml:space="preserve">والاجتهاد وعدم العثور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جزءاً ، فقد ترك المأمور به عن 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كلتا الصورتين يكون المكلّف تاركاً للمركّب المأمور به ، لكنّ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في الاُولى يكون تركه عصياناً للمولى ؛ لأنّ تركه للأجزاء عين ترك المأمور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الأقلّ أو الأكثر ، فيكون معاقباً على ترك المأمور به بلا عذر وإن كان هو الأكثر ؛ لأنّ ترك الأكثر عين ترك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الثانية فلا يكون تركه عصياناً للمولى ؛ فإنّه عن عذر ، فالأقلّ واجب الإتيان بحكم العقل على كلّ حال ، والزائد 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مستند حكم العقل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بالمؤمّن ، وهو لا يكون إلاّ في مورد يحكم بأنّ العقاب قبيح ، والقبيح ممتنع على اللّه تعالى ، فالعقاب ممتنع عليه ، وتمام الموضوع لحكم العقل بالاحتياط هو احتمال العقاب وعدم المؤمّن القطعي ولو كان الاحتمال ضعيفاً ، ولو كان التكليف مردّداً بين كونه ممّا يعاقب عليه أو لا ، لحكم العقل بلزوم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يصحّح العقوبة ويخرجها عن كونها بلا بيان هو بيان الأحكام ، لا بيان العقوبة عليها ، فإذا بيّن المولى حكم الخمر بأ نّه محرّم يكون العقاب على ارتكابه مع البيان ، ولو احتمل العبد أنّ المولى لا يعاقبه عليه ، فالشكّ في العقوبة لا يكون مؤمّناً بعد بيان التكليف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شكّ العبد في أنّ المحرّم الكذائي هل هو موجب للعقوبة الشديدة أو الضعيفة ، فارتكبه فصادف كونه ممّا يوجب العقوبة الشديدة ، لم يكن له عذر ، ويكون العقاب عليه مع البيان ؛ لأنّ المولى ليس له إلاّ بيان الحكم لا العقوبة عليه </w:t>
      </w:r>
      <w:r>
        <w:rPr>
          <w:rFonts w:eastAsia="Amiri" w:cs="Amiri" w:ascii="Amiri" w:hAnsi="Amiri"/>
          <w:color w:val="111111"/>
          <w:sz w:val="28"/>
          <w:szCs w:val="28"/>
          <w:rtl w:val="true"/>
          <w:lang w:bidi="ar-SA"/>
        </w:rPr>
        <w:t xml:space="preserve">. </w:t>
      </w:r>
      <w:bookmarkStart w:id="282" w:name="pg12132_128025"/>
    </w:p>
    <w:p>
      <w:pPr>
        <w:pStyle w:val="BookText"/>
        <w:rPr/>
      </w:pPr>
      <w:bookmarkEnd w:id="282"/>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التكليف بالأجزاء ، فالأقلّ يكون متعلّقاً للأمر بعين تعلّقه بالمركّب ، لكنّ أمره دائر بين كونه تكليفاً نفسياً أصلياً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تمام المركّب حتّى يكون العبد معاقباً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ضمنياً ويكون المركّب هو الأكثر ، ولا يكون معاقباً على ترك الأقلّ ، ففي مثله يحكم العقل بلزوم إتيانه ؛ لأ نّه لو صادف كونه تمام المركّب فلا يكون العقاب عليه بلا بيان؛ فإنّ ما لزم على المولى هو بيان التكليف الإلزامي، والفرض أ نّه بيّنه ، وليس عليه بيان كون الواجب ممّا في تركه عقوبة أو لا ، فإذا أمر المولى بالصلاة، وعلم العبد أنّ الأجزاء الكذائية مأمور بها بعين الأمر بالصلاة، فترك الصلاة فصادف كون تلك الأجزاء تمام حقيقة الصلاة ، يكون العقاب عليها مع البيان ، فإذا حكم العقل بلزوم إتيان الأقلّ وشكّ في الزيادة ينحلّ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انحلال العلم في المقام ممّا ينبغي أن يعدّ من الضروريات؛ لأنّ كون الأقلّ واجباً تفصيلياً ممّا هو واضح ، ولا يعقل أن يكون شيء واجباً تفصيلياً وطرفاً للعلم الإجمالي ، ولا ينبغي أن يصغى إلى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تفصيله عين إجماله ؛ فإنّه كلام شعري ، وإن صدر عن بعض الأعاظم رحمه الله علیه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3352752_417432637"/>
      <w:bookmarkStart w:id="284" w:name="_Toc97"/>
      <w:bookmarkEnd w:id="283"/>
      <w:r>
        <w:rPr>
          <w:rtl w:val="true"/>
        </w:rPr>
        <w:t xml:space="preserve">الإشكال الرابع </w:t>
      </w:r>
      <w:r>
        <w:rPr>
          <w:rtl w:val="true"/>
        </w:rPr>
        <w:t>:</w:t>
      </w:r>
      <w:bookmarkEnd w:id="28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العقل يستقلّ بعدم كفاية الامتثال الاحتمالي للتكليف القطعي ؛ ضرورة أنّ العلم بالاشتغال </w:t>
      </w:r>
    </w:p>
    <w:p>
      <w:pPr>
        <w:pStyle w:val="BookText"/>
        <w:rPr/>
      </w:pPr>
      <w:r>
        <w:rPr>
          <w:rFonts w:ascii="Amiri" w:hAnsi="Amiri" w:eastAsia="Amiri" w:cs="Amiri"/>
          <w:color w:val="111111"/>
          <w:sz w:val="28"/>
          <w:sz w:val="28"/>
          <w:szCs w:val="28"/>
          <w:rtl w:val="true"/>
          <w:lang w:bidi="ar-SA"/>
        </w:rPr>
        <w:t xml:space="preserve">يستدعي العلم بالفراغ ؛ لتنجّز التكليف بالعلم به ولو إجمالاً ، ويتمّ البيان الذي يستقلّ العقل بتوقّف صحّة العقاب عليه ، فلو صادف التكليف في الطرف الآخر الغير المأتيّ به ، لا يكون العقاب على تركه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لا يجوز الاقتصار على الأقلّ عقلاً ؛ لأ نّه يشكّ معه في الامتثال والخروج عن عهدة التكليف المعلوم في البين ، ولا يحصل العلم بالامتثال إلاّ بعد ضمّ الخصوصية الزائدة المشكوكة ، والعلم التفصيلي بوجوب الأقلّ المردّد بين كونه لا بشرط أو بشرط شيء هو عين العلم الإجمالي بالتكليف المردّد بين الأقلّ والأكثر ، ومثل هذا العلم التفصيلي لا يعقل أن يوجب الانحلال ؛ لأ نّه يلزم أن يكون العلم الإجمالي موجباً لانحلال نفسه</w:t>
      </w:r>
      <w:r>
        <w:rPr>
          <w:rStyle w:val="FootnoteAnchor"/>
          <w:rtl w:val="true"/>
        </w:rPr>
        <w:footnoteReference w:id="32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ما لا يخفى ؛ فإنّ الاشتغال اليقيني وإن استدعى البراءة اليقينية ، لكن ثبوت الاشتغال إنّما هو بمقدار تمامية الحجّة والعلم بالتكليف ، ولا إشكال في أنّ الحجّة لا تكون قائمة إلاّ على وجوب الأقلّ ، وأمّا الزيادة فليست إلاّ مشكوكاً فيها بالشكّ البدوي ؛ فإنّ الضرورة قاضية بأنّ الأقلّ واجب ؛ لأنّ الأكثر ليس إلاّ الأقلّ والزيادة ، ولا يفترق حال الأقلّ بالنسبة إلى تعلّق أصل التكليف به ، ضمّ إليه الزيادة أو لم تضمّ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التفصيلي من غير دخول الإجمال والاحتمال حاصل بالنسبة إلى وجوب الأجزاء التي يعلم انحلال المركّب إليها ، وإنّما الشكّ في أنّ </w:t>
      </w:r>
    </w:p>
    <w:p>
      <w:pPr>
        <w:pStyle w:val="BookText"/>
        <w:rPr/>
      </w:pPr>
      <w:r>
        <w:rPr>
          <w:rFonts w:ascii="Amiri" w:hAnsi="Amiri" w:eastAsia="Amiri" w:cs="Amiri"/>
          <w:color w:val="111111"/>
          <w:sz w:val="28"/>
          <w:sz w:val="28"/>
          <w:szCs w:val="28"/>
          <w:rtl w:val="true"/>
          <w:lang w:bidi="ar-SA"/>
        </w:rPr>
        <w:t xml:space="preserve">الجزء الزائد هل يكون دخيلاً فيه حتّى يكون متعلّق التكليف بعين تعلّقه بالمركّب أم لا ؟ فلا يكون هذا إلاّ الشكّ الساذج ، كما لا يكون ما تعلّق بسائر الأجزاء المعلومة إلاّ العلم التفصيلي الساذج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الأقلّ المردّد بين لا بشرط وبشرط شيء هو عين العلم الإجمالي ، فيلزم أن يكون العلم الإجمالي موجباً لانحلال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البطلان ؛ لأنّ الأقلّ متعلّق للعلم التفصيلي ليس إلاّ ، والشكّ إنّما هو في الزيادة ، لا في مقدار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العلم الإجمالي بالأقلّ والأكثر لا يعقل ؛ لامتناع أن يكون ما به الاشتراك بينهما طرفاً لما به الامتياز ، فما به الاشتراك مختصّ بتعلّق العلم التفصيلي ، وما به الامتياز مشكوك فيه ليس إلاّ ، فلا يكون في البين علم إجمالي من رأس ، لا أنّ العلم الإجمالي يكون متحقّقاً فانحلّ ، كما في قيام الأمارة مثلاً بأحد الأطراف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 سرّه قرّب مدّعاه بتقريب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تعلّق التكليف بالخصوصية الزائدة المشكوكة من الجزء أو الشرط ، وإن كان عقلاً لا يقتضي التنجيز واستحقاق العقاب على مخالفته من حيث هو ؛ للجهل بتعلّق التكليف به ، إلاّ أنّ هناك جهة اُخرى تقتضي التنجيز واستحقاق العقاب على ترك الخصوصية على تقدير تعلّقه بها ، وهي احتمال الارتباطية وقيدية الزائد للأقلّ ؛ فإنّ هذا الاحتمال بضميمة العلم الإجمالي يقتضي التنجيز ؛ فإنّه لا رافع لهذا الاحتمال ، وليس من وظيفة العقل وضع القيدية أو رفعها ، بل ذلك من وظيفة الشارع ، ولا حكم للعقل من هذه الجهة ، فيبقى حكمه بلزوم الخروج عن عهدة التكليف </w:t>
      </w:r>
    </w:p>
    <w:p>
      <w:pPr>
        <w:pStyle w:val="BookText"/>
        <w:rPr/>
      </w:pPr>
      <w:r>
        <w:rPr>
          <w:rFonts w:ascii="Amiri" w:hAnsi="Amiri" w:eastAsia="Amiri" w:cs="Amiri"/>
          <w:color w:val="111111"/>
          <w:sz w:val="28"/>
          <w:sz w:val="28"/>
          <w:szCs w:val="28"/>
          <w:rtl w:val="true"/>
          <w:lang w:bidi="ar-SA"/>
        </w:rPr>
        <w:t>المعلوم والقطع بامتثاله على حاله ، فلا بدّ من ضمّ الخصوصية الزائدة</w:t>
      </w:r>
      <w:r>
        <w:rPr>
          <w:rStyle w:val="FootnoteAnchor"/>
          <w:rtl w:val="true"/>
        </w:rPr>
        <w:footnoteReference w:id="322"/>
      </w:r>
      <w:r>
        <w:rPr>
          <w:rFonts w:ascii="Amiri" w:hAnsi="Amiri" w:eastAsia="Amiri" w:cs="Amiri"/>
          <w:color w:val="111111"/>
          <w:sz w:val="28"/>
          <w:sz w:val="28"/>
          <w:szCs w:val="28"/>
          <w:rtl w:val="true"/>
          <w:lang w:bidi="ar-SA"/>
        </w:rPr>
        <w:t xml:space="preserve">، انتهى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الاعتراف بأنّ الخصوصية مشكوك فيها لا يكون العقاب عليها إلاّ عقاباً بلا بيان ، لا وقع لدعوى العلم الإجمالي المنجّز ، واحتمال الارتباطية والقيدية أيضاً من القيود الزائدة المشكوك فيها ، ولا تكون الحجّة قائمة بالنسبة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الجزء الزائد وحيثية الارتباطية في جريان البراءة العقلية ، وليس معنى البراءة العقلية هو رفع التكليف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وظيفة العقل ، بل كما أنّ العقل يحكم بأنّ العقاب على الجزء الزائد بلا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 وجرى الحقّ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يحكم بأنّ العقاب على الارتباطية بلا برهان بعد تعلّق العلم التفصيلي بوجوب الأقلّ من غير كون الخصوصية متعلّقة للعلم ، بل تكون مشكوكاً فيها بالشكّ البدوي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صدر كلامه وذيله مناقضة ظاهرة ، تدبّر فيها لعلّك تجد مفرّاً منها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تقرير ثالث للاشتغال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الأقلّ معلوم الوجوب بالضرورة ، ومع إتيانه يشكّ في البراءة عن هذا التكليف المعلوم ؛ لأنّ الأكثر لو كان واجباً لا يسقط التكليف المتوجّه إلى الأقلّ بإتيانه بلا ضمّ القيد الزائد ، فلا بدّ للعلم بحصول الفراغ من ضمّه إليه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285" w:name="pg12132_128029"/>
    </w:p>
    <w:p>
      <w:pPr>
        <w:pStyle w:val="BookText"/>
        <w:rPr/>
      </w:pPr>
      <w:bookmarkEnd w:id="285"/>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الأقلّ لا يكون واجباً مستقلاًّ ، بل هو واجب بعين وجوب المركّب ؛ بمعنى أنّ الوجوب المتعلّق به يكون حجّة على الأقلّ بلا إشكال وريب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قامت الحجّة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المكلّف آتياً به ، وما تركه لم تقم الحجّة عليه ، وليست نسبة الأجزاء إلى المركّب نسبة المحصّل إلى المتحصّل منه ، بل المركّب عين الأجزاء ، وقيام الحجّة عليه عين قيام الحجّة عليها فيما كانت الأجزاء 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داعوية الأمر بالمركّب بالنسبة إلى أجزائه مرّتين ، فالمكلّف إذا جدّ جهده في الفحص عن أجزاء المركّب ، وأتى بما هو معلوم وترك ما هو مشكوك فيه ، يكون العقاب عليه عقاباً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الإتيان بالأقلّ لا يكون الأمر داعياً إليه ، وما لم يأت به يكون مشكوكاً فيه ، فلا دعوة للأمر بالنسبة إليه رأساً </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3352754_417432637"/>
      <w:bookmarkStart w:id="287" w:name="_Toc98"/>
      <w:bookmarkEnd w:id="286"/>
      <w:r>
        <w:rPr>
          <w:rtl w:val="true"/>
        </w:rPr>
        <w:t xml:space="preserve">الإشكال الخامس </w:t>
      </w:r>
      <w:r>
        <w:rPr>
          <w:rtl w:val="true"/>
        </w:rPr>
        <w:t>:</w:t>
      </w:r>
      <w:bookmarkEnd w:id="287"/>
    </w:p>
    <w:p>
      <w:pPr>
        <w:pStyle w:val="BookText"/>
        <w:rPr/>
      </w:pPr>
      <w:r>
        <w:rPr>
          <w:rFonts w:ascii="IRNazanin" w:hAnsi="IRNazanin" w:eastAsia="IRNazanin"/>
          <w:color w:val="111111"/>
          <w:sz w:val="28"/>
          <w:sz w:val="28"/>
          <w:szCs w:val="28"/>
          <w:rtl w:val="true"/>
          <w:lang w:bidi="fa-IR"/>
        </w:rPr>
        <w:t xml:space="preserve">ما أفاده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دعوى تحقّق العلم الإجمالي وامتناع الانحلال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للزوم الخُلف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تنجّز التكليف مع تعلّقه بالأكثر لا بدّ وأن يكون مفروضاً حتّى لزم الأقلّ فعلاً على أيّ تقدير إمّا لنفسه أو لغيره ؛ لأ نّه مع عدم مفروضية تنجّزه لا يعقل العلم بفعلية التكليف بالنسبة إلى الأقلّ على أيّ تقدير ، فإنّ أحد التقديرين كونه مقدّمة للأكثر ، فلو لزم من فعلية التكليف بالأقلّ عدم تنجّز الأكثر كان خلف الفرض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للزوم كون وجود الانحلال مستلزماً لعدمه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الانحلال عدم تنجّز التكليف على أيّ تقدير ؛ أي على تقدير تعلّقه بالأكثر ، وعدمُ تنجّز التكليف على أيّ تقدير مستلزم لعدم لزوم الأقلّ على أيّ تقدير ، وهو مستلزم لعدم الانحلال ، فلزم من وجود الانحلال عدمه ، وهو محال ، فالعلم الإجمالي منجّز بلا كلام ولا إشكال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الإشكالين إنّما هو توهّم الوجوب الغيري المقدّمي للأقلّ الناشئ من الأكثر ، ومعه لا مناص عن الإشكال ، فإنّ المقدّمة في الوجوب وتنجّزه تابعة لذيها ، ولا يعقل تنجّزه بالنسبة إليها مع عدم تنجّزه بالنسبة إليه ؛ لأنّ العلم بالتكليف الفعلي موجب للتنجّز سواء كان العلم إجمالياً أو تفصيلياً ، والعلم بالتكليف الفعلي للأقلّ على أيّ تقدير لا يمكن إلاّ مع العلم بفعلية التكليف على تقدير كون الأكثر واجباً ، ومعه يكون التكليف منجّزاً على تقدير تعلّقه بالأكثر للعلم الإجمالي ، وهو موجب لعدم الانحلال إلاّ على الوجه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عن الإشكال بعد تسليم كون وجوب الأجزاء مقدّمياً ، فما تفصّى عنه بعض أعاظم العصر على ما في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 .</w:t>
      </w:r>
      <w:r>
        <w:rPr>
          <w:rStyle w:val="FootnoteAnchor"/>
          <w:rtl w:val="true"/>
        </w:rPr>
        <w:footnoteReference w:id="325"/>
      </w:r>
      <w:r>
        <w:rPr>
          <w:rFonts w:ascii="Amiri" w:hAnsi="Amiri" w:eastAsia="Amiri" w:cs="Amiri"/>
          <w:color w:val="111111"/>
          <w:sz w:val="28"/>
          <w:sz w:val="28"/>
          <w:szCs w:val="28"/>
          <w:rtl w:val="true"/>
          <w:lang w:bidi="ar-SA"/>
        </w:rPr>
        <w:t xml:space="preserve">ممّا لا ينبغي أن يصغى إليه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كون وجوبها مقدّمياً ناشئاً من الوجوب المتعلّق بالمركّب ، محلّ منع </w:t>
      </w:r>
      <w:bookmarkStart w:id="288" w:name="pg12132_128031"/>
    </w:p>
    <w:p>
      <w:pPr>
        <w:pStyle w:val="BookText"/>
        <w:rPr/>
      </w:pPr>
      <w:bookmarkEnd w:id="288"/>
      <w:r>
        <w:rPr>
          <w:rFonts w:ascii="Amiri" w:hAnsi="Amiri" w:eastAsia="Amiri" w:cs="Amiri"/>
          <w:color w:val="111111"/>
          <w:sz w:val="28"/>
          <w:sz w:val="28"/>
          <w:szCs w:val="28"/>
          <w:rtl w:val="true"/>
          <w:lang w:bidi="ar-SA"/>
        </w:rPr>
        <w:t>كما عرفت</w:t>
      </w:r>
      <w:r>
        <w:rPr>
          <w:rStyle w:val="FootnoteAnchor"/>
          <w:rtl w:val="true"/>
        </w:rPr>
        <w:footnoteReference w:id="326"/>
      </w:r>
      <w:r>
        <w:rPr>
          <w:rFonts w:ascii="IRNazanin" w:hAnsi="IRNazanin" w:eastAsia="IRNazanin"/>
          <w:color w:val="111111"/>
          <w:sz w:val="28"/>
          <w:sz w:val="28"/>
          <w:szCs w:val="28"/>
          <w:rtl w:val="true"/>
          <w:lang w:bidi="fa-IR"/>
        </w:rPr>
        <w:t>واعترف رحمه الله علیه به في غير المقام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كون الأجزاء واجبة بعين وجوب الكلّ ، لا يتوقّف وجوب الأقلّ على تنجّز الأكثر ؛ فإنّ الأمر بالمركّب معلوم ، وهو أمر بالأجزاء المعلومة ؛ أي ينحلّ المركّب الذي تنجّز الأمر بالنسبة إليه إلى الأجزاء المعلومة بلا إشكال ؛ سواء كان الجزء الآخر واجباً أو غير واجب ، فتنجّز الأمر بالأقلّ عين تنجّز الأمر بالمركّب ، ولا يتوقّف وجوبه على وجوب شيء آخر ، فلا إشكال في وجوب الأقلّ على أيّ تقدير ؛ أي كان المركّب منحلاًّ إلى تلك الأجزاء فقط أو إليها وإلى أمر آخر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3352756_417432637"/>
      <w:bookmarkStart w:id="290" w:name="_Toc99"/>
      <w:bookmarkEnd w:id="289"/>
      <w:r>
        <w:rPr>
          <w:rtl w:val="true"/>
        </w:rPr>
        <w:t xml:space="preserve">الإشكال السادس </w:t>
      </w:r>
      <w:r>
        <w:rPr>
          <w:rtl w:val="true"/>
        </w:rPr>
        <w:t>:</w:t>
      </w:r>
      <w:bookmarkEnd w:id="29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أورده العلاّمة الأنصاري وأجاب عنه</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وروده المحقّق الخراساني وردّ جوابه</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المشهور بين العدلية</w:t>
      </w:r>
      <w:r>
        <w:rPr>
          <w:rStyle w:val="FootnoteAnchor"/>
          <w:rtl w:val="true"/>
        </w:rPr>
        <w:footnoteReference w:id="330"/>
      </w:r>
      <w:r>
        <w:rPr>
          <w:rFonts w:ascii="Amiri" w:hAnsi="Amiri" w:eastAsia="Amiri" w:cs="Amiri"/>
          <w:color w:val="111111"/>
          <w:sz w:val="28"/>
          <w:sz w:val="28"/>
          <w:szCs w:val="28"/>
          <w:rtl w:val="true"/>
          <w:lang w:bidi="ar-SA"/>
        </w:rPr>
        <w:t xml:space="preserve">أنّ الأوامر والنواهي تابعة لمصالح ومفاسد في المأمور بها والمنهيّ عنها ، وأنّ الواجبات الشرعية ألطاف في الواجبات العقلية ، وهذه العناوين النفس الأمرية ؛ أي المصلحة واللطف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هي المأمور بها بالأمر النفسي ، وتعلّق الأوامر بما تعلّقت بها ظاهراً ، كالصلاة والصوم والحجّ وأمثالها لأجل كونها محصّلات للمأمور بها النفس الأمرية ، وأنّ الأوامر إرشادية محضة ، أرشد المولى إليها ؛ لعدم علم العباد بكيفية تحصيل متعلّقات الأوامر الواقعية ، ولو اطّلع العقل على تلك المصالح وهذه المحصّلات لَحكمَ بلزوم إتيانها ، فالمصالح والألطاف هي المأمور بها بالأمر النفسي ، ومتعلّقات التكاليف في ظاهر الشرع هي المحصّلات ، وأوامرها إرشادية مقدّمية ، ومعلوم أنّه مع الشكّ في المحصّل يكون الاحتياط محكّماً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تكون تلك المصالح والألطاف من قبيل الأغراض الداعية إلى الأوامر ، ولا يحرز الغرض إلاّ بإتيان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تحصيل الغرض علّة تامّة لتعلّق التكليف بتلك المتعلّقات ، والأشياء ذوات العلل كما لا يمكن وجودها إلاّ بعللها لا يمكن انعدامها إلاّ بانعدامها ، فلا بدّ في سقوط الأوامر من سقوط الأغراض الداعية إليها ، فلا بدّ في إحراز سقوطها من إحراز حصولها ، فمع إتيان الأقلّ يشكّ في إحراز المصالح ، فيشكّ في سقوط الأوامر ، فمع العلم بالثبوت لا بدّ من العلم بالسقوط ، وهو لا يحصل إلاّ بإتيان الأكثر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الأوّل والثاني ممّا لا يكاد يخفى ؛ فإنّ محصَّل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المأمور بها بالأوامر النفسية هي المصالح والألطاف ، ومحصَّل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النفسية هي التي تعلّقت بالمتعلّقات في ظاهر الشرع ، لكنّها لأجل ترتّب آثار وحصول مصالح وألطاف ، فما لم تحصل تلك الأغراض لا تسقط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الثاني هو الموافق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العلاّمة الأنصاري قرّر الإشكال بكلا التقريرين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يخفى على المتأ مّل أنّ ما ذكرنا هو الموافق تقريباً لما أفاده الشيخ رحمه الله علیه بتقريب وتوضيح منّا؛ ضرورة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فاللطف إمّا هو المأمور به حقيقة ، أو غرض للآمر ، فيجب تحصيل العلم بحصول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قبيل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إذا أمر بمعجون وعلم أنّ المقصود منه إسهال الصفراء ؛ بحيث كان هو المأمور به في الحقيقة ، أو علم أ نّه الغرض من المأمور به</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xml:space="preserve">ظاهر بل كالنصّ في أنّ ما هو المأمور به في الشقّ الأوّل هو الغرض من الأمر في الشقّ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فساد ما زعم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لا يكون مصلحة الحكم وملاكه ، بل المراد منه التعبّد بالأمر وقصد امتثاله ، ثمّ فصّل في أطراف هذا الاشتباه تفصيلاً وتطويلاً لا يخلو من غرابة</w:t>
      </w:r>
      <w:r>
        <w:rPr>
          <w:rStyle w:val="FootnoteAnchor"/>
          <w:rtl w:val="true"/>
        </w:rPr>
        <w:footnoteReference w:id="332"/>
      </w:r>
      <w:r>
        <w:rPr>
          <w:rFonts w:ascii="Amiri" w:hAnsi="Amiri" w:eastAsia="Amiri" w:cs="Amiri"/>
          <w:color w:val="111111"/>
          <w:sz w:val="28"/>
          <w:sz w:val="28"/>
          <w:szCs w:val="28"/>
          <w:rtl w:val="true"/>
          <w:lang w:bidi="ar-SA"/>
        </w:rPr>
        <w:t xml:space="preserve">،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لبعض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فالجواب عن الأوّل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مسألة كون الأوامر والنواهي تابعة لمصالح ومفاسد في المأمور بها والمنهيّ عنها شعبة من المسألة الكلامية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تعالى يفعل لغرض ، ويمتنع عليه تعالى الإرادة الجزافية ؛ للزوم العبث في فعله والظلم على العباد في تكليفه ، فالأوامر والنواهي لكونها من الأفعال الاختيارية للّه تعالى لا بدّ لها من غرض وغاية ، في مقابل الأشاعرة النافين للأغراض والغايات في مطلق أفعاله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وأمثال هذه الأدلّة الكلامية لا تثبت دعوى كون الأوامر النفسية متعلّقة بتلك العناوين والمصالح ، كما لا تثبت كون المصالح والمفاسد في المأمور بها والمنهيّ عنها؛ لإمكان أن يكون الغرض في نفس الأمر، أو تكون تلك المتعلّقات في ظاهر الشرع محبوبات ذاتية من قبيل نفس الأغراض، أو الغرض منها أمر آخر لا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تعلّق الأوامر بالمصالح والألطاف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تعلّق الأوامر بتلك المصالح النفس الأمرية محال عليه تعالى ؛ للزوم اللغوية والعبث عليه ، فإنّ تعلّق الأوامر بالمتعلّقات إنّما يكون للبعث والحثّ والإغراء نحوها ، فلا بدّ وأن تكون تلك الأوامر ممّا يمكن أن تكون باعثة نحوها ، ولا يعقل أن تكون الأوامر النفس الأمرية الغير الواصلة إلى المكلّفين متعلّقةً بعناوين واقعية مجهولة لديهم ، باعثةً نحوها ، فتعلّقها بها لا يكون إلاّ لغواً ممتنعاً عليه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الجواب عن الثاني أيضاً ؛ فإنّ ما قام به الدليل الكلامي إنّما هو امتناع خلوّ فعله تعالى عن الغرض ، وأمّا كون الغرض قائماً بأيّ شيء فلا دلالة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الغرض في نفس الأمر أو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 محبوباً بالذات ، من غير أن يكون محصّلاً للغرض وخارجاً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الاشتغال ، ويصير من قبيل الأقلّ والأكثر</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الكشف عن الغرض إنّما هو بمقدار قيام الحجّة ، ومع إتيان ما قامت عليه الحجّة يكون العقاب على الأزيد بلا بيان وحجّة ، والعلم بسقوط الأمر بهذا المعنى المدّعى غير ممكن لنا ؛ لاحتمال دخالة اُمور اُخر لم تصل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الفعلي يسقط بإتيان الأقلّ ، ويحصل الغرض بمقداره ، ولولا ذلك لوجب على المولى إيجاب الاحتياط، وإلاّ لزم نقض الغرض عليه،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العلم الإجمالي إذا كان بعض أطرافه مجهول العنوان بحيث لا ينقدح في ذهن المكلّف أبداً لا يكون منجّزاً ؛ فإنّ تنجيزه متوقّف على إمكان الباعثية على أيّ تقدير ؛ أي في أيّ طرف من الأطراف ، وإذا كان بعضها مجهول العنوان لا يمكن البعث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كذلك ؛ فإنّه ما من تكليف من التكاليف المركّبة إلاّ ويحتمل أن يكون له جزء دخيل في سقوط الغرض يكون مخفيّاً عنّا لعدم العثور على دليله ، فمن الممكن أن يكون للصلاة جزء أو شرط آخر لم يصل إلينا ويكون دخيلاً في سقوط الغرض ، فالعلم بأنّ الغرض إمّا قائم بالأقلّ أو الأكثر ، أو هو مع شيء آخر لا نعلمه ، لا يمكن أن يكون منجّزاً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وقريب ممّا ذكرنا ما أفاد الشيخ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دخالة قصد الوجه أو التميّز في المأمور به ، ويكون دخيلاً في سقوط الغرض ، والمكلّف لا يقدر على إتيانه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291" w:name="pg12132_128036"/>
    </w:p>
    <w:p>
      <w:pPr>
        <w:pStyle w:val="BookText"/>
        <w:rPr/>
      </w:pPr>
      <w:bookmarkEnd w:id="291"/>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إذا كان بعض أطرافه غير مقدور من أوّل الأمر لا يكون منجّزاً ، وما نحن فيه كذلك ؛ فإنّا نعلم بأنّ الغرض إمّا قائم بالأكثر ، أو الأقلّ مطلقاً ، أو مع قصد الوجه والتميّز تفصيلاً ، ومعلوم أ نّه غير مقدور من أوّل الأمر ، فلا يكون العلم الكذائي منجّزاً ، تأ مّل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3352758_417432637"/>
      <w:bookmarkStart w:id="293" w:name="_Toc100"/>
      <w:bookmarkEnd w:id="292"/>
      <w:r>
        <w:rPr>
          <w:rtl w:val="true"/>
        </w:rPr>
        <w:t xml:space="preserve">الإشكال السابع </w:t>
      </w:r>
      <w:r>
        <w:rPr>
          <w:rtl w:val="true"/>
        </w:rPr>
        <w:t>:</w:t>
      </w:r>
      <w:bookmarkEnd w:id="293"/>
    </w:p>
    <w:p>
      <w:pPr>
        <w:pStyle w:val="BookText"/>
        <w:rPr/>
      </w:pPr>
      <w:r>
        <w:rPr>
          <w:rFonts w:ascii="Amiri" w:hAnsi="Amiri" w:eastAsia="Amiri" w:cs="Amiri"/>
          <w:color w:val="111111"/>
          <w:sz w:val="28"/>
          <w:sz w:val="28"/>
          <w:szCs w:val="28"/>
          <w:rtl w:val="true"/>
          <w:lang w:bidi="ar-SA"/>
        </w:rPr>
        <w:t>ما يختصّ بالواجبات التعبّدية ، وهو أنّ الواجب فيها قصد التقرّب ، ولا يحصل إلاّ بقصد إتيان ما هو تكليف نفسي للمولى ؛ إذ الواجبات الغيرية لا يتأتّى فيها قصد التقرّب ، فيجب من جهة حصول هذا المعنى المبيّن إتيان الأكثر ، وقصد التقرّب بما هو واجب في الواقع</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شيخنا الاُستاذ رحمه الله علیه </w:t>
      </w:r>
      <w:r>
        <w:rPr>
          <w:rStyle w:val="FootnoteAnchor"/>
          <w:rtl w:val="true"/>
        </w:rPr>
        <w:footnoteReference w:id="337"/>
      </w:r>
      <w:r>
        <w:rPr>
          <w:rFonts w:ascii="Amiri" w:hAnsi="Amiri" w:eastAsia="Amiri" w:cs="Amiri"/>
          <w:color w:val="111111"/>
          <w:sz w:val="28"/>
          <w:sz w:val="28"/>
          <w:szCs w:val="28"/>
          <w:rtl w:val="true"/>
          <w:lang w:bidi="ar-SA"/>
        </w:rPr>
        <w:t xml:space="preserve">بما لا يخلو من إشكال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المعتبر في العبادات هو أن يكون العبد متحرّكاً بتحريك الأمر ، ويكون الأمر باعثاً فعلياً نحو المتعلّق ، أو يكون متحرّكاً بداعي العبودية ، ولا يكون الداعي في إتيانه أغراضه النفسانية ، لا بأن يكون قصد الأمر والامتثال والتقرّب وأمثالها منظوراً إليها بالحمل الأوّلي ، بل حقيقة الامتثال ليست إلاّ كون الأمر داعياً وبه يحصل التقرّب ، ويصير العبد ممتازاً عن غيره ممّن لا تحرّكه أوامر الموالي ، هذا أصل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عرفت</w:t>
      </w:r>
      <w:r>
        <w:rPr>
          <w:rStyle w:val="FootnoteAnchor"/>
          <w:rtl w:val="true"/>
        </w:rPr>
        <w:footnoteReference w:id="338"/>
      </w:r>
      <w:r>
        <w:rPr>
          <w:rFonts w:ascii="Amiri" w:hAnsi="Amiri" w:eastAsia="Amiri" w:cs="Amiri"/>
          <w:color w:val="111111"/>
          <w:sz w:val="28"/>
          <w:sz w:val="28"/>
          <w:szCs w:val="28"/>
          <w:rtl w:val="true"/>
          <w:lang w:bidi="ar-SA"/>
        </w:rPr>
        <w:t xml:space="preserve">أنّ المركّب العبادي عبارة عن أجزاء وشرائط في لحاظ الوحدة ، ويكون الأمر الداعي إلى نفس المركّب داعياً إلى الأجزاء والشرائط لا بداعوية اُخرى ، بل بداعوية نفس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أصل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عرفتهما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الآتي بالأقلّ القائل بالبراءة ، والآتي بالأكثر القائل بالاشتغال كليهما متحرّكان بتحريك الأمر المتعلّق بالمركّب ، فإذا سئل منهما ما محرّككما في إتيان هذا الموجود الخارجي ؟ أجابا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الصَّلَوةَ </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وأمثاله ، فإتيانهما للأجزاء المعلومة يكون بداعوية الأمر المتعلّق بالمركّب ، من غير فرق بينهما من هذه الجهة أصلاً ، وإنّما يفترقان في أنّ القائل بالبراءة لا يرى نفسه مكلّفاً بإتيان الجزء المشكوك فيه ، بخلاف القائل بالاشتغال ، وهذا لا يصير فارقاً فيما هما مشتركان فيه ، وهو الإتيان بالأجزاء المعلومة بداعوية الأمر المتعلّق بالمركّب</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الأصل العقلي </w:t>
      </w:r>
      <w:r>
        <w:rPr>
          <w:rFonts w:eastAsia="Amiri" w:cs="Amiri" w:ascii="Amiri" w:hAnsi="Amiri"/>
          <w:color w:val="111111"/>
          <w:sz w:val="28"/>
          <w:szCs w:val="28"/>
          <w:rtl w:val="true"/>
          <w:lang w:bidi="ar-SA"/>
        </w:rPr>
        <w:t xml:space="preserve">. </w:t>
      </w:r>
      <w:bookmarkStart w:id="294" w:name="pg12132_128038"/>
    </w:p>
    <w:p>
      <w:pPr>
        <w:pStyle w:val="Heading2"/>
        <w:numPr>
          <w:ilvl w:val="1"/>
          <w:numId w:val="1"/>
        </w:numPr>
        <w:rPr/>
      </w:pPr>
      <w:bookmarkStart w:id="295" w:name="__RefHeading___Toc3352760_417432637"/>
      <w:bookmarkStart w:id="296" w:name="_Toc101"/>
      <w:bookmarkEnd w:id="294"/>
      <w:bookmarkEnd w:id="295"/>
      <w:r>
        <w:rPr>
          <w:rtl w:val="true"/>
        </w:rPr>
        <w:t>جريان البراءة الشرعية في المقام</w:t>
      </w:r>
      <w:bookmarkEnd w:id="296"/>
    </w:p>
    <w:p>
      <w:pPr>
        <w:pStyle w:val="BookText"/>
        <w:rPr/>
      </w:pPr>
      <w:r>
        <w:rPr>
          <w:rFonts w:ascii="Amiri" w:hAnsi="Amiri" w:eastAsia="Amiri" w:cs="Amiri"/>
          <w:color w:val="111111"/>
          <w:sz w:val="28"/>
          <w:sz w:val="28"/>
          <w:szCs w:val="28"/>
          <w:rtl w:val="true"/>
          <w:lang w:bidi="ar-SA"/>
        </w:rPr>
        <w:t xml:space="preserve">وأمّا الأصل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 مثل حديث الرفع</w:t>
      </w:r>
      <w:r>
        <w:rPr>
          <w:rStyle w:val="FootnoteAnchor"/>
          <w:rtl w:val="true"/>
        </w:rPr>
        <w:footnoteReference w:id="341"/>
      </w:r>
      <w:r>
        <w:rPr>
          <w:rFonts w:ascii="IRNazanin" w:hAnsi="IRNazanin" w:eastAsia="IRNazanin"/>
          <w:color w:val="111111"/>
          <w:sz w:val="28"/>
          <w:sz w:val="28"/>
          <w:szCs w:val="28"/>
          <w:rtl w:val="true"/>
          <w:lang w:bidi="fa-IR"/>
        </w:rPr>
        <w:t>والحجب</w:t>
      </w:r>
      <w:r>
        <w:rPr>
          <w:rStyle w:val="FootnoteAnchor"/>
          <w:rtl w:val="true"/>
        </w:rPr>
        <w:footnoteReference w:id="342"/>
      </w:r>
      <w:r>
        <w:rPr>
          <w:rFonts w:ascii="Amiri" w:hAnsi="Amiri" w:eastAsia="Amiri" w:cs="Amiri"/>
          <w:color w:val="111111"/>
          <w:sz w:val="28"/>
          <w:sz w:val="28"/>
          <w:szCs w:val="28"/>
          <w:rtl w:val="true"/>
          <w:lang w:bidi="ar-SA"/>
        </w:rPr>
        <w:t xml:space="preserve">ممّا لا مانع منه بناءً على ما ذكرنا من انحلال العلم الإجمالي ، وكون الجزء أو الشرط الزائد مشكوكاً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شأن حديث الرفع في مشكوك الجزئية هو الرفع التعبّدي ، ومعناه البناء على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 جزءاً للمركّب ، فالآتي بسائر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يأتي بها بداعوية الأمر المتعلّق بالمركّب الداعي إلى الأجزاء ، ويعمل مع الجزء المشكوك فيه بواسطة حديث الرفع عمل من يرى عدم جزئيته ؛ من الاكتفاء بسائر الأجزاء وعدم الإتيان بالمشكوك فيه ، من غير احتياج إلى إثبات كون الأجزاء تمام المأمور به أو مصداقاً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أتى بما هو المعلوم وترك ما هو المرفوع بحديث الرفع يكون مأموناً من العقاب ، ولكن كون البقيّة هو المأمور به لا يمكن إثباته بحديث الرفع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إثبات كونها مصداقاً للمأمور به الواقعي ؛ فلأنّ حديث الرفع لا يتكفّل رفع الجزئية واقعاً ، ولا يكون مخصّصاً للأوامر الواقعية ، فضلاً عن الدلالة على تعيين ما هو المأمور به واقعاً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التعبّد بكونها هو المأمور به ، فلأنّ الحديث لا يتكفّل إلاّ تعبّداً واحداً هو التعبّد بنفي الجزئية ، وأمّا التعبّد بكون البقيّة حالها ما هو فلا ، وهذا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يظهر النظر فيما أفاده المحقّق الخراساني رحمه الله علیه من كون نسبة الحديث إلى الأدلّة الدالّة على بيان الأجزاء نسبة الاستثناء ، وهو معها يكون دالاًّ على جزئيتها إلاّ مع الجهل</w:t>
      </w:r>
      <w:r>
        <w:rPr>
          <w:rStyle w:val="FootnoteAnchor"/>
          <w:rtl w:val="true"/>
        </w:rPr>
        <w:footnoteReference w:id="343"/>
      </w:r>
      <w:r>
        <w:rPr>
          <w:rFonts w:ascii="Amiri" w:hAnsi="Amiri" w:eastAsia="Amiri" w:cs="Amiri"/>
          <w:color w:val="111111"/>
          <w:sz w:val="28"/>
          <w:sz w:val="28"/>
          <w:szCs w:val="28"/>
          <w:rtl w:val="true"/>
          <w:lang w:bidi="ar-SA"/>
        </w:rPr>
        <w:t xml:space="preserve">؛ ضرورة أنّ حديث الرفع لا يكون مخصّصاً للأحكام الواقعية ، وإنّما هو حكم ظاهري تعبّدي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لا يكون مثبتاً لكون البقيّة مصداق المأمور به وتمام متعلّق الأمر</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 الإمام الخميني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التقابل بين الإطلاق والتقييد ليس تقابل التضادّ ؛ لكي يكون إثبات أحد الضدّين برفع الآخر من الأصل المثبت ، بل التقابل بينهما تقابل العدم والملكة ، وليس الإطلاق إلاّ عبارة عن عدم لحاظ القيد ، فحديث الرفع بمدلوله المطابقي يدلّ على إطلاق الأمر بالأقلّ وعدم قيدية الزائد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هذا ما أفاده بعض أعاظم العصر رحمه الله علیه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نحن فيه من قبيل الإطلاق والتقييد فيما إذا كان الشكّ في </w:t>
      </w:r>
    </w:p>
    <w:p>
      <w:pPr>
        <w:pStyle w:val="BookText"/>
        <w:rPr/>
      </w:pPr>
      <w:r>
        <w:rPr>
          <w:rFonts w:ascii="Amiri" w:hAnsi="Amiri" w:eastAsia="Amiri" w:cs="Amiri"/>
          <w:color w:val="111111"/>
          <w:sz w:val="28"/>
          <w:sz w:val="28"/>
          <w:szCs w:val="28"/>
          <w:rtl w:val="true"/>
          <w:lang w:bidi="ar-SA"/>
        </w:rPr>
        <w:t xml:space="preserve">الجزئية ، فإنّ الشكّ في أنّ المركّب ذو تسعة أجزاء أو عشرة ، لا أنّ التسعة مطلقاً تكون مأموراً بها أو مقيّدة بالعاشرة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إرجاع الشكّ إليه بالعرض ، ولكنّه لا يعتنى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عبارة عن كون الشيء تمام الموضوع للأمر من غير دخالة شيء معه ، وسلب الجزئية لا يثبت كون البقيّة تمام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تقابل العدم والملكة في قوّة تقابل الضدّين من هذه الجهة ؛ فإنّ سلب الجزئية لا يثبت عدم التقييد عمّا من شأنه كذلك ، وليس الإطلاق باعترافه عبارة عن السلب المطلق حتّى يكون سلب الجزئية مساوقاً له ، ويكون المدلول المطابقي لحديث الرفع هو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يدّعى أنّ رفع الوجوب عن جزء المركّب بعد فرض وجوب الباقي ، يفهم منه عرفاً أنّ الباقي واجب نفسي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علیه السلام في خبر عبد الأعلى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هذا وأشباهه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امسح على المرارة</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 حيث إنّ الإمام علیه السلام دلّنا على أنّ المدلول العرفي للقضيّة رفع ما يكون حرجاً ، وهو مباشرة اليد الماسحة للبشرة الممسوحة ، وإثبات الباقي وهو أصل المسح ، وهاهنا نقول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المجهول مرفوع ، والتكليف ثابت في الباقي بمدلول قضيّة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ما أفاده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لم يتّضح أنّ مراده علیه 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وأشباهه يعرف من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على المرارة أيضاً يعرف منه ، ولعلّ ما يعرف منه هو رفع المسح عن البشرة لا إثباته على المرارة ؛ فإنّ العرف لا يفهم هذا من كتاب اللّه كما يتّضح بالرجوع إلى الوجدان ، وليس المسح على المرارة ميسور المسح على البشرة حتّى يدّعى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ارتكازية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من الأحكام الانحلالية عرفاً من أصل المسح ومباشرة الماسح للممسوح حتّى يرفع أحدهما ويبقى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العرف يفهم ذلك ، لكن لا يفهم أنّ الوجوب المتعلّق بالباقي وجوب نفسي إلاّ بالملازمة العقلية ، فإنّ كون بقيّة الأجزاء واجبة أمر ، وكونها تمام المكلّف به ومصداقه أمر آخر لا يمكن إثباته بحديث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 من حديث الرفع ليس إلاّ رفع جزئية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بالصلاة يدعو إلى بقيّة الأجزاء وأ نّها واجبة ، وأمّا كونها تمام المأمور به أو كونها واجباً نفسياً فلا يفهم منهما إلاّ بالملازمة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يدلّ على الرفع التعبّدي للجزء ولو برفع منشئه ، والأمر بالمركّب يدلّ على وجوب الأجزاء المعلومة بعين وجوب الكلّ ، والمكلّف إذا أتى بها فهو في أمن من العقاب ، وغنىً عن إثبات </w:t>
      </w:r>
    </w:p>
    <w:p>
      <w:pPr>
        <w:pStyle w:val="BookText"/>
        <w:rPr/>
      </w:pPr>
      <w:r>
        <w:rPr>
          <w:rFonts w:ascii="Amiri" w:hAnsi="Amiri" w:eastAsia="Amiri" w:cs="Amiri"/>
          <w:color w:val="111111"/>
          <w:sz w:val="28"/>
          <w:sz w:val="28"/>
          <w:szCs w:val="28"/>
          <w:rtl w:val="true"/>
          <w:lang w:bidi="ar-SA"/>
        </w:rPr>
        <w:t xml:space="preserve">كونها تمام المكلّف به ، أو كونها واجباً نفسياً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ما ذكرنا من انحلال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عدمه فيشكل جريان حديث الرفع ، سواء قلنا بأنّ الأجزاء واجبات عقلية من باب المقدّمة ، أو شرعية كذلك ، أو شرعية بالوجوب الضمني ؛ فإنّ رفع الوجوب النفسي عن الأكثر معارض برفع الوجوب النفسي عن الأقلّ ، ورفع جزئية الجزء لا معنى له على مذهبهم إلاّ رفع منشئه ، فإنّ الجزء غير مجعول إلاّ بالعرض ، ومعنى المجعولية العرضية هو انتساب الجعل إليه ثانياً وبالمجاز ، وإلاّ فلا جعل إلاّ للوجوب المتعلّق بالمركّب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المركّب هو المأمور به والأجزاء أجزاءه ، ككون المتكلّم آمراً والمكلّف مأموراً ، فهي اُمور انتزاعية غير متعلّقة للجعل أصلاً ، ومثل هذا المجعول المجازي غير قابل للرفع إلاّ برفع ما هو مجعول حقيقة ، والمجعول ليس إلاّ الوجوب النفسي المتعلّق بالأكثر ، وهو معارَض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رفع وجوب الجزء ، فبناءً على وجوبه العقلي فلا معنى لرفعه ، وبناءً على وجوبه الشرعي المقدّمي ، فحيث كان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للملازمة العقلية بين وجوب الشيء ووجوب ما يتوقّف عليه ، لا يكون جريان الحديث في السبب رافعاً للشكّ في المسبّب إلاّ بالأصل المثبت ، وبناءً عليه يكون جريان الحديث في عرض واحد بالنسبة إلى الوجوب النفسي في الأقلّ والنفسي في الأكثر والغيري للجزء ، فتتعارض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رفع الوجوب عن الجزء ممّا لا ينحلّ به العلم الإجمالي المتعلّق بالأقلّ والأكثر ، ولا يثبت به رفع الوجوب عن الأكثر حتّى ينحلّ العلم </w:t>
      </w:r>
      <w:r>
        <w:rPr>
          <w:rFonts w:eastAsia="Amiri" w:cs="Amiri" w:ascii="Amiri" w:hAnsi="Amiri"/>
          <w:color w:val="111111"/>
          <w:sz w:val="28"/>
          <w:szCs w:val="28"/>
          <w:rtl w:val="true"/>
          <w:lang w:bidi="ar-SA"/>
        </w:rPr>
        <w:t xml:space="preserve">. </w:t>
      </w:r>
      <w:bookmarkStart w:id="297" w:name="pg12132_128043"/>
    </w:p>
    <w:p>
      <w:pPr>
        <w:pStyle w:val="Heading2"/>
        <w:numPr>
          <w:ilvl w:val="1"/>
          <w:numId w:val="1"/>
        </w:numPr>
        <w:rPr/>
      </w:pPr>
      <w:bookmarkStart w:id="298" w:name="__RefHeading___Toc3352762_417432637"/>
      <w:bookmarkStart w:id="299" w:name="_Toc102"/>
      <w:bookmarkEnd w:id="297"/>
      <w:bookmarkEnd w:id="298"/>
      <w:r>
        <w:rPr>
          <w:rtl w:val="true"/>
        </w:rPr>
        <w:t>دوران الأمر بين المطلق والمشروط</w:t>
      </w:r>
      <w:bookmarkEnd w:id="29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ظهر ممّا مرّ حال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دوران الأمر بين المطلق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منشأ انتزاع الشرطية أمراً مبايناً للمشروط في الوجود كالطهارة في الصلاة ، أو أمراً متّحداً معه كالإيمان في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هو الكلام في الأقلّ والأكثر في المركّبات من جريان البراءة العقلية بالنسبة إلى الشرط المشكوك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إذا كان المنشأ أمراً مبايناً فظاهر ؛ فإنّ داعوية الأمر إلى ذات المقيّد معلومة تفصيلاً ؛ سواء تعلّق الأمر بها من غير اشتراط أو تعلّق بها مشروطة ، والتقيّد والاشتراط مشكوك فيه ، أو القيد والشرط مشكوك فيه ، ومورد جريان البراءة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إذا كان المنشأ أمراً متّحداً معه كالإيمان بالنسبة إلى الرقبة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هو الاحتياط ؛ لرجوع الدوران بين المطلق والمقيّد فيه إلى المتباينين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توضيحه يتوقّف على بيان مقدّمتين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الانحلال هو صيرورة بعض الأطراف معلوماً تفصيلاً ، وبعض آخر مشكوكاً فيه بالشكّ البدوي ، كالدوران بين الأقلّ والأكثر في الأجزاء كما عرفت</w:t>
      </w:r>
      <w:r>
        <w:rPr>
          <w:rStyle w:val="FootnoteAnchor"/>
          <w:rtl w:val="true"/>
        </w:rPr>
        <w:footnoteReference w:id="351"/>
      </w:r>
      <w:r>
        <w:rPr>
          <w:rFonts w:ascii="Amiri" w:hAnsi="Amiri" w:eastAsia="Amiri" w:cs="Amiri"/>
          <w:color w:val="111111"/>
          <w:sz w:val="28"/>
          <w:sz w:val="28"/>
          <w:szCs w:val="28"/>
          <w:rtl w:val="true"/>
          <w:lang w:bidi="ar-SA"/>
        </w:rPr>
        <w:t xml:space="preserve">ففيما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الدوران بين المطلق والمقيّد </w:t>
      </w:r>
    </w:p>
    <w:p>
      <w:pPr>
        <w:pStyle w:val="BookText"/>
        <w:rPr/>
      </w:pPr>
      <w:r>
        <w:rPr>
          <w:rFonts w:ascii="Amiri" w:hAnsi="Amiri" w:eastAsia="Amiri" w:cs="Amiri"/>
          <w:color w:val="111111"/>
          <w:sz w:val="28"/>
          <w:sz w:val="28"/>
          <w:szCs w:val="28"/>
          <w:rtl w:val="true"/>
          <w:lang w:bidi="ar-SA"/>
        </w:rPr>
        <w:t xml:space="preserve">المتّحدين في الوجود ، كالرقبة والرقبة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الانحلال من الرجوع إلى العلم التفصيلي بوجوب مطلق الرقبة ولو في ضمن الكافرة ، والشكّ في اعتبار كونها مؤمنة ، ولو لم يرجع إلى ذلك لا يمكن القول بالانحلال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في باب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في الخارج إنّما يتحقّق بنعت الكثرة والتباين ؛ بمعنى أ نّه ليس للأفراد جامع في الخارج ، وإنّما الجامع أمر عقلي ذهني لا الخارجي ، وإلاّ لزم قول الرجل الهمداني المصادف للشيخ الرئيس في مدينة همدان</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الكلّي بنعت الوحدة موجوداً في الخارج ، فالرقبة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الرقبة الكافرة مباينة لها في ضمن الرقبة المؤمنة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يتّضح لك عدم الانحلال ؛ فإنّ الرقبة المطلقة بما أ نّها جامعة بين الطرفين لم تتحقّق في الخارج ، وإنّما المتحقّق فيه الرقبة المؤمنة خاصّة ، والرقبة الكافرة خاصّة ، وهما متباينتان ، فالأمر دائر بين المتباينين ، فيجب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تقريب القول بالاحتياط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مدفوع ؛ لوقوع الخلط في المقدّمة الثانية ؛ فإنّ التحقيق في باب الكلّي الطبيعي هو أ نّه موجود في الخارج بنفس ذاته ، ولكن بنعت الكثرة لا التباين ؛ فإنّ الطبيعي هو نفس المهية ، وهي موجودة بتبع الوجود في الخارج ، وحيث إنّها لم تكن بذاتها واحدة ولا كثيرة ولا كلّية ولا جزئية ، تكون مع الواحد </w:t>
      </w:r>
    </w:p>
    <w:p>
      <w:pPr>
        <w:pStyle w:val="BookText"/>
        <w:rPr/>
      </w:pPr>
      <w:r>
        <w:rPr>
          <w:rFonts w:ascii="Amiri" w:hAnsi="Amiri" w:eastAsia="Amiri" w:cs="Amiri"/>
          <w:color w:val="111111"/>
          <w:sz w:val="28"/>
          <w:sz w:val="28"/>
          <w:szCs w:val="28"/>
          <w:rtl w:val="true"/>
          <w:lang w:bidi="ar-SA"/>
        </w:rPr>
        <w:t xml:space="preserve">واحدة ومع المتكثّر متكثّرة ، فيكون الطبيعي موجوداً مع كلّ فرد بتمام ذاته ، ويكون متكثّراً بتكثّر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فزيد إنسان ، وعمرو إنسان آخر ، وبكر إنسان ثالث ، لا أ نّها متباينات من حيثية الإنسانية ، فالحقيقة الإنسانية تتكثّر بتكثّر الأفراد ، لا أ نّها متباينة كما زعم القائل في المقدّمة الثانية ، ولا أ نّها واحدة بالوحدة العددية كما زعم الرجل الهمداني ، فالطبيعي في الخارج موجود بنفس ذاته مع كلّ فرد ، والكثرة والوحدة في الخارج والعقل خارجتان عن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الرقبة المؤمنة في الخارج ينطبق عليها العنوانان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الرقبة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المؤمنة ، فهي مصداق لمفهومين ، كما أنّ الرقبة الكافرة مصداق 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الرقبة ، وطبيعي الكافرة ، فهما في مصداقيتهما للرقبة لا افتراق بينهما ، فالرقبة المؤمنة مصداق الرقبة ، وكذا الكافرة أيضاً مصداقها ، وليستا بمتباينتين مع كونهما رقبتين ، وإنّما افتراقهما من جهات اُخرى ، ككون إحداهما مصداق المؤمنة ، والاُخرى مصداق الكافرة ، وإحداهما متشخّصة بتشخّص خاصّ غير الاُخرى ، وأمّا في مصداقيتهما لطبيعي الرقبة فلا افتراق بينهما ؛ بمعنى أ نّهما مصداقان للرقبة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أمر المولى بعتق مردّد بين طبيعي الرقبة والرقبة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الطبيعي مع قيد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طبيعي الرقبة موضوعاً للأمر ، والأمر داعياً إليه ، غايته أ نّه إذا كان المأمور به بحسب الواقع هو الرقبة المؤمنة لا ينطبق على الرقبة الكافرة ، كما أنّ الأمر كذلك في باب الأقلّ والأكثر في جميع الموارد ، وعدم انطباق المأمور به عليها ليس لأجل عدم انطباق الرقبة عليها ، بل لأجل عدم انطباق </w:t>
      </w:r>
    </w:p>
    <w:p>
      <w:pPr>
        <w:pStyle w:val="BookText"/>
        <w:rPr/>
      </w:pPr>
      <w:r>
        <w:rPr>
          <w:rFonts w:ascii="Amiri" w:hAnsi="Amiri" w:eastAsia="Amiri" w:cs="Amiri"/>
          <w:color w:val="111111"/>
          <w:sz w:val="28"/>
          <w:sz w:val="28"/>
          <w:szCs w:val="28"/>
          <w:rtl w:val="true"/>
          <w:lang w:bidi="ar-SA"/>
        </w:rPr>
        <w:t xml:space="preserve">القيد عليها ، فالأمر يكون حجّة على الرقبة تفصيلاً ، والقيد مشكوك فيه ، فإذا أتى المأمور بالرقبة الكافرة أتى بما قامت الحجّة عليه ، وما لم يأت به لم يقم حجّة عليه ، فتجري البراءة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الحال في المركّبات التحليلية مطلقاً ، سواء كانت بسائط خارجية كالبياض والسواد المنحلّين إلى اللون المُفرّق أو القابض للبصر ، أو لا كالإنسان المنحلّ عقلاً إلى الحيوان الناطق ، فإنّهما لم يكونا من الأجزاء الخارجية للمحدود ، بل هما من أجزاء الحدّ ، وإن كان مأخذهما المادّة والصورة بوجه ، على ما هو المقرّر في مقارّه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منهما بعض الأصناف والأشخاص المنحلّين في العقل إلى المهية والعوارض المصنّفة ، والمهية والشخصية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توقّف اعتبار الخصوصية الزائدة المشكوك فيها على مؤنة زائدة ثبوتاً وإثباتاً ، كبعض الألوان والروائح والطعوم التي لم يوضع بإزائها لفظ خاصّ ، بل تعرف بإضافتها إلى أمر خارج ، كاللون الفستقي والطرنجي ، ورائحة المسك والجلاب ، أو لا كالبياض والسواد والإنسان ، ففي جميعها تجري البراءة عن الخصوصية الزائدة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دار الأمر بين صبغ ثوب المولى بمطلق اللون أو الأسود ، يكون مطلق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اللا بشرط المنطبق على الأسود وغيره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تفصيلاً ، وخصوصية الأسودية مشكوك فيها ، فاللون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p>
    <w:p>
      <w:pPr>
        <w:pStyle w:val="BookText"/>
        <w:rPr/>
      </w:pPr>
      <w:r>
        <w:rPr>
          <w:rFonts w:ascii="Amiri" w:hAnsi="Amiri" w:eastAsia="Amiri" w:cs="Amiri"/>
          <w:color w:val="111111"/>
          <w:sz w:val="28"/>
          <w:sz w:val="28"/>
          <w:szCs w:val="28"/>
          <w:rtl w:val="true"/>
          <w:lang w:bidi="ar-SA"/>
        </w:rPr>
        <w:t xml:space="preserve">مصداق طبيعي اللون ، ولا افتراق في مصداقيته له بينه وبين سائر الألوان ، فيكون متيقّناً والخصوصية الزائدة مورد البراءة ، وهكذا سائر الأمثلة والموارد من غير فرق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جريان البراءة موجود في جميع الموارد المتقدّمة ، فإنّ جميع الأمثلة في الوجود الخارجي موجودة بوجود واحد ، وفي الانحلال العقلي تنحلّ إلى المعلوم والمشكوك فيه ، فالصلاة المشروطة بالطهارة عين الصلاة في الخارج ، كما أنّ الرقبة المؤمنة عين مطلقها فيه ، والإنسان عين الحيوان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وإنّما الافتراق في التحليل العقلي ، وهو أيضاً في جميعها على السواء ، فكما تنحلّ الصلاة المشروطة بالصلاة والاشتراط ، كذا ينحلّ الإنسان بالحيوان والناطق ، ففي جريان البراءة وعدم تمامية الحجّة بالنسبة إلى الزائد لا فرق بين جميع الموارد ، وإنّما الاختلاف في وضوح الأمر وخفائه ، وهو صار منشأً للاشتباه والتفصيل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أفاده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الترديد بين الجنس والنوع وإن كان يرجع بالتحليل العقلي إلى الأقلّ والأكثر ، إلاّ أ نّه خارجاً بنظر العرف يكون من الترديد بين المتباينين ؛ لأنّ الإنسان بما له من المعنى المرتكز في الذهن مباين للحيوان عرفاً ، فلو علم إجمالاً بوجوب إطعام الإنسان أو الحيوان ، فاللازم هو الاحتياط بإطعام خصوص الإنسان ؛ لأنّ نسبة حديث الرفع إلى كلّ من وجوب إطعام الإنسان والحيوان على حدّ سواء ، وأصالة البراءة في كلٍّ منهما تجري وتسقط بالمعارضة مع الاُخرى ، فيبقى العلم الإجمالي على حاله ، ولا بدّ من العلم بالخروج من عهدة التكليف ، ولا يحصل </w:t>
      </w:r>
    </w:p>
    <w:p>
      <w:pPr>
        <w:pStyle w:val="BookText"/>
        <w:rPr/>
      </w:pPr>
      <w:r>
        <w:rPr>
          <w:rFonts w:ascii="Amiri" w:hAnsi="Amiri" w:eastAsia="Amiri" w:cs="Amiri"/>
          <w:color w:val="111111"/>
          <w:sz w:val="28"/>
          <w:sz w:val="28"/>
          <w:szCs w:val="28"/>
          <w:rtl w:val="true"/>
          <w:lang w:bidi="ar-SA"/>
        </w:rPr>
        <w:t xml:space="preserve">ذلك إلاّ بإطعام خصوص الإنسان ؛ لأ نّه جمع بين الأمرين ؛ فإنّ إطعام الإنسان يستلزم إطعام الحيوان أيضاً </w:t>
      </w:r>
      <w:r>
        <w:rPr>
          <w:rStyle w:val="FootnoteAnchor"/>
          <w:rtl w:val="true"/>
        </w:rPr>
        <w:footnoteReference w:id="35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من غريب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الإنسان والحيوان وإن كانا بنظر العرف من قبيل المتباينين ، لكن ليس جميع موارد الترديد بين النوع والجنس كذلك ، كما إذا دار الأمر بين الحيوان والفرس ، فإنّهما ليسا بنظرهم من قبيل المتباينين ، أو دار الأمر بين مطلق اللون واللون الأبيض ، أو مطلق الرائحة ورائحة المسك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إشكاله يرجع إلى المناقشة في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الدوران بين الإنسان والحيوان لو كان من قبيل المتباينين ، لا بدّ من الجمع بين إطعامهما في مقام الامتثال ، ولا معنى لما ذكره من أنّ طريق الاحتياط إنّما هو بإطعام الإنسان ؛ لأنّ إطعامه يستلزم إطعام الحيوان ، وهل هذا إلاّ مناقضة في المقال</w:t>
      </w:r>
      <w:r>
        <w:rPr>
          <w:rStyle w:val="FootnoteAnchor"/>
          <w:rtl w:val="true"/>
        </w:rPr>
        <w:footnoteReference w:id="3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يتّضح النظر في مقالة المحقّق الخراساني رحمه الله علیه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الصلاة المشروطة أو الخاصّة موجودة بعين وجودها ، وفي ضمن صلاة اُخرى فاقدة لشرطها وخصوصيتها تكون مباينة للمأمور بها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فإنّك قد عرفت</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تكثّر المهية اللا بشرط بتكثّر الأفراد واتّحادها معها في الوجود ، غيرُ تباينها في كلّ فرد فرد ؛ فإنّ التباين بين الخصوصيات لا يجعل المهية المتّحدة مع كلّ فرد وخصوصية متباينة مع الاُخرى ؛ فإنّ الإنسان بحكم كونه مهية لا بشرط شيء غير مرهون بالوحدة والكثرة ، وهو مع الكثير كثير ، فهو بتمام حقيقته متّحد مع كلّ خصوصية ، فالإنسان متكثّر غير متباين مع الكثرة ، فافهم ؛ فإنّه دقيق جدّاً ، وقلّما يتّفق الوصول إلى مغزاه إلاّ للأوحدي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صدر كلام المحقّق الخراساني وذيله من تهافت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أمران </w:t>
      </w:r>
      <w:r>
        <w:rPr>
          <w:rFonts w:eastAsia="Amiri" w:cs="Amiri" w:ascii="Amiri" w:hAnsi="Amiri"/>
          <w:color w:val="111111"/>
          <w:sz w:val="28"/>
          <w:szCs w:val="28"/>
          <w:rtl w:val="true"/>
          <w:lang w:bidi="ar-SA"/>
        </w:rPr>
        <w:t xml:space="preserve">: </w:t>
      </w:r>
      <w:bookmarkStart w:id="300" w:name="pg12132_128050"/>
    </w:p>
    <w:p>
      <w:pPr>
        <w:pStyle w:val="Heading2"/>
        <w:numPr>
          <w:ilvl w:val="1"/>
          <w:numId w:val="1"/>
        </w:numPr>
        <w:rPr/>
      </w:pPr>
      <w:bookmarkStart w:id="301" w:name="__RefHeading___Toc3352764_417432637"/>
      <w:bookmarkStart w:id="302" w:name="_Toc103"/>
      <w:bookmarkEnd w:id="300"/>
      <w:bookmarkEnd w:id="301"/>
      <w:r>
        <w:rPr>
          <w:rtl w:val="true"/>
        </w:rPr>
        <w:t xml:space="preserve">الأمر الأوّل </w:t>
      </w:r>
      <w:r>
        <w:rPr>
          <w:rtl w:val="true"/>
        </w:rPr>
        <w:t xml:space="preserve">: </w:t>
      </w:r>
      <w:r>
        <w:rPr>
          <w:rtl w:val="true"/>
        </w:rPr>
        <w:t>في دوران الأمر بين الأقلّ والأكثر في الأسباب والمحصّلات</w:t>
      </w:r>
      <w:bookmarkEnd w:id="302"/>
    </w:p>
    <w:p>
      <w:pPr>
        <w:pStyle w:val="BookText"/>
        <w:rPr/>
      </w:pPr>
      <w:r>
        <w:rPr>
          <w:rFonts w:ascii="Amiri" w:hAnsi="Amiri" w:eastAsia="Amiri" w:cs="Amiri"/>
          <w:color w:val="111111"/>
          <w:sz w:val="28"/>
          <w:sz w:val="28"/>
          <w:szCs w:val="28"/>
          <w:rtl w:val="true"/>
          <w:lang w:bidi="ar-SA"/>
        </w:rPr>
        <w:t>الأمر الأوّل في دوران الأمر بين الأقلّ والأكثر في الأسباب والمحصّلات</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فلو علمنا باشتراط الصلاة بالطهر ، وشككنا في حصوله بالمسحتين والغسلتين مطلقاً ، أو مع شرط أو كيفية خاصّة ، لكان الأمر في المحصّل دائراً بين الأقلّ والأكثر لا في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إشكال في عدم جريان البراءة ، من غير فرق بين كون العنوان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مراتب متفاوتة متدرّج الحصول ، وبين كونه دفعي الحصول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بحصول الطهارة في الغسل تدريجاً ، لكن شككنا في أنّ هذه الحقيقة المتدرّجة الوجود هل تحصل بمطلق الغسل ، أو يشرط بأمر آخر كقصد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تقديم بعض الأجزاء على البعض ، فلا إشكال في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تقريرات بعض المحقّقين من التفصيلأ خلط وخروج عن محطّ النزاع على فرض ، وهو فرض الشكّ في المأمور به بين الأقلّ والأكثر ، وخلاف التحقيق على فرض آخر ، وهو فرض معلومية المأمور به والشكّ في محصِّله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تفصيله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التفصيل بين كون العلم الإجمالي مقتضياً أو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لأنّ الاشتغال اليقيني بعنوان معلوم بالتفصيل يقتضي البراءة اليقينية ، وليس المقام من قبيل العلم الإجمالي في المأمور به حتّى يأتي فيه ما ذكر ، والعلم الإجمالي في المحصّل عين الشكّ في البراءة ، لا الشكّ في مقدار الاشتغال ، فراجع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bookmarkStart w:id="303" w:name="pg12132_128051"/>
    </w:p>
    <w:p>
      <w:pPr>
        <w:pStyle w:val="Heading2"/>
        <w:numPr>
          <w:ilvl w:val="1"/>
          <w:numId w:val="1"/>
        </w:numPr>
        <w:rPr/>
      </w:pPr>
      <w:bookmarkStart w:id="304" w:name="__RefHeading___Toc3352766_417432637"/>
      <w:bookmarkStart w:id="305" w:name="_Toc104"/>
      <w:bookmarkEnd w:id="303"/>
      <w:bookmarkEnd w:id="304"/>
      <w:r>
        <w:rPr>
          <w:rtl w:val="true"/>
        </w:rPr>
        <w:t>عدم جريان البراءة في الأسباب العقلية والعادية</w:t>
      </w:r>
      <w:bookmarkEnd w:id="305"/>
    </w:p>
    <w:p>
      <w:pPr>
        <w:pStyle w:val="BookText"/>
        <w:rPr/>
      </w:pPr>
      <w:r>
        <w:rPr>
          <w:rFonts w:ascii="Amiri" w:hAnsi="Amiri" w:eastAsia="Amiri" w:cs="Amiri"/>
          <w:color w:val="111111"/>
          <w:sz w:val="28"/>
          <w:sz w:val="28"/>
          <w:szCs w:val="28"/>
          <w:rtl w:val="true"/>
          <w:lang w:bidi="ar-SA"/>
        </w:rPr>
        <w:t xml:space="preserve">أمّا العقليات والعاديات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لجريان البراءة فيها ؛ لأنّ المأمور به فيها مبيّن ، والشكّ إنّما هو في حصوله وامتثاله ، كما لو أمر المولى بقتل زيد وتردّد سببه بين ضربة أو ضربتين ، أو أمر بتنظيف البيت وتردّد حصوله بين كنسها أو هو مع رشّ الماء ، فالاشتغال اليقيني لا بدّ له من البراءة اليقينية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وقع في تقريرات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المجعول الشرعي فيها ليس إلاّ المسبّب</w:t>
      </w:r>
      <w:r>
        <w:rPr>
          <w:rStyle w:val="FootnoteAnchor"/>
          <w:rtl w:val="true"/>
        </w:rPr>
        <w:footnoteReference w:id="359"/>
      </w:r>
      <w:r>
        <w:rPr>
          <w:rFonts w:ascii="Amiri" w:hAnsi="Amiri" w:eastAsia="Amiri" w:cs="Amiri"/>
          <w:color w:val="111111"/>
          <w:sz w:val="28"/>
          <w:sz w:val="28"/>
          <w:szCs w:val="28"/>
          <w:rtl w:val="true"/>
          <w:lang w:bidi="ar-SA"/>
        </w:rPr>
        <w:t xml:space="preserve">، فهو منظور فيه ؛ فإنّ المسبّبات العقلية والعادية كأسبابها ليست تحت الجعل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يتعلّق الأمر بتحصيلها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إشكال في وجوب الاحتياط فيها ، وعدم جريان البراءة شرعاً أو عقلاً </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3352768_417432637"/>
      <w:bookmarkStart w:id="307" w:name="_Toc105"/>
      <w:bookmarkEnd w:id="306"/>
      <w:r>
        <w:rPr>
          <w:rtl w:val="true"/>
        </w:rPr>
        <w:t>عدم جريان البراءة في الأسباب الشرعية</w:t>
      </w:r>
      <w:bookmarkEnd w:id="307"/>
    </w:p>
    <w:p>
      <w:pPr>
        <w:pStyle w:val="BookText"/>
        <w:rPr/>
      </w:pPr>
      <w:r>
        <w:rPr>
          <w:rFonts w:ascii="Amiri" w:hAnsi="Amiri" w:eastAsia="Amiri" w:cs="Amiri"/>
          <w:color w:val="111111"/>
          <w:sz w:val="28"/>
          <w:sz w:val="28"/>
          <w:szCs w:val="28"/>
          <w:rtl w:val="true"/>
          <w:lang w:bidi="ar-SA"/>
        </w:rPr>
        <w:t xml:space="preserve">وأمّا الشرعيات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بجريان البراءة الشرعية فيها ، وتوضيحه يحتاج إلى بيان كيفية جعل الأسباب والمسبّبات الشرعية ، فنقول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أنّ السببية والمسبّبية في الشرعيات والاُمور الاعتبارية العقلائية ، ليست بمعنى كون الأسباب مؤثّرات حقيقية في المسبّبات ؛ بحيث قبل تحقّق السبب لم يكن المسبّب في عالم التكوين ، وبعده وجد في عالم التكوين شيء هو المسبّب ، وهذا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وليست أيضاً بمعنى تأثير الأسباب في إيجاد المسبّبات في عالم الاعتبار ، لا اعتبار العقلاء ولا اعتبار الموجد للسبب ؛ وذلك لأنّ اعتبار العقلاء أمر قائم بأنفسهم وله أسباب خاصّة ، وليس جعل المنشئ للسبب مؤثّراً في نفوس العقلاء ؛ بمعنى أن يكون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موجدة لاعتبار العقلاء ، وكذا في اعتبار نفسه ؛ فإنّ للاعتبار والمعتبَر أسباباً خاصّة من قبيل مبادئ الإرادة ، وليس وراء وجود الحقيقي والاعتباري شيء آخر يؤثّر السبب فيه نحو تأثير الأسباب في 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السببية والمسبّبية العقلائية، أنّ الأسباب تكون موضوعاً لاعتبار العقلاء ، فإذا قال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داري من زيد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المعنى الإنشائي يصير موضوعاً لاعتبار العقلاء بأنّ الدار التي كانت مضافة إلى البائع قبل إنشائه بالإضافة الاعتبارية صارت مضافة إلى زيد بواسطة بيعه له ، فإذا علم البائع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العقلاء عقيب إنشائه الجدّي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بيع داره لزيد، يستعمل لفظة الصيغة استعمالاً إيجادياً بالمعنى الذي ذكرنا؛ أي يريد تحقّقه الاعتباري بمعنى صيرورته كذا ، فيصير موضوعاً لاعتبار نفسه وسائر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الإيجاد الاعتباري أن يصير اللفظ موجداً لمعنىً اعتباري ؛ لعدم حقيقة للمعنى الاعتباري مع قطع النظر عن اعتبار العقلاء، والفرض أ نّه ليس اعتبار العقلاء ولا المنشئ للبيع مسبّباً عن هذا اللفظ ، بل له أسباب خاصّة تكوينية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لفظ موضوع للإنشاء بداعي تحقّق المنشأ ، يصير بما له من المعنى موضوعاً للاعتبار المذكور ، من غير أن يصير اللفظ علّة </w:t>
      </w:r>
    </w:p>
    <w:p>
      <w:pPr>
        <w:pStyle w:val="BookText"/>
        <w:rPr/>
      </w:pPr>
      <w:r>
        <w:rPr>
          <w:rFonts w:ascii="Amiri" w:hAnsi="Amiri" w:eastAsia="Amiri" w:cs="Amiri"/>
          <w:color w:val="111111"/>
          <w:sz w:val="28"/>
          <w:sz w:val="28"/>
          <w:szCs w:val="28"/>
          <w:rtl w:val="true"/>
          <w:lang w:bidi="ar-SA"/>
        </w:rPr>
        <w:t xml:space="preserve">لتحقّق الاعتبار ولا لتحقّق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المجعولات الشرعية في باب الأسباب والمسبّبات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المسبّب أمراً عقلائياً يكون متعارفاً عندهم بأسباب خاصّة عقلائية ، فيردع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الأسباب ، ويسلب السببية عنها ، ويجعل السببية لأمر آخر ، كباب الطلاق ؛ فإنّ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الهجران للزوجة وزوجيتها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متعارف عند العقلاء في كلّ ملّة منتحلة بدين وغيره ، ولم يتصرّف الشارع في تلك الحقيقة ، وليست مجعولة من قِبل الشرائع ، بل هو أمر عقلائي كسائر الحقائق العقلائية ، وإنّما تصرّف الشارع في سببها ، وسلب السببية عن الأسباب المتعارفة العقلائية ، وردعهم عن ترتيب الآثار على تلك الأسباب ، وحصر السببية على لفظ خاصّ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السببية الاعتبارية لتلك اللفظة دون غيرها ، فخلع سائر الأسباب عن السببية من غير تصرّف في المسبّب ، ويمكن أن لا يردع الشارع عن الأسباب العقلائية ، لكن يجعل سبباً آخر في عرض سائر الأسباب ، فيعطي السببية للفظ أو فعل آخر ، فتتّسع به دائرة الأسباب المحقّقة لتلك الحقيقة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المسبّب من الاُمور العقلائية ، بل يكون من المخترعات الشرعية من غير سابقة له عند العقلاء ، ففي مثله لا بدّ وأن يكون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مجعولاً شرعياً ، ولا يعقل أن يتعلّق الجعل بالمسبّب دون سببه ؛ لأنّ المفروض أنّ المسبّب ليس أمراً عقلائياً ، بل يكون اختراعياً ، وما كان كذلك لا يعقل أن يكون له سبب عقلائي أو عقلي أو عادي ، فلا بدّ من كون سببه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اختراعياً ، فيجب تعلّق الجعل بالسبب ومسبّبه ، سواء تعلّق ابتداءً بالسبب أو بالمسبّب أو أدّى كلاماً يتكفّل الجعلين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الأسباب والمسبّبات الجعلية لا يمكن أن يتعلّق الجعل بالسبب فقط أو بالمسبّب فقط ، ويكون جعل أحدهما مُغنياً عن جعل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يتّضح فساد دعوى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 بحثه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 نّه لا يعقل أن يتعلّق الجعل الشرعي بكلّ من السبب والمسبّب ؛ لأنّ جعل أحدهما يغني عن جعل الآخر ، فبناءً على تعلّق الجعل بالمسبّبات تكون الأسباب الشرعية كالأسباب العقلية والعادية غير قابلة للوضع والرفع </w:t>
      </w:r>
      <w:r>
        <w:rPr>
          <w:rFonts w:eastAsia="IRNazanin" w:cs="IRNazanin"/>
          <w:color w:val="111111"/>
          <w:sz w:val="28"/>
          <w:szCs w:val="28"/>
          <w:rtl w:val="true"/>
          <w:lang w:bidi="fa-IR"/>
        </w:rPr>
        <w:t>. . .</w:t>
      </w:r>
      <w:r>
        <w:rPr>
          <w:rStyle w:val="FootnoteAnchor"/>
          <w:rtl w:val="true"/>
        </w:rPr>
        <w:footnoteReference w:id="360"/>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ضرورة أنّ المسبّب الاختراعي لا يعقل أن يكون له سبب عقلي أو عادي ، أو يكون سببه مثلهما في التناسب الذاتي بينه وبين مسبّبه ، فإذا كان المسبّب اختراعياً اعتبارياً يكون سببه أيضاً كذلك ، وإلاّ فإمّا أن يكون المسبّب بذاته متعلّقاً بسببه ، فيكون التأثير والتأثّر التكويني ، فيخرج عمّا نحن فيه ؛ لأنّ المفروض أنّ المسبّب اختراعي جعلي ، وإمّا أن يكون له أسباب عقلائية ، فلا بدّ وأن يكون المسبّب أيضاً كذلك ، وهو أيضاً خلاف المفروض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يعقل أن يكون جعل المسبّب مغنياً عن جعل سببه ، ولا يخفى أنّ الجعل إنّما يتعلّق بوصف السببية ؛ أي يجعل الشارع ما ليس بسبب سبباً ، ويعطيه وصف السببية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كظهر 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تعلّق الجعل به لم يكن سبباً للظهار ، وبعد إعطاء السببية به صار سبباً له ، فالجعل يتعلّق </w:t>
      </w:r>
    </w:p>
    <w:p>
      <w:pPr>
        <w:pStyle w:val="BookText"/>
        <w:rPr/>
      </w:pPr>
      <w:r>
        <w:rPr>
          <w:rFonts w:ascii="Amiri" w:hAnsi="Amiri" w:eastAsia="Amiri" w:cs="Amiri"/>
          <w:color w:val="111111"/>
          <w:sz w:val="28"/>
          <w:sz w:val="28"/>
          <w:szCs w:val="28"/>
          <w:rtl w:val="true"/>
          <w:lang w:bidi="ar-SA"/>
        </w:rPr>
        <w:t>بوصف السببية ، أي صيّره الشارع سبباً بعد ما لم يكن كذلك ، لا أنّ الجعل تعلّق بالسبب ويكون وصف السببية انتزاعياً كما اشتهر بينهم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وسرّ هذا الاشتهار مقايسة الأسباب التشريعية بالأسباب التكوينية ؛ فإنّ الجعل التكويني إنّما يتعلّق بوجود السبب جعلاً بسيطاً ، وسببية السبب غير مجعولة إلاّ بالعرض ، فالجاعل جعل النار ، لا النار ناراً أو مؤثّرة وسبباً ، ولمّا كان الأمر في الأسباب التكوينية كذلك صار منشأً للاشتباه في الأسباب التشريعية ، واشتهر أنّ الجعل إنّما يتعلّق بالسبب لا بالسببية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الأمر في التشريع ليس كذلك ؛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كظهر 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متعلّقة للجعل التشريعي ، لا مفرداتها ولا جملتها التركيبية ، بل هي موضوعة بالوضع اللغوي ، لكنّها لم تكن قبل اعتبار الشارع وجعله مؤثّرةً في الافتراق بين الزوجين ، فأعطاها الشارع وصف السببية بالمعنى الذي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فالمجعول هو سببية تلك اللفظة بما لها من المعنى الإنشائي ، لا ذات السبب ؛ أي ذات تلك اللفظة التي تكون مجعولة بالجعل اللغوي ، وكذا الأمر في مطلق الاُمور الاعتبارية العقلائية والشرعية ، ولا إشكال في جواز جعل السببية الاعتبارية ؛ لعدم التأثير والتأثّر الحقيقي ، بل السببية في عالم التشريع عبارة عن كون السبب موضوعاً لاعتبار الشارع المقنّن ، وصيرورته كذلك يكون نافذاً في اُمّته وتابعيه ، وذلك واضح عند التأ مّل في موارد المجعولات الشرعية والعقلائية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فغاية ما يمكن أن يقال في جريان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السببية والتسبّب إذا كانتا شرعيتين ، فتردّد الأمر بين الأقلّ والأكثر ، فأتى المكلّف بالأقلّ ، يصير الشكّ في تحقّق المسبّب مسبّباً عن الشكّ في دخالة الجزء أو الشرط المشكوك فيهما ، فجريان حديث الرفع في السبب يرفع الشكّ عن المسبّب ، فيحكم بتحقّقه ؛ لوجود الأقلّ وجداناً ، ورفع الزيادة بالحديث ، فيرفع الشكّ عن تحقّق السبب ، فيحكم بأ نّه موجود ، وليست السببية عقلية حتّى يكون من 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السببية وإن كانت شرعية ، ولكن الشكّ في تحقّق المسبّب ناشٍ عن كون الأقلّ تمام السبب وتمام المؤثّر ، ورفع الزيادة لا يثبت كونه كذلك إلاّ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عدم دخالة الزيادة وحصول الأقلّ سبباً بنحو التركيب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الموضوعات المركّبة ممّا يمكن تحصيلها بالأصل والوجدان ، فيحكم بحصول السبب وترتّب المسبّب عليه ؛ لأ نّه شرعي لا عقلي ؛ ضرورة أ نّه مع سببية الأقلّ لا تكون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دخيلة في حصول المسبّب ، وإنّما الأقلّ هو تمام السبب ، فلا بدّ من إثبات سببية الناقص وأنّ الأقلّ هو تمام السبب حتّى يترتّب عليه المسبّب ، وذلك لا يمكن بجريان حديث الرفع في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دلّ دليل شرعي بأ نّه إذا وجد الأقلّ ولم تتحقّق الزيادة وجد المسبّب ، أمكن دعوى إثبات أحد الجزءين بالأصل والآخر بالوجدان ، لكنّه عدول عن مبحث الأقلّ والأكثر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باب الأقلّ والأكثر في الأسباب والمحصّلات هو الاشتغال ، وليس فيه مورد جريان البراءة العقلية والشرعية </w:t>
      </w:r>
      <w:r>
        <w:rPr>
          <w:rFonts w:eastAsia="Amiri" w:cs="Amiri" w:ascii="Amiri" w:hAnsi="Amiri"/>
          <w:color w:val="111111"/>
          <w:sz w:val="28"/>
          <w:szCs w:val="28"/>
          <w:rtl w:val="true"/>
          <w:lang w:bidi="ar-SA"/>
        </w:rPr>
        <w:t xml:space="preserve">. </w:t>
      </w:r>
      <w:bookmarkStart w:id="308" w:name="pg12132_128057"/>
    </w:p>
    <w:p>
      <w:pPr>
        <w:pStyle w:val="Heading2"/>
        <w:numPr>
          <w:ilvl w:val="1"/>
          <w:numId w:val="1"/>
        </w:numPr>
        <w:rPr/>
      </w:pPr>
      <w:bookmarkStart w:id="309" w:name="__RefHeading___Toc3352770_417432637"/>
      <w:bookmarkStart w:id="310" w:name="_Toc106"/>
      <w:bookmarkEnd w:id="308"/>
      <w:bookmarkEnd w:id="309"/>
      <w:r>
        <w:rPr>
          <w:rtl w:val="true"/>
        </w:rPr>
        <w:t xml:space="preserve">الأمر الثاني </w:t>
      </w:r>
      <w:r>
        <w:rPr>
          <w:rtl w:val="true"/>
        </w:rPr>
        <w:t xml:space="preserve">: </w:t>
      </w:r>
      <w:r>
        <w:rPr>
          <w:rtl w:val="true"/>
        </w:rPr>
        <w:t>في دوران الأمر بين الأقلّ والأكثر الارتباطي في الشبهة الموضوعية</w:t>
      </w:r>
      <w:bookmarkEnd w:id="310"/>
    </w:p>
    <w:p>
      <w:pPr>
        <w:pStyle w:val="BookText"/>
        <w:rPr/>
      </w:pPr>
      <w:r>
        <w:rPr>
          <w:rFonts w:ascii="Amiri" w:hAnsi="Amiri" w:eastAsia="Amiri" w:cs="Amiri"/>
          <w:color w:val="111111"/>
          <w:sz w:val="28"/>
          <w:sz w:val="28"/>
          <w:szCs w:val="28"/>
          <w:rtl w:val="true"/>
          <w:lang w:bidi="ar-SA"/>
        </w:rPr>
        <w:t xml:space="preserve">والأقسام المتصوّرة فيها ، وذكر غير الارتباطي تبعاً واعلم أنّ التكليف قد يكون له تعلّق بالموضوع الخارجي ؛ أي يكون لمتعلّقه متعلّق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له موضوع ، وقد لا يكون كذلك ، بل يكون له متعلّق وليس لمتعلّقه متعلّق ، فالأوّل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التكليف أمراً وقد يكون نهياً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يكون الشكّ في أصل التكليف ، وقد يكون في جزء المكلّف به ، وقد يكون في شرطه ، وقد يكون في مانعه ، وقد يكون في قاطعه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الموضوع أو المتعلّق صرف الوجود ، وقد يكون تمام الوجودات ، وقد يكون مجموعها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الأقسام متصوّرة ، وإن كان بعضها صرف التصوّر ولا واقعية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الشبهة الموضوعية متصوّرة ؛ سواء تعلّق التكليف بموضوع خارجي أو لا ؛ وسواء كان الشكّ في الشرط أو الجزء أو المانع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كالشكّ في أنّ زيداً عالم أو لا ، أو أنّ المائع الكذائي خمر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مثل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الغناء المحرّم هو التصنيف وشكّ في أنّ الصوت الكذائي تصنيف أو لا من جهة الشبهة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الشرط والمانع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الجزء كما لو شكّ في أنّ سورة النورين من القرآن أو </w:t>
      </w:r>
    </w:p>
    <w:p>
      <w:pPr>
        <w:pStyle w:val="BookText"/>
        <w:rPr/>
      </w:pPr>
      <w:r>
        <w:rPr>
          <w:rFonts w:ascii="Amiri" w:hAnsi="Amiri" w:eastAsia="Amiri" w:cs="Amiri"/>
          <w:color w:val="111111"/>
          <w:sz w:val="28"/>
          <w:sz w:val="28"/>
          <w:szCs w:val="28"/>
          <w:rtl w:val="true"/>
          <w:lang w:bidi="ar-SA"/>
        </w:rPr>
        <w:t xml:space="preserve">سورة الناس والفلق منه أو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ادّعى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لا يمكن تحقّق الشبهة الموضوعية في الأجزاء ؛ لأنّ التكليف بها ليس له تعلّق بالموضوع الخارجي</w:t>
      </w:r>
      <w:r>
        <w:rPr>
          <w:rStyle w:val="FootnoteAnchor"/>
          <w:rtl w:val="true"/>
        </w:rPr>
        <w:footnoteReference w:id="362"/>
      </w:r>
      <w:r>
        <w:rPr>
          <w:rFonts w:ascii="Amiri" w:hAnsi="Amiri" w:eastAsia="Amiri" w:cs="Amiri"/>
          <w:color w:val="111111"/>
          <w:sz w:val="28"/>
          <w:sz w:val="28"/>
          <w:szCs w:val="28"/>
          <w:rtl w:val="true"/>
          <w:lang w:bidi="ar-SA"/>
        </w:rPr>
        <w:t xml:space="preserve">، منظور فيه ، كادّعاء بعض آخر من عدم تصوّر الشبهة الموضوعية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التكليف الإيجابي بنحو صرف الوجود ، سواء كان له تعلّق بالموضوع الخارجي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لزوم الإطاعة والخروج عن الاشتغال بإكرام عالم معلوم وإتيان الصلاة ، ولا يجوز الاكتفاء بإكرام من كان مشكوك العالمية ، ولا الاكتفاء بأمر يكون صدق الإكرام عليه مشكوكاً فيه ، وكذا الحال في الخروج عن عهدة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كذلك فيما إذا كان الاشتراط والجزئية بنحو صرف الوجود ، كاشتراط كون الصلاة مع الطهور ، وكجعل صرف وجود السورة جزءاً للصلاة ، فلا يجوز الاكتفاء بسورة مع الشكّ في كونها من القرآن</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ومنه يظهر الحال فيما إذا جعل الجزء أو الشرط مجموع الوجودات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أنّ الحكم على نحو الاستغراق عند الشكّ مورد البراءة بخلاف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الأوّل لم يتعلّق بعنوان واحد شكّ في انطباقه على المأتيّ به ، فإنّ الكلّ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 كلّ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موضوعية ، بل هو وسيلة لإيصال الحكم إلى الموضوعات الواقعية ، وهي أفراد الطبيعة ، فكأ نّه أنشأ أحكاماً عديدة علم مقداراً منها وشكّ في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العامّ المجموعي فبخلاف ذلك ؛ فإنّ وصف الاجتماع مأخوذ في موضوع الحكم ، فيكون ما هو الموضوع أمراً وحدانياً في الاعتبار ، هو المجموع من حيث المجموع ، ومع الشكّ في الموضوع يكون الشكّ في انطباق المأمور به على المأتيّ به ، ولا إشكال في كونه مورد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أنّ ما أفاد الشيخ الأعظم من لزوم الاحتياط إذا أمر بالصوم بين الهلالينأ ، في غاية المتانة ، وتكون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تمامية الشهر ونقصانه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موضوعية ، وفي انطباق المأتيّ به للمأمور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مثّل قدس‌سره للشبهة الموضوعية بمثال آخر هو الأمر بالطهور ، وفسّره بالفعل الرافع للحدث أو المبيح للصلاة ، وحكم بالاشتغال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إشكال في الاشتغال في هذا المثال أيضاً ، ولا يكون الشكّ في المحصّل ؛ لأنّ المفروض بحسب تفسيره عدم تعلّق الأمر بالطهور حتّى يكون الشكّ في محصّله ، بل بالفعل الرافع ، ويكون الشكّ في انطباق المأمور به مع المأتيّ به ، ويكون كالشبهة الموضوعية بوجه ، وإن كانت الشبهة حكمية بوجه آخر ، لكن لمّا تعلّق الحكم بعنوان الفعل الرافع للحدث علم الاشتغال بهذا العنوان ، ولا بدّ من الخروج عن عهدته بإيجاد مصداق محرز ، فالإشكالات الموردة من الأعلام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محلّها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ذكرنا هو الميزان في البراءة والاشتغال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طلباً بل زجراً عن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في جريان البراءة في الشبهة الموضوعية فيه بين أنحاء تعلّقه ، فإذا تعلّق بصرف وجود الخمر ، وشكّ في موجود خارجي أ نّه خمر ، يجوز ارتكابه ، وتجري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نّها تجري لو تعلّق بالمجموع وترك المشكوك فيه وارتكب الباقي ؛ للشكّ في كون الباقي موضوعاً للحكم ومتعلّقاً للنهي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الموانع ، هذا إذا قلنا بأنّ المانع للشيء هو ما كان وجوده مضادّاً له ، لا ما كان عدمه شرطاً ، فحينئذٍ تجري البراءة في الشكّ في المانع ، ولو كان المانع بنحو صرف الوجود ، أو نفس الطبيعة ، أو مجموع الوجودات ، على إشكال في الكلّ ، فلا نحتاج في جريان البراءة في اللباس المشكوك فيه إلى الذهاب إلى تحليلية النهي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لو قلنا بأنّ المانع ما يكون عدمه قيداً ، يصير حاله حال الشرط في التفصيل بين الانحلال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الشكّ في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لأنّ الشكّ يرجع إلى مضادّة الشيء مع الهيئة الاتّصالية المأخوذة في المركّب ، ومع الشكّ في عروض القاطع تجري البراءة ، وإن لا تخلو من إشكال لو قلنا بأنّ الهيئة الاتّصالية مأخوذة في المأمور به على وجه العنوان ، وسيأتي تتميم في ذلك في استصحاب الهيئة الاتّصالية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ضمن تراث الشيخ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 أبواب لباس المصلّي ،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الصفحة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بقيّة الصور فالظاهر أ نّها مورد جريان البراءة العقلية والشرعية ، سواء كان التكليف ، المستقلّ النفسي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عالمية زيد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 أو صرف وجود الخمر أو مجموع وجوداته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إناء أ نّه خمر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جعل الشرط بنحو الاستغراق ، أو الجزء كذلك ، أو المانع والقاطع بنحو الصِرف أو الاستغراق أو مجموع الوجودات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جميع الصور تجري البراءة ؛ للرجوع إلى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جعل المانع صِرف وجود غير المأكول ، وشكّ في شيء أ نّه من غير المأكول ، يرجع الشكّ إلى مانعية هذا الموجود ، فتجري البراءة ، وكذا الحال في سائر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وظيفة الشارع بيان الكبريات لا الصغريات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بيانه بالنسبة إلى إكرام كلّ عالم واقعي ، وكذا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الأجزاء والشرائط والموانع للمأمور به ، فإنّ بيانه بالنسبة إلى الكبرى تامّ ، وليس من وظيفته بيان الصغرى ، فلا بدّ من الاحتياط خروجاً عن مخالفته بحسب الأفراد الواقعية التي تمّ بيانه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للمكلّف من الخروج عن عهدة تلك الكبرى المعلومة يقيناً ، وهو لا يحصل إلاّ مع الاحتياط</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من كون الكبرى بياناً أ نّها بيان بالنسبة إلى الفرد المشكوك فيه ، فلا إشكال في بطلان تلك الدعوى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يكون بياناً واصلاً بالنسبة إلى ما كان مصداقيته مشكوكاً فيها ، والتكليف لا يدعو إلاّ إلى متعلّقه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أردت أنّ التكليف تعلّق بحسب الواقع بالفرد الواقعي سواء شكّ فيه أو </w:t>
      </w:r>
    </w:p>
    <w:p>
      <w:pPr>
        <w:pStyle w:val="BookText"/>
        <w:rPr/>
      </w:pPr>
      <w:r>
        <w:rPr>
          <w:rFonts w:ascii="Amiri" w:hAnsi="Amiri" w:eastAsia="Amiri" w:cs="Amiri"/>
          <w:color w:val="111111"/>
          <w:sz w:val="28"/>
          <w:sz w:val="28"/>
          <w:szCs w:val="28"/>
          <w:rtl w:val="true"/>
          <w:lang w:bidi="ar-SA"/>
        </w:rPr>
        <w:t xml:space="preserve">لا ، فهذا مسلّم ، لكنّه لا يكفي في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 مّا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وظيفة الشارع بيان الكبريات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مسلّم ، لكنّ الكبرى لا تصير حجّة على الصغرى ما لم تحرز وجداناً أو بطريق متّبع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بيان الشارع بنحو الكبرى لا ينتج ما لم يضمّ إليه صغرى محرزة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ذلك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حجّة على المشكوك فيه مع عدم إحراز كونه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الفارق ؛ لأنّ العلم الإجمالي قد تعلّق بالصغرى ، وتردّد أمرها بين أمرين أو أزيد ، فالحجّة بالنسبة إلى الصغرى تامّة ، وعروض الإجمال لا تأثير له في تمامية الحجّة ، بخلاف ما نحن فيه ؛ فإنّ الصغرى لم تتعلّق بها الحجّة ولم تكن معلومة لا تفصيلاً ولا إجمالاً ، وذلك واضح</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بينهم</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كون الخاصّ حجّة بالنسبة إلى الأفراد الواقعية ، وإلاّ يلزم رفع اليد عن الحجّة بغير الحجّة ، فعليه تكون الكبرى حجّة على الصغرى ، وذلك يوجب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كون المبنى فيه ذلك ، بل هو مبنيّ على أنّ بناء العقلاء في تطابق الإرادة الجدّية للاستعمالية في العامّ قاصر عن شمول مثل الشبهة المصداقية للمخصّص ، فإذا علم خروج الفسّاق من العلماء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فرد أ نّه فاسق أو لا ، لا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الفرد المشكوك فيه ، لكن يوجب سلب الحجّية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ذكرنا من قصور شمول بناء العقلاء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الشبهة المصداقية شبهة مصداقية لبناء العقلاء على تطابق الإرادتين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عنوان الخاصّ عن العامّ ، والشكّ في كون المصداق من الخارج أو الداخل ، لا يحكم العقلاء بتطابق الإرادتين في العامّ بالنسبة إلى الفرد المشكوك فيه ، فيخرج العامّ عن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شيء مانعاً باعتبار مجموع الوجودات يرجع إلى اشتراط ترك واحد من أفراد ما جعل مانعاً ، فلا بدّ من إحرازه ؛ لأنّ أصل الاشتراط معلوم ، فاللازم منه العلم بوجود الشرط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كون مجموع الوجودات مانعاً أن لا يكون تمام الوجودات باستثناء واحد منها مانعاً ، فيجوز الصلاة في جميع الأفراد المعلومة ، ولا يجوز الجمع بين تمام الأفراد المعلومة والمشكوك فيها ؛ لأنّ في الجمع بينها يصير مصداق المانع محرزاً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إتيان المشكوك فيه مع ترك واحد من المعلومات فممّا لا مانع منه فرداً </w:t>
      </w:r>
    </w:p>
    <w:p>
      <w:pPr>
        <w:pStyle w:val="BookText"/>
        <w:rPr/>
      </w:pPr>
      <w:r>
        <w:rPr>
          <w:rFonts w:ascii="Amiri" w:hAnsi="Amiri" w:eastAsia="Amiri" w:cs="Amiri"/>
          <w:color w:val="111111"/>
          <w:sz w:val="28"/>
          <w:sz w:val="28"/>
          <w:szCs w:val="28"/>
          <w:rtl w:val="true"/>
          <w:lang w:bidi="ar-SA"/>
        </w:rPr>
        <w:t xml:space="preserve">وجمعاً مع البقيّة ، كما أنّ ترك المشكوك فيه مع ارتكاب تمام المعلومات لا مانع منه ؛ للشكّ في تحقّق المانع لاحتمال أن يكون المشكوك فيه من تتمّة المجموع ، ومعه لا تتحقّق المانعية مع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مانعية المجموع المركّب من المشكوك فيه والمعلوم معلومة ، ومع ترك واحد من المعلومات لا تكون المانعية للبقيّة قطعاً ، ومع ترك المشكوك فيه وارتكاب البقيّة تكون المانعية بالنسبة إليها مشكوكاً فيها ، فتجري البراءة بالنسبة إليها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الهامش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132_128065"/>
    </w:p>
    <w:p>
      <w:pPr>
        <w:pStyle w:val="Heading2"/>
        <w:numPr>
          <w:ilvl w:val="1"/>
          <w:numId w:val="1"/>
        </w:numPr>
        <w:rPr/>
      </w:pPr>
      <w:bookmarkStart w:id="312" w:name="__RefHeading___Toc3352772_417432637"/>
      <w:bookmarkStart w:id="313" w:name="_Toc107"/>
      <w:bookmarkEnd w:id="311"/>
      <w:bookmarkEnd w:id="312"/>
      <w:r>
        <w:rPr>
          <w:rtl w:val="true"/>
        </w:rPr>
        <w:t>الشكّ في الجزئية أو الشرطية في حال النسيان</w:t>
      </w:r>
      <w:bookmarkEnd w:id="31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يخفى أنّ الأصل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هذا التنبيه والتنبيه الثالث يقع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ثبت جزئية شيء في الجملة ، وشكّ في أنّ نقصه سهواً يوجب بطلان المركّب أم لا ، وما هو الأصل العقلي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هو الركنية أو لا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الأصل الشرعي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الزيادة العمدية أو السهوية ، ومقتضى الأصل العقلي والشرعي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نّه على فرض أصالة الركنية هل قام دليل شرعي على الاجتزاء بالمأتيّ به في حال النسيان أو الأعمّ منه أم لا ؟</w:t>
      </w:r>
    </w:p>
    <w:p>
      <w:pPr>
        <w:pStyle w:val="Heading2"/>
        <w:numPr>
          <w:ilvl w:val="1"/>
          <w:numId w:val="1"/>
        </w:numPr>
        <w:rPr/>
      </w:pPr>
      <w:bookmarkStart w:id="314" w:name="__RefHeading___Toc3352774_417432637"/>
      <w:bookmarkStart w:id="315" w:name="_Toc108"/>
      <w:bookmarkEnd w:id="314"/>
      <w:r>
        <w:rPr>
          <w:rtl w:val="true"/>
        </w:rPr>
        <w:t xml:space="preserve">المقام الأوّل </w:t>
      </w:r>
      <w:r>
        <w:rPr>
          <w:rtl w:val="true"/>
        </w:rPr>
        <w:t xml:space="preserve">: </w:t>
      </w:r>
      <w:r>
        <w:rPr>
          <w:rtl w:val="true"/>
        </w:rPr>
        <w:t>فيما يقتضيه الأصل العقلي بالنسبة إلى النقيصة السهوية</w:t>
      </w:r>
      <w:bookmarkEnd w:id="31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إذا ثبت جزئية شيء في الجملة ، وشكّ في أنّ نقصه سهواً يوجب بطلان المركّب أم لا ، فهل الأصل العقلي يوجب الإعادة أم الاكتفاء بالناقص ؟ </w:t>
      </w:r>
      <w:bookmarkStart w:id="316" w:name="pg12132_128066"/>
    </w:p>
    <w:p>
      <w:pPr>
        <w:pStyle w:val="Heading2"/>
        <w:numPr>
          <w:ilvl w:val="1"/>
          <w:numId w:val="1"/>
        </w:numPr>
        <w:rPr/>
      </w:pPr>
      <w:bookmarkStart w:id="317" w:name="__RefHeading___Toc3352776_417432637"/>
      <w:bookmarkStart w:id="318" w:name="_Toc109"/>
      <w:bookmarkEnd w:id="316"/>
      <w:bookmarkEnd w:id="317"/>
      <w:r>
        <w:rPr>
          <w:rtl w:val="true"/>
        </w:rPr>
        <w:t>محطّ البحث في المقام</w:t>
      </w:r>
      <w:bookmarkEnd w:id="318"/>
    </w:p>
    <w:p>
      <w:pPr>
        <w:pStyle w:val="BookText"/>
        <w:rPr/>
      </w:pPr>
      <w:r>
        <w:rPr>
          <w:rFonts w:ascii="Amiri" w:hAnsi="Amiri" w:eastAsia="Amiri" w:cs="Amiri"/>
          <w:color w:val="111111"/>
          <w:sz w:val="28"/>
          <w:sz w:val="28"/>
          <w:szCs w:val="28"/>
          <w:rtl w:val="true"/>
          <w:lang w:bidi="ar-SA"/>
        </w:rPr>
        <w:t xml:space="preserve">ولا بدّ قبل تحقيق المقام من تذكّر أمر ، وهو أنّ محطّ البحث في جريان البراءة أو الاشتغال العقليين ما إذا لم يكن لدليل المركّب والجزء أو الشرط إطلاق ، وإلاّ لم يصل المجال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كلّي في ثبوت الإطلاق وعدمه لدليل المركّب أو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أن يكون دليل المركّب غالباً بصدد مقام التشريع ، ولأدلّة الأجزاء والشرائط إطلاق غالباً ، وكيف كان لا بدّ من ملاحظة الموارد والأدلّة </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3352778_417432637"/>
      <w:bookmarkStart w:id="320" w:name="_Toc110"/>
      <w:bookmarkEnd w:id="319"/>
      <w:r>
        <w:rPr>
          <w:rtl w:val="true"/>
        </w:rPr>
        <w:t>إشکال الشيخ الأعظم علی جریان البراءة بعدم إمکان خطاب الناسي</w:t>
      </w:r>
      <w:bookmarkEnd w:id="32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إثبات الأجزاء والشرائط وكذا الموانع إن كانت بنحو التكليف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 .(</w:t>
      </w:r>
      <w:r>
        <w:rPr>
          <w:rStyle w:val="FootnoteAnchor"/>
          <w:rtl w:val="true"/>
        </w:rPr>
        <w:footnoteReference w:id="370"/>
      </w:r>
      <w:r>
        <w:rPr>
          <w:rFonts w:ascii="Amiri" w:hAnsi="Amiri" w:eastAsia="Amiri" w:cs="Amiri"/>
          <w:color w:val="111111"/>
          <w:sz w:val="28"/>
          <w:sz w:val="28"/>
          <w:szCs w:val="28"/>
          <w:rtl w:val="true"/>
          <w:lang w:bidi="ar-SA"/>
        </w:rPr>
        <w:t>إلى آخره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لا يمكن إثباتها لحال الغفلة والنسيان ؛ لانتزاع الوضع من التكليف ، ولا يمكن تعلّق التكليف بهما ، بخلاف ما إذا كانت بنحو الوضع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بفاتحة الكتاب</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حقّ لو سلّم امتناع إطلاق أدلّة التكاليف وعمومها لهما ، لكن قد مرّ منّا في باب الخروج عن محلّ الابتلاء تصحيح تعلّق التكليف بمثلهم</w:t>
      </w:r>
      <w:r>
        <w:rPr>
          <w:rStyle w:val="FootnoteAnchor"/>
          <w:rtl w:val="true"/>
        </w:rPr>
        <w:footnoteReference w:id="374"/>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الامتناع أيضاً لا مانع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ظهور تلك الأدلّة في الإرشاد إلى الحكم الوضعي ، وأنّ ذلك جزء أو شرط أو مانع ، وإمّا لأجل أ نّه مع تسليم ظهورها في المولوية لا يكون امتناع تكليف الناسي والغافل من ضروريات العقول حتّى يكون كالقرينة الحافّة بالكلام المانعة من الظهور ، بل هو من النظريات المحتاجة إلى التأ مّل في مبادئها ، فتكون حاله كالقرائن المنفصلة المانعة عن حجّية الظهور ، لا أصل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يقتضيه العقل المنع عن حجّية ظهورها في الحكم التكليفي دون الوضعي ، فيؤخذ بظهورها بالنسبة إلى إثبات الجزئية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الإغماض عنه يمكن التمسّك بإطلاق المادّة لدخل الجزء في الملاك والمصلحة حتّى حال النسيان</w:t>
      </w:r>
      <w:r>
        <w:rPr>
          <w:rStyle w:val="FootnoteAnchor"/>
          <w:rtl w:val="true"/>
        </w:rPr>
        <w:footnoteReference w:id="37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الأوامر والنواهي الإرشادية ليست مستعملة في النهي الإرشادي ، ولا تنسلخ عن حقائقها ومعانيها ؛ أي البعث والزجر ، غاية الأمر أنّ </w:t>
      </w:r>
    </w:p>
    <w:p>
      <w:pPr>
        <w:pStyle w:val="BookText"/>
        <w:rPr/>
      </w:pPr>
      <w:r>
        <w:rPr>
          <w:rFonts w:ascii="Amiri" w:hAnsi="Amiri" w:eastAsia="Amiri" w:cs="Amiri"/>
          <w:color w:val="111111"/>
          <w:sz w:val="28"/>
          <w:sz w:val="28"/>
          <w:szCs w:val="28"/>
          <w:rtl w:val="true"/>
          <w:lang w:bidi="ar-SA"/>
        </w:rPr>
        <w:t xml:space="preserve">البعث والزجر في وادي المركّبات يفهم منها الإرشاد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النهي حقيقةً عن الصلاة فيه ، لكنّ العرف يفهم من هذا أنّ تعلّق النهي والزجر عن الصلاة فيه ليس لأجل مفسدة ذاتية فيه ، بل لأجل مانعيته عنها ، فحينئذٍ يكون الإرشاد إلى الجزئية وغيرها بمقدار إمكان تعلّق النهي ، وإلاّ فلا وجه للإرشاد ولا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استفادة الجزئية تبع لتعلّق التكليف ، فحينئذٍ لو سلّم نظرية الامتناع ، 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إلى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حكماً جازماً على هذا المبنى بامتناع صدور التكليف متوجّهاً إلى الغافل والساهي ، ومعه كيف يمكن انتزاع الوضع مع فقد منشئه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قرع الأسماع من التفكيك في حجّية الظهور بين الملزوم واللازم ليس في مثل المقام ، كما يظهر بالتأ 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كشف الملاك والمصلحة من إطلاق المادّة ، إنّما هو في مورد تعلّق التكليف بها مطلقاً ؛ لأنّ كشف المصلحة على مذهب العدلية</w:t>
      </w:r>
      <w:r>
        <w:rPr>
          <w:rStyle w:val="FootnoteAnchor"/>
          <w:rtl w:val="true"/>
        </w:rPr>
        <w:footnoteReference w:id="376"/>
      </w:r>
      <w:r>
        <w:rPr>
          <w:rFonts w:ascii="Amiri" w:hAnsi="Amiri" w:eastAsia="Amiri" w:cs="Amiri"/>
          <w:color w:val="111111"/>
          <w:sz w:val="28"/>
          <w:sz w:val="28"/>
          <w:szCs w:val="28"/>
          <w:rtl w:val="true"/>
          <w:lang w:bidi="ar-SA"/>
        </w:rPr>
        <w:t xml:space="preserve">إنّما هو من الأمر والطلب الحقيقي ، ومع امتناع ذلك لا يمكن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يقطع بوجود الملاك في بعض الموارد ، وهو خارج عمّا نحن فيه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الشيخ الأعظم على جريان البراءة بعدم إمكان خطاب الناسي إذا عرفت ذلك ففي جريان البراءة وعدمه وجهان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ثانيهما العلاّمة الأنصاري ، واحتجّ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كان جزءاً حال العمد يكون جزءاً حال الغفلة والنسيان ؛ لامتناع اختصاص الغافل والساهي بالخطاب </w:t>
      </w:r>
      <w:bookmarkStart w:id="321" w:name="pg12132_128069"/>
    </w:p>
    <w:p>
      <w:pPr>
        <w:pStyle w:val="BookText"/>
        <w:rPr/>
      </w:pPr>
      <w:bookmarkEnd w:id="321"/>
      <w:r>
        <w:rPr>
          <w:rFonts w:ascii="Amiri" w:hAnsi="Amiri" w:eastAsia="Amiri" w:cs="Amiri"/>
          <w:color w:val="111111"/>
          <w:sz w:val="28"/>
          <w:sz w:val="28"/>
          <w:szCs w:val="28"/>
          <w:rtl w:val="true"/>
          <w:lang w:bidi="ar-SA"/>
        </w:rPr>
        <w:t>بالنسبة إلى المركّب الناقص ؛ لأنّ الخطاب إنّما يكون للانبعاث ، ويمتنع انبعاث الغافل ؛ لأ نّه يتوقّف على توجّهه إلى الخطاب بعنوانه ، ومعه يخرج عن كونه غافلاً ، فخطابه لغو ، فالأصل العقلي هو لزوم الاحتياط</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2" w:name="__RefHeading___Toc3352780_417432637"/>
      <w:bookmarkStart w:id="323" w:name="_Toc111"/>
      <w:bookmarkEnd w:id="322"/>
      <w:r>
        <w:rPr>
          <w:rtl w:val="true"/>
        </w:rPr>
        <w:t>التحقيق في الجواب وذكر أجوبة القوم</w:t>
      </w:r>
      <w:bookmarkEnd w:id="323"/>
    </w:p>
    <w:p>
      <w:pPr>
        <w:pStyle w:val="BookText"/>
        <w:rPr/>
      </w:pPr>
      <w:r>
        <w:rPr>
          <w:rFonts w:ascii="Amiri" w:hAnsi="Amiri" w:eastAsia="Amiri" w:cs="Amiri"/>
          <w:color w:val="111111"/>
          <w:sz w:val="28"/>
          <w:sz w:val="28"/>
          <w:szCs w:val="28"/>
          <w:rtl w:val="true"/>
          <w:lang w:bidi="ar-SA"/>
        </w:rPr>
        <w:t xml:space="preserve">وأجاب عنه المحقّقون بما لا يخلو جلّها عن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جريان البراءة على اختصاص الغافل والساهي بالخطاب ، بل اختصاصهما بالخطاب لغو ؛ لأنّ الخطاب ليس إلاّ لأجل التحريك والبعث نحو المطلوب ، فلو فرض أنّ نفس الخطابات الباعثة للعامد والعالم نحو المركّب التامّ باعثة للغافل والساهي نحو المركّب الناقص بلا افتراق بينهما من هذه الجهة ، يكون اختصاصهما بالخطاب لغواً ، والأمر كذلك ؛ ضرورة أنّ الساهي عن جزء من المركّب والغافل عنه لا يكون محرّكه وباعثه نحو المركّب الناقص إلاّ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 إِلَى غَسَقِ الَّيلِ</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مثلاً ، كما أنّ العالم العامد ينبعث ويتحرّك نحو التامّ منه ، فإذا فرض أنّ المركّب التامّ ذو ملاك واقتضاء بالنسبة إلى العامد ، والمركّب الناقص ذو ملاك واقتضاء بالنسبة إلى الساهي الغافل ، ويكون باعثهما نحو ما هو المطلوب منهما هو الخطابات المتعلّقة بالطبائع ، فلا معنى لاختصاص كلّ منهما بخطاب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الغرض من الخطاب إلاّ صيرورته وسيلة إلى تحريك </w:t>
      </w:r>
    </w:p>
    <w:p>
      <w:pPr>
        <w:pStyle w:val="BookText"/>
        <w:rPr/>
      </w:pPr>
      <w:r>
        <w:rPr>
          <w:rFonts w:ascii="Amiri" w:hAnsi="Amiri" w:eastAsia="Amiri" w:cs="Amiri"/>
          <w:color w:val="111111"/>
          <w:sz w:val="28"/>
          <w:sz w:val="28"/>
          <w:szCs w:val="28"/>
          <w:rtl w:val="true"/>
          <w:lang w:bidi="ar-SA"/>
        </w:rPr>
        <w:t xml:space="preserve">المكلّف نحو ما هو المطلوب ، أو صيرورته متمكّناً من العبودية لو فرض أنّ في نفس تعلّق الأوامر بالمأمور بها ملاكاً واقتضاءً ، من جهة عدم حصول كمالات المكلّف إلاّ بالإتيان على نعت العبودية ، وهو لا يحصل إلاّ بالأمر ، وعلى أيّ حال تكون الخطابات الواقعية المتعلّقة بالطبائع محرّكة للعامد نحو ما هو المطلوب منه ، وهو المركّب التامّ ، وللغافل الساهي نحو ما هو المطلوب منه ، وهو المركّب الناقص ، فلا معنى لاختصاص الخطاب بكلّ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أتى الساهي بالمركّب الناقص ، ثمّ تنبّه وشكّ في أنّ الجزء المنسيّ هل كان له اقتضاء بالنسبة إليه في حال النسيان حتّى تكون صلاته تامّة ، أو لا حتّى تحتاج إلى الإعادة ، يمكن جريان البراءة في حقّه لعين ما ذكرنا في باب الأقلّ والأكثر</w:t>
      </w:r>
      <w:r>
        <w:rPr>
          <w:rStyle w:val="FootnoteAnchor"/>
          <w:rtl w:val="true"/>
        </w:rPr>
        <w:footnoteReference w:id="379"/>
      </w:r>
      <w:r>
        <w:rPr>
          <w:rFonts w:ascii="Amiri" w:hAnsi="Amiri" w:eastAsia="Amiri" w:cs="Amiri"/>
          <w:color w:val="111111"/>
          <w:sz w:val="28"/>
          <w:sz w:val="28"/>
          <w:szCs w:val="28"/>
          <w:rtl w:val="true"/>
          <w:lang w:bidi="ar-SA"/>
        </w:rPr>
        <w:t xml:space="preserve">من غير فرق بين النسيان المستوعب لجميع الوقت وغيره ؛ لأنّ الأمر المتعلّق بالمركّب كان داعياً إلى الأجزاء بعين داعويته إلى المركّب ، والفرض أنّ الأجزاء التي كان داعياً إليها قد أتى المكلّف بها ، والحال شاكّ في أنّ الأمر هل له دعوة اُخرى إلى إتيانها ثانياً ويكون داعياً إلى إتيان الجزء المنسيّ ، أم لا ؟ فالأصل فيه يقتضي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من صغريات الأقلّ والأكثر إشكالاً وجواباً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قلنا بأنّ التكليف ساقط عن الناسي ، وفرّق بينه وبين غيره في تعلّق التكليف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بأنّ النسيان والغفلة والعجز والقدرة كالعلم والجهل في تعلّق </w:t>
      </w:r>
    </w:p>
    <w:p>
      <w:pPr>
        <w:pStyle w:val="BookText"/>
        <w:rPr/>
      </w:pPr>
      <w:r>
        <w:rPr>
          <w:rFonts w:ascii="Amiri" w:hAnsi="Amiri" w:eastAsia="Amiri" w:cs="Amiri"/>
          <w:color w:val="111111"/>
          <w:sz w:val="28"/>
          <w:sz w:val="28"/>
          <w:szCs w:val="28"/>
          <w:rtl w:val="true"/>
          <w:lang w:bidi="ar-SA"/>
        </w:rPr>
        <w:t xml:space="preserve">التكليف ، وأ نّه فعلي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مخالفة التكليف الفعلي قد تكون لعذر وقد تكون لا لعذر ، وأنّ الناسي معذور عقلاً في ترك تكليفه الفعلي بالطبيعة كالجاهل والعاجز ، لا أنّ التكليف يتغيّر عمّا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ترك الجزء نسياناً يجب الإعادة إذا كان لدليل الجزء إطلاق ؛ لعدم الإتيان بالمأمور به بجميع أجزائه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وجوه اُخر في رفع إشكال المحقّق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بعدم الخطاب أصلاً حين الغفلة ، لا بالتامّ المغفول عنه ، ولا بالناقص المأتيّ به ؛ لأ نّه غير قادر على التامّ ، وغير قابل للخطاب بالناقص ، فتوجّه الخطاب إليه لغو ، هذا حال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مجرّد الاقتضاء والملاك فبالنسبة إلى التامّ والناقص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إنّا نشكّ بعد ارتفاع العذر أنّ الغافل صار مكلّفاً بغير المركّب الناقص الذي أتى به ، والأصل عدمه ، وثبوت الاقتضاء بالنسبة إلى الجزء الفائت لا دليل عليه ، والأصل البراءة عنه ، كما هو الشأن في الأقلّ والأكثر</w:t>
      </w:r>
      <w:r>
        <w:rPr>
          <w:rStyle w:val="FootnoteAnchor"/>
          <w:rtl w:val="true"/>
        </w:rPr>
        <w:footnoteReference w:id="380"/>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الوجه دافع للإشكال ، لكن دعوى امتناع بعثه نحو الناقص قد عرفت ما فيها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بعض أعاظم العصر عن تقريرات بعض الأجلّة لبحث الشيخ ، من إمكان أخذ الناسي عنواناً للمكلّف وتكليفه بما عدا الجزء المنسيّ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من ذلك ليس إلاّ توهّم كون الناسي لا يلتفت إلى نسيانه </w:t>
      </w:r>
    </w:p>
    <w:p>
      <w:pPr>
        <w:pStyle w:val="BookText"/>
        <w:rPr/>
      </w:pPr>
      <w:r>
        <w:rPr>
          <w:rFonts w:ascii="Amiri" w:hAnsi="Amiri" w:eastAsia="Amiri" w:cs="Amiri"/>
          <w:color w:val="111111"/>
          <w:sz w:val="28"/>
          <w:sz w:val="28"/>
          <w:szCs w:val="28"/>
          <w:rtl w:val="true"/>
          <w:lang w:bidi="ar-SA"/>
        </w:rPr>
        <w:t xml:space="preserve">في ذلك الحال ، فلا يمكنه امتثال الأمر ؛ لأ نّه فرع الالتفات إلى ما اُخذ عنواناً للمكلّف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امتثال الأمر لا يتوقّف على الالتفات إلى ما اُخذ عنواناً له بخصوصه ، بل يمكن الامتثال بالالتفات إلى ما ينطبق عليه ولو كان من باب الخطأ في التطبيق ، فيقصد الأمر المتوجّه إليه بالعنوان الآخر ، فالناسي للجزء يقصد الأمر الواقعي له ، وإن أخطأ في تطبيق أمر الذاكر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الحاكي المعظّم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يعتبر في صحّة البعث والطلب أن يكون قابلاً للانبعاث عنه ؛ بحيث يمكن أن يصير داعياً لانقداح الإرادة وحركة العضلات نحو المأمور به ولو في الجملة ، وهذا التكليف الذي يكون دائماً من الخطأ في التطبيق لا يمكن أن يكون داعياً أصلاً ، فهو لغو ، ولا يقاس هذا بأمر الأداء والقضاء ؛ لأنّ الخطأ في التطبيق فيهما قد يتّفق بخلاف ما نحن فيه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تصديق كون الأمر الواقعي المتعلّق بالناسي بعنوان أ نّه ناسٍ محرّكاً واقعاً ، وإنّما وقع الخطأ في تطبيق عنوان أمر الذاكر على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لهذا الإشكال ؛ لأنّ المفروض أنّ المحرّك للناسي دائماً إنّما هو الأمر الواقعي المتعلّق به ، لا الأمر المتوجّه إلى الذاكر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على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كون الأمر الواقعي المتوجّه إلى الناسي محرّكاً له واقعاً وإن كان الخطأ في التطبيق ، ممنوعة ؛ لأنّ المحرّك له ليس </w:t>
      </w:r>
      <w:bookmarkStart w:id="324" w:name="pg12132_128073"/>
    </w:p>
    <w:p>
      <w:pPr>
        <w:pStyle w:val="BookText"/>
        <w:rPr/>
      </w:pPr>
      <w:bookmarkEnd w:id="324"/>
      <w:r>
        <w:rPr>
          <w:rFonts w:ascii="Amiri" w:hAnsi="Amiri" w:eastAsia="Amiri" w:cs="Amiri"/>
          <w:color w:val="111111"/>
          <w:sz w:val="28"/>
          <w:sz w:val="28"/>
          <w:szCs w:val="28"/>
          <w:rtl w:val="true"/>
          <w:lang w:bidi="ar-SA"/>
        </w:rPr>
        <w:t xml:space="preserve">إلاّ الأمر المتوجّه إلى الذاكر ، فإنّ خطأه إنّما هو في تطبيق عنوان الذاكر على نفسه ، وتوهّمه أ نّه متذكّر ، وبعد هذا الخطأ لا يكون محرّكه إلاّ الأمر المتوجّه إلى الذاكر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الأمر المتوجّه إلى الناسي وعدمه سواء ؛ بمعنى أ نّه يتحرّك نحو المأمور به كان في الواقع أمر متوجّه إلى الناسي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وارتضاه بعض أعاظم العصر</w:t>
      </w:r>
      <w:r>
        <w:rPr>
          <w:rStyle w:val="FootnoteAnchor"/>
          <w:rtl w:val="true"/>
        </w:rPr>
        <w:footnoteReference w:id="382"/>
      </w: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 يمكن أن يكون المكلّف به أوّلاً في حقّ الذاكر والناسي هو خصوص ما عدا الجزء المنسيّ ، ويختصّ الذاكر بخطاب يخصّه ، وإنّما المحذور في تخصيص الناسي بخطاب يخصّه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داعي إلى الخطابين مع انبعاث الذاكر والناسي بالخطاب الواحد المتوجّه إلى مطلق المكلّفين ، كما عرفت سالفاً </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3352782_417432637"/>
      <w:bookmarkStart w:id="326" w:name="_Toc112"/>
      <w:bookmarkEnd w:id="325"/>
      <w:r>
        <w:rPr>
          <w:rtl w:val="true"/>
        </w:rPr>
        <w:t>في ردّ التفصيل بين نسيان المستوعب للوقت وعدمه</w:t>
      </w:r>
      <w:bookmarkEnd w:id="326"/>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لم يكن لدليل الجزء إطلاق ، واحتمل اختصاص الجزئية بحال الذكر ، فالمرجع هو البراءة ، سواء كان النسيان مستوعباً لجميع الوقت أو لا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عدم تكليف الناسي لا بالتامّ ولا بالناقص فواضح ؛ لأنّ الآتي </w:t>
      </w:r>
    </w:p>
    <w:p>
      <w:pPr>
        <w:pStyle w:val="BookText"/>
        <w:rPr/>
      </w:pPr>
      <w:r>
        <w:rPr>
          <w:rFonts w:ascii="Amiri" w:hAnsi="Amiri" w:eastAsia="Amiri" w:cs="Amiri"/>
          <w:color w:val="111111"/>
          <w:sz w:val="28"/>
          <w:sz w:val="28"/>
          <w:szCs w:val="28"/>
          <w:rtl w:val="true"/>
          <w:lang w:bidi="ar-SA"/>
        </w:rPr>
        <w:t xml:space="preserve">بالناقص بعد تذكّره يشكّ في توجّه التكليف إليه ، ومنشأ شكّه أنّ الجزء المنسيّ هل كان له اقتضاء في حال النسيان أم لا ، والأصل يقتضي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بناءً على الوجه الثاني من كون الناسي مكلّفاً بما عدا الجزء ؛ فإنّه بعد الإتيان يشكّ في توجّه التكليف إليه ، والأصل هو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يعرف الأصل بناءً على الوجه الثالث ، فإنّ المكلّف به في حقّ الذاكر والناسي بحسب الخطاب الأوّل هو بقيّة الأجزاء ، وبحسب الخطاب الخاصّ للذاكر هو الجزء المنسيّ ، فإذا أتى الناسي بالبقيّة في حال النسيان فقد أتى بما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الأوّل ، ويشكّ بعد التذكّر في توجّه الخطاب الثاني إليه ، ومنشأ شكّه أنّ جزئية الجزء المنسيّ هل هي مختصّة بحال الذكر أم لا ، فهو من مصاديق الأقلّ والأكثر ، والمرجع هو البراءة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استيعاب النسيان لتمام الوقت وغيره بحسب الأصل العقلي ، منظور فيه ؛ فإنّ حاصل ما أفاده في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أصالة البراءة عن الجزء المنسيّ في حال النسيان لا تقتضي عدم وجوب الفرد التامّ في ظرف التذكّر ، بل مقتضى إطلاق الأدلّة وجوبه ؛ لأنّ المأمور به هو صرف وجود الطبيعة التامّة في مجموع الوقت ، ويكفي في وجوب ذلك التمكّن من إيجادها كذلك ولو في جزء من الوقت ، ولا يعتبر التمكّن في تمامه ، كما هو الحال في سائر الأعذار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الجزئية بأدلّة البراءة في حال النسيان لا يلازم رفعها في </w:t>
      </w:r>
    </w:p>
    <w:p>
      <w:pPr>
        <w:pStyle w:val="BookText"/>
        <w:rPr/>
      </w:pPr>
      <w:r>
        <w:rPr>
          <w:rFonts w:ascii="Amiri" w:hAnsi="Amiri" w:eastAsia="Amiri" w:cs="Amiri"/>
          <w:color w:val="111111"/>
          <w:sz w:val="28"/>
          <w:sz w:val="28"/>
          <w:szCs w:val="28"/>
          <w:rtl w:val="true"/>
          <w:lang w:bidi="ar-SA"/>
        </w:rPr>
        <w:t xml:space="preserve">ظرف التذكّر ؛ لأنّ الشكّ في الأوّل يرجع إلى ثبوت الجزئية في حال النسيان ، وفي الثاني يرجع إلى سقوط التكليف بالجزء في حال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المكلّف ذاكراً في أوّل الوقت ثمّ عرض له النسيان في الأثناء ، وإلاّ فيجري استصحاب التكليف ؛ للشكّ في سقوطه بسبب النسيان الطارئ الزائل في الوقت</w:t>
      </w:r>
      <w:r>
        <w:rPr>
          <w:rStyle w:val="FootnoteAnchor"/>
          <w:rtl w:val="true"/>
        </w:rPr>
        <w:footnoteReference w:id="38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الاعتراف بأنّ التكليف بالنسبة إلى الجزء المنسيّ ساقط في حال النسيان ، يرجع الشكّ إلى ثبوتِ التكليف بالجزء بعد التذكّر ، وتوجّهِ داعوية اُخرى للتكليف الثابت للمركّب بالنسبة إلى بقيّة الأجزاء المأتيّ بها ، والأصل يقتضي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المأمور به هو صرف الطبيعة التامّة في مجموع الوقت وكفايةُ التمكّن فيه في الجملة حقّ لو لم يأت بالمأمور به رأساً ، وأمّا لو أتى به بعد سقوط التكليف عن الجزء ، فتوجّه التكليف إليه وتجديد داعوية اُخرى بالنسبة إلى البقيّة مشكوك فيهما ويجري فيه البراءة ، كما أنّ التمسّك باستصحاب التكليف الثابت في أوّل الوقت بعد سقوط التكليف عن المركّب التامّ كما ترى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العقلي في الجزء المنسيّ يقتضي البراءة ، إلاّ على مسلك من ذهب إلى أنّ التكليف بالنسبة إلى الناسي وغيره سواء إلاّ في المعذورية العقلية ، وهي لا تقتضي سقوط التكليف </w:t>
      </w:r>
      <w:r>
        <w:rPr>
          <w:rFonts w:eastAsia="Amiri" w:cs="Amiri" w:ascii="Amiri" w:hAnsi="Amiri"/>
          <w:color w:val="111111"/>
          <w:sz w:val="28"/>
          <w:szCs w:val="28"/>
          <w:rtl w:val="true"/>
          <w:lang w:bidi="ar-SA"/>
        </w:rPr>
        <w:t xml:space="preserve">. </w:t>
      </w:r>
      <w:bookmarkStart w:id="327" w:name="pg12132_128076"/>
    </w:p>
    <w:p>
      <w:pPr>
        <w:pStyle w:val="Heading2"/>
        <w:numPr>
          <w:ilvl w:val="1"/>
          <w:numId w:val="1"/>
        </w:numPr>
        <w:rPr/>
      </w:pPr>
      <w:bookmarkStart w:id="328" w:name="__RefHeading___Toc3352784_417432637"/>
      <w:bookmarkStart w:id="329" w:name="_Toc113"/>
      <w:bookmarkEnd w:id="327"/>
      <w:bookmarkEnd w:id="328"/>
      <w:r>
        <w:rPr>
          <w:rtl w:val="true"/>
        </w:rPr>
        <w:t xml:space="preserve">المقام الثاني </w:t>
      </w:r>
      <w:r>
        <w:rPr>
          <w:rtl w:val="true"/>
        </w:rPr>
        <w:t xml:space="preserve">: </w:t>
      </w:r>
      <w:r>
        <w:rPr>
          <w:rtl w:val="true"/>
        </w:rPr>
        <w:t>فيما يقتضيه الأصل الشرعي في النقيصة السهوية</w:t>
      </w:r>
      <w:bookmarkEnd w:id="329"/>
    </w:p>
    <w:p>
      <w:pPr>
        <w:pStyle w:val="Heading2"/>
        <w:numPr>
          <w:ilvl w:val="1"/>
          <w:numId w:val="1"/>
        </w:numPr>
        <w:rPr/>
      </w:pPr>
      <w:bookmarkStart w:id="330" w:name="__RefHeading___Toc3352786_417432637"/>
      <w:bookmarkStart w:id="331" w:name="_Toc114"/>
      <w:bookmarkEnd w:id="330"/>
      <w:r>
        <w:rPr>
          <w:rtl w:val="true"/>
        </w:rPr>
        <w:t>صحّة التمسّك بحديث الرفع في رفع جزئية المنسيّ</w:t>
      </w:r>
      <w:bookmarkEnd w:id="331"/>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مقتضى الأصل الشرعي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بحديث الرفع</w:t>
      </w:r>
      <w:r>
        <w:rPr>
          <w:rStyle w:val="FootnoteAnchor"/>
          <w:rtl w:val="true"/>
        </w:rPr>
        <w:footnoteReference w:id="385"/>
      </w:r>
      <w:r>
        <w:rPr>
          <w:rFonts w:ascii="Amiri" w:hAnsi="Amiri" w:eastAsia="Amiri" w:cs="Amiri"/>
          <w:color w:val="111111"/>
          <w:sz w:val="28"/>
          <w:sz w:val="28"/>
          <w:szCs w:val="28"/>
          <w:rtl w:val="true"/>
          <w:lang w:bidi="ar-SA"/>
        </w:rPr>
        <w:t xml:space="preserve">لرفع الجزئية في 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مانع منه ، وتصير نتيجة الأدلّة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إطلاقها لحال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الرفع الحاكم عليها الدالّ على أنّ الجزء مرفوع في حال النسيان ، أنّ المأمور به في حال النسيان هو البقيّة</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ترك الجزء أو الشرط ؛ حيث يكون المنسيّ هو طبيعة الجزء والشرط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كإيجاد المانع والقاطع ؛ حيث يكون النسيان منشأً لإيجادهما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والمصحّح لذلك الإرجاع هو دعوى كون ما يلابس النسيان نسياناً ، ودعوى رفعه بواسطة رفع جميع الآثار ، على ما نبّهنا عليه سابقاًأ ، ومن آثار طبيعة الجزء والشرط الجزئية والشرطية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وجود الجزء هو الصحّة ، ورفعها يناقض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المنسيّ هو الطبيعة لا وجودها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الطبيعة في الخارج عين الطبيعة ، والصحّة ليست أثراً جعلياً ، بل لا يمكن أن تكون مجعولة إلاّ بمنشئها ، وما هو المجعول هو الجزئية أو الشرطية ، على ما هو التحقيق من قابلية تعلّق الجعل بهما ، وكيف كان يرفع الحديث الجزئية والشرطية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الجزئية في مقام الدخل في الملاك ممتنع ؛ لأ نّه تكويني ممتنع الرفع ، والرفع التشريعي بلحاظ الانتزاع عن التكليف فرع إمكان تكليف الناسي ، وهو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إمكان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مخالف لقوله حيث قال بجواز الجزئية المطلقة إذا كان لسان الجعل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التكاليف إرشادية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تنبّه في مورد من كلامه بأنّ البحث عن البراءة الشرعية بعد الفراغ عن إطلاق أدلّة الجزء والشرط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الطهارة ، أبواب الوضوء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الجزئية غير ممكن لأ نّها من الاُمور الانتزاعية ، فليست الجزئية تحت الجعل ولا تنالها يد التشريع ، وكون منشأ انتزاعها بيد الشرع عبارة اُخرى عن رفع التكليف عن المركّب ، فلا بدّ من القول بأنّ التكليف مرفوع عن المركّب بحديث الرفع ؛ لتعلّق الرفع بمنشأ انتزاع الجزئية ، وبناءً عليه لا يمكن إثبات </w:t>
      </w:r>
    </w:p>
    <w:p>
      <w:pPr>
        <w:pStyle w:val="BookText"/>
        <w:rPr/>
      </w:pPr>
      <w:r>
        <w:rPr>
          <w:rFonts w:ascii="Amiri" w:hAnsi="Amiri" w:eastAsia="Amiri" w:cs="Amiri"/>
          <w:color w:val="111111"/>
          <w:sz w:val="28"/>
          <w:sz w:val="28"/>
          <w:szCs w:val="28"/>
          <w:rtl w:val="true"/>
          <w:lang w:bidi="ar-SA"/>
        </w:rPr>
        <w:t>التكليف لبقيّة الأجزاء ، فلم تكن البقيّة مصداقاً للمأمور به حتّى يكون الإتيان بها مجزياً عنه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رفع الجزئية في حال النسيان هو أنّ الجزء الثابت بالأدلّة الأوّلية جدّاً مرفوع بحديث الرفع جدّاً ؛ فإنّه من قبيل النسخ الممتنع ، بل الرفع رفع بحسب الإرادة الاستعمالية ، وكاشف عن سلب الإرادة الجدّية من 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رفع بحسب التعميم القانوني ، لا الحكم الواقعي ، كما أنّ الحال كذلك في جميع الأدلّة الثانوية الحاكمة على الأدلّة الأوّلية ، فحديث الرفع يكشف عن أنّ الأمر المتعلّق بالمركّب ، التامّ صورة ، المطلق لحال الذكر والنسيان ، لا يكون متعلّقاً إلاّ بالمركّب الناقص في حقّ الناسي</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ضرورة أنّ حديث الرفع لا يتكفّل الوضع على ما قرّرنا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يكشف عن عدم الجزئية والشرطية لحال النسيان من أوّل الأمر ، ومعه لا معنى لرفع التكليف عن البقيّة ، بل الرفع بما ذكره يرجع إلى النسخ المستحيل والبداء المحال ، كما يظهر بالتأ 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فالبقيّة مأمور بها بنفس الأوامر الأوّلية ، ومع رفع الجزئية تكون البقيّة مصداقاً للمأمور به ، ويسقط الأمر المتعلّق بالطبيعة ، وهذا معنى الإجزاء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التمسّك بحديث الرفع من كون المرفوع له نحو تقرّر وثبوت ، فلا يتعلّق الرفع بالمعدومات وإن تنالها يد التشريع ، ورفع النسيان لو تعلّق بجزئية الجزء يكون من نسيان الحكم لا الموضوع ، والحال أنّ المنسيّ نفس الجزء ؛ أي الإتيان به قولاً أو فعلاً ، ومعنى نسيانه خلوّ صفحة الوجود عنه ، فلا يعقل تعلّق الرفع به ؛ لأ نّه 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ليس محلّ البحث النسيان المستوعب ، ونسيان الجزء في بعض الوقت كنسيان أصل المركّب فيه ، فكما أنّ الثاني لا يوجب سقوط التكليف رأساً كذلك الأوّل</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يتعلّق بالجزئية حال نسيان الموضوع ، فالجزء المنسيّ مرفوع من المركّب الذي هو جزؤه بحسب الأدلّة الأوّلية ، ولا دليل على اختصاص الرفع بنسيان الحكم ، بل يعمّ نسيان الموضوع ، وعدم نسيان الحكم لا يقتضي ثبوت الجزء من حيثية نسيان الموضوع ، وحديث الرفع يقتضي رفعه من حيث نسيانه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إنّما يتعلّق بالجزئية حال نسيان الموضوع ، وهي أمر وجودي ، فما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تعلّق الرفع بالمعدوم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يصغى إليه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قياس نسيان الجزء بنسيان نفس المركّب فهو من عجيب الأمر ؛ فإنّ </w:t>
      </w:r>
      <w:bookmarkStart w:id="332" w:name="pg12132_128080"/>
    </w:p>
    <w:p>
      <w:pPr>
        <w:pStyle w:val="BookText"/>
        <w:rPr/>
      </w:pPr>
      <w:bookmarkEnd w:id="332"/>
      <w:r>
        <w:rPr>
          <w:rFonts w:ascii="Amiri" w:hAnsi="Amiri" w:eastAsia="Amiri" w:cs="Amiri"/>
          <w:color w:val="111111"/>
          <w:sz w:val="28"/>
          <w:sz w:val="28"/>
          <w:szCs w:val="28"/>
          <w:rtl w:val="true"/>
          <w:lang w:bidi="ar-SA"/>
        </w:rPr>
        <w:t xml:space="preserve">عدم الإتيان بالمركّب لا يمكن أن يقتضي الإجزاء ، بخلاف الإتيان به مع رفع جزئه بالحديث ؛ فإنّ الناقص يصير مصداق المأمور به بعد حكومة الحديث على الأدلّة ، والإتيان به يقتضي الإجزاء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جمع الحديث مع الأدلّة الأوّلية ، هو كون المكلّف به ما عدا الجزء المنسيّ في النسيان، من غير فرق بين المستوعب وغيره</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3352788_417432637"/>
      <w:bookmarkStart w:id="334" w:name="_Toc115"/>
      <w:bookmarkEnd w:id="333"/>
      <w:r>
        <w:rPr>
          <w:rtl w:val="true"/>
        </w:rPr>
        <w:t xml:space="preserve">المقام الثالث </w:t>
      </w:r>
      <w:r>
        <w:rPr>
          <w:rtl w:val="true"/>
        </w:rPr>
        <w:t xml:space="preserve">: </w:t>
      </w:r>
      <w:r>
        <w:rPr>
          <w:rtl w:val="true"/>
        </w:rPr>
        <w:t>في الزيادة العمدية والسهوية</w:t>
      </w:r>
      <w:bookmarkEnd w:id="334"/>
    </w:p>
    <w:p>
      <w:pPr>
        <w:pStyle w:val="Heading2"/>
        <w:numPr>
          <w:ilvl w:val="1"/>
          <w:numId w:val="1"/>
        </w:numPr>
        <w:rPr/>
      </w:pPr>
      <w:bookmarkStart w:id="335" w:name="__RefHeading___Toc3352790_417432637"/>
      <w:bookmarkStart w:id="336" w:name="_Toc116"/>
      <w:bookmarkEnd w:id="335"/>
      <w:r>
        <w:rPr>
          <w:rtl w:val="true"/>
        </w:rPr>
        <w:t>تصوير الزيادة في الجزئية والشرطية</w:t>
      </w:r>
      <w:bookmarkEnd w:id="336"/>
    </w:p>
    <w:p>
      <w:pPr>
        <w:pStyle w:val="BookText"/>
        <w:rPr/>
      </w:pPr>
      <w:r>
        <w:rPr>
          <w:rFonts w:ascii="Amiri" w:hAnsi="Amiri" w:eastAsia="Amiri" w:cs="Amiri"/>
          <w:color w:val="111111"/>
          <w:sz w:val="28"/>
          <w:sz w:val="28"/>
          <w:szCs w:val="28"/>
          <w:rtl w:val="true"/>
          <w:lang w:bidi="ar-SA"/>
        </w:rPr>
        <w:t xml:space="preserve">وأمّا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الزيادة العمدية والسهوية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قبل التعرّض له من التنبيه على أمر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وقوع الزيادة على وِزان وقوع النقيصة ممّا لا يتصوّر ولا يعقل ، سواء اُخذ المركّب بشرط لا والجزء كذلك ، أو كلاهما لا بشرط ، أو اُخذا مختلفين ؛ وذلك لأنّ الجزئية من الاُمور الانتزاعية من تعلّق الأمر بمجموع اُمور في لحاظ الوحدة ، كما مرّ سابقاً </w:t>
      </w:r>
      <w:r>
        <w:rPr>
          <w:rStyle w:val="FootnoteAnchor"/>
          <w:rtl w:val="true"/>
        </w:rPr>
        <w:footnoteReference w:id="390"/>
      </w:r>
      <w:r>
        <w:rPr>
          <w:rFonts w:ascii="Amiri" w:hAnsi="Amiri" w:eastAsia="Amiri" w:cs="Amiri"/>
          <w:color w:val="111111"/>
          <w:sz w:val="28"/>
          <w:sz w:val="28"/>
          <w:szCs w:val="28"/>
          <w:rtl w:val="true"/>
          <w:lang w:bidi="ar-SA"/>
        </w:rPr>
        <w:t xml:space="preserve">فإذا تعلّق به كذلك ينتزع من المجموع الكلّية ، ومن كلّ واحد منها الجزئية للمأمور به ، فالجزئية من الانتزاعيات التابعة لتعلّق الأمر بالمركّب ، فحينئذٍ نقيصة الجزء ممكنة ؛ فإنّها عبارة عن إتيان المركّب مع ترك ما اعتبر جزءاً واُخذ فيه في لحاظ التركيب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الزيادة بهذا المعنى فإنّها تنافي الجزئية ، فلا يعقل الإتيان بشيءٍ معتبر في </w:t>
      </w:r>
    </w:p>
    <w:p>
      <w:pPr>
        <w:pStyle w:val="BookText"/>
        <w:rPr/>
      </w:pPr>
      <w:r>
        <w:rPr>
          <w:rFonts w:ascii="Amiri" w:hAnsi="Amiri" w:eastAsia="Amiri" w:cs="Amiri"/>
          <w:color w:val="111111"/>
          <w:sz w:val="28"/>
          <w:sz w:val="28"/>
          <w:szCs w:val="28"/>
          <w:rtl w:val="true"/>
          <w:lang w:bidi="ar-SA"/>
        </w:rPr>
        <w:t xml:space="preserve">المركّب ؛ لمكان انتزاع الجزئية ومع ذلك يكون زائداً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الزيادة من سنخ المزيد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المزيد فيه محدوداً بحدّ مخصوص ولو اعتباراً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الجزء أو الشرط في المركّب في مقام الاعتبار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بشرط لا من طرف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لا بشرط في طرف الزيادة ، على معنى أ نّه لو زِيد عليه لكان الزائد خارجاً عن المركّب ؛ باعتبار عدم تعلّق اللحاظ بالزائد في مقام اعتباره جزءاً للمركّب ، كما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مهية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الواحد لا مقيّداً بكونه بشرط عدم الزيادة ولا طبيعة الركوع ، فإنّ في مثله يكون الوجود الثاني خارجاً عن الصلاة ؛ لعدم تعلّق اللحاظ به في مقام جعل المهية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لا بشرط ، بنحو لو زِيد عليه لكان الزائد أيضاً من المركّب لا خارجاً عنه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الركوع الجامع بين الواحد والمتعدّد في الصلاة ؛ أي في كلّ ركعة ، لا الركوع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مجال لتصوّر الزيادة على الأوّل ؛ لرجوعها إلى النقيصة ، وكذا على الثاني ؛ لأنّ الزائد عليه ليس من سنخ المزيد عليه ؛ لخروج الوجود الثاني عن دائرة اللحاظ ، فيستحيل اتّصافه بالصلاتية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الثالث فيتصوّر الزيادة الحقيقية ، سواء اُخذ الجزء في مقام الأمر بشرط لا أو لا بشرط بالمعنى الأوّل أو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الأوّلين فظاهر ؛ لأنّ الوجود الثاني من طبيعة الجزء ممّا يصدق عليه الزيادة بالنسبة إلى ما اعتبر في المأمور به من تحديد الجزء بالوجود الواحد ؛ حيث إنّه بتعلّق الأمر بالصلاة المشتملة على ركوع واحد تتحدّد طبيعة الصلاة بالقياس إلى دائرة المأمور به منها بحدّ يكون الوجود بالنسبة إلى ذلك الحدّ من الزيادة ؛ لقلب حدّه إلى حدّ آخر ، وإن لم تصدق الزيادة بالنسبة إلى المأمور به بما هو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على الأخير ؛ إذ بانطباق صِرف الطبيعي على الوجود الأوّل في المتعاقبات تتحدّد دائرة المركّب والمأمور به بحدّ قهراً يكون الوجود الثاني زيادة في المركّب والمأمور به ، فتأ مّلأ ،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بالتأ مّل أشار إلى وجوه من الخلط الواقع في كلامه ، 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 بشرط بالمعنى الأوّل مع تمثيله بالركوع الواحد ممّا لا يرجع إلى محصّل ؛ فإنّ معنى اللا بشرط هو أخذ نفس الطبيعة بلا قيد ، لا الطبيعة المقيّدة بالوحدة ، فحينئذٍ إن كان الواحد قيداً يصير بشرط الوحدة ، وهو مساوق للمهية بشرط لا عن الزيادة ، وإن لم يكن قيداً يكون المأخوذ نفس الطبيعة ، فيرجع إلى المعنى الثاني من اللا بشرط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يعتبر قبل تعلّق الحكم غير ما تعلّق به الحكم ، وبهذا يريد تصوير الزيادة ، وهذا بمكان من الغرابة ؛ ضرورة أنّ اعتبار المهية قبل تعلّق الحكم لا بشرط ثمّ تعليق الحكم بها بنحو بشرط لا أو لا بشرط بالمعنى الثاني لغو محض ، وإنّما يعتبر العاقل قبل تعلّق الحكم موضوعاً يريد أن يحكم عليه ، فلا معنى لاعتباره بوجه ثمّ الرجوع عنه واعتباره بوجه آخر يريد أن يحكم عليه ، ولا يمكن الجمع بين الاعتبارين لتنافيهما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تسليم كلّ ذلك لا يتصوّر الزيادة ؛ لأنّ ما يوجب البطلان هو الزيادة في المكتوبة ، والزيادة في صلاة المكلّف ، والموضوع الذي اعتبره قبل تعلّق الحكم ولم يأمر به لم يكن مكتوبة ولا مرتبطة بالمكلّف حتّى يكون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الزيادة المتخيّلة لا تكون في المأمور به كما اعترف به ، ولا يمكن أن تكون في الطبيعة اللا بشرط ؛ لفرض كونها بنحو كلّ ما اُوجد يكون من المركّب ، فأين الزيادة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فوقوع الزيادة في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الأجزاء والشرائط على وزان وقوع النقيصة فيهما ضروري البطلان ، من غير </w:t>
      </w:r>
      <w:bookmarkStart w:id="337" w:name="pg12132_128083"/>
    </w:p>
    <w:p>
      <w:pPr>
        <w:pStyle w:val="BookText"/>
        <w:rPr/>
      </w:pPr>
      <w:bookmarkEnd w:id="337"/>
      <w:r>
        <w:rPr>
          <w:rFonts w:ascii="Amiri" w:hAnsi="Amiri" w:eastAsia="Amiri" w:cs="Amiri"/>
          <w:color w:val="111111"/>
          <w:sz w:val="28"/>
          <w:sz w:val="28"/>
          <w:szCs w:val="28"/>
          <w:rtl w:val="true"/>
          <w:lang w:bidi="ar-SA"/>
        </w:rPr>
        <w:t xml:space="preserve">فرق بين أنحاء الاعتبارات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الزيادة بالمعنى العرفي ممكنة ؛ فإنّ وجود الثاني لما اُخذ جزءاً للمركّب زائد عرفاً ، سواء اُخذ المركّب والجزء لا بشرط أو بشرط لا أو مختلفين ، فإنّ الجزء إذا اُخذ بشرط لا ، ينحلّ إلى ذات الجزء للمركّب وشرط للجزء له ، فالإتيان بالوجود الثاني يكون زيادة لذات الجزء ونقيصة لشرطه ، فالوجود الثاني كما هو منشأ انتزاع النقيصة يكون منشأ انتزاع الزيادة ، فهو بذاته زيادة وباعتبار آخر منشأً للإخلال بقيد الجزء ، ولا مانع من كون شيء زيادة ومنشأً للنقصان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المحقّق الخراساني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اعتبار عدم الزيادة شرطاً أو شطراً في الواجب مع عدم اعتباره في جزئيته ، وإلاّ لم يكن من زيادته بل من نقصانه</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w:t>
      </w:r>
      <w:r>
        <w:rPr>
          <w:rFonts w:eastAsia="Amiri" w:cs="Amiri" w:ascii="Amiri" w:hAnsi="Amiri"/>
          <w:color w:val="111111"/>
          <w:sz w:val="28"/>
          <w:szCs w:val="28"/>
          <w:rtl w:val="true"/>
          <w:lang w:bidi="ar-SA"/>
        </w:rPr>
        <w:t>.</w:t>
      </w:r>
    </w:p>
    <w:p>
      <w:pPr>
        <w:pStyle w:val="Heading2"/>
        <w:numPr>
          <w:ilvl w:val="1"/>
          <w:numId w:val="1"/>
        </w:numPr>
        <w:rPr/>
      </w:pPr>
      <w:bookmarkStart w:id="338" w:name="__RefHeading___Toc3352792_417432637"/>
      <w:bookmarkStart w:id="339" w:name="_Toc117"/>
      <w:bookmarkEnd w:id="338"/>
      <w:r>
        <w:rPr>
          <w:rtl w:val="true"/>
        </w:rPr>
        <w:t>عدم مبطلية الزيادة مطلقاً</w:t>
      </w:r>
      <w:bookmarkEnd w:id="339"/>
    </w:p>
    <w:p>
      <w:pPr>
        <w:pStyle w:val="BookText"/>
        <w:rPr/>
      </w:pPr>
      <w:r>
        <w:rPr>
          <w:rFonts w:ascii="Amiri" w:hAnsi="Amiri" w:eastAsia="Amiri" w:cs="Amiri"/>
          <w:color w:val="111111"/>
          <w:sz w:val="28"/>
          <w:sz w:val="28"/>
          <w:szCs w:val="28"/>
          <w:rtl w:val="true"/>
          <w:lang w:bidi="ar-SA"/>
        </w:rPr>
        <w:t>نعم ، هاهنا بحث آخر وراء تصوير الزيادة ، وهو أنّ البطلان هل يستند عقلاً إلى الزيادة أو إلى النقيصة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أنّ الزيادة العمدية فضلاً عن السهوية لا توجب البطلان ؛ لأنّ الفساد والبطلان إنّما ينتزع من عدم تطابق المأتيّ به للمأمور به ، والفرض أنّ الجزء الزائد بما أ نّه زائد غير دخيل في المأمور به ، فما هو الدخيل هو تقيّد الجزء أو المأمور به بعدمها ، وبهذا الاعتبار يكون المأتيّ به غير منطبق على </w:t>
      </w:r>
      <w:bookmarkStart w:id="340" w:name="pg12132_128084"/>
    </w:p>
    <w:p>
      <w:pPr>
        <w:pStyle w:val="BookText"/>
        <w:rPr/>
      </w:pPr>
      <w:bookmarkEnd w:id="340"/>
      <w:r>
        <w:rPr>
          <w:rFonts w:ascii="Amiri" w:hAnsi="Amiri" w:eastAsia="Amiri" w:cs="Amiri"/>
          <w:color w:val="111111"/>
          <w:sz w:val="28"/>
          <w:sz w:val="28"/>
          <w:szCs w:val="28"/>
          <w:rtl w:val="true"/>
          <w:lang w:bidi="ar-SA"/>
        </w:rPr>
        <w:t xml:space="preserve">المأمور به ، فالبطلان مستند إلى النقيصة لا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الإتيان بضميمة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أخذ عدمها قيداً في المأمور به أو في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التشريك في الداعوية يوجب البطلان ، لا للزيادة بما هي زيادة ، بل لنقص ما هو معتبر عقلاً في الامتثال من كون الأمر مستقلاًّ في الداعوية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الزيادة مطلقاً لا توجب البطلان ، إلاّ إذا اُخذ عدمها في المركّب أو الجزء حتّى ترجع إلى النقيصة ، فإذا شكّ في ذلك يكون من مصاديق الأقلّ والأكثر ، والمرجع فيه البراءة </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3352794_417432637"/>
      <w:bookmarkStart w:id="342" w:name="_Toc118"/>
      <w:bookmarkEnd w:id="341"/>
      <w:r>
        <w:rPr>
          <w:rtl w:val="true"/>
        </w:rPr>
        <w:t>التمسّك بالاستصحاب لإثبات صحّة العمل مع الزيادة</w:t>
      </w:r>
      <w:bookmarkEnd w:id="342"/>
    </w:p>
    <w:p>
      <w:pPr>
        <w:pStyle w:val="BookText"/>
        <w:rPr/>
      </w:pPr>
      <w:r>
        <w:rPr>
          <w:rFonts w:ascii="Amiri" w:hAnsi="Amiri" w:eastAsia="Amiri" w:cs="Amiri"/>
          <w:color w:val="111111"/>
          <w:sz w:val="28"/>
          <w:sz w:val="28"/>
          <w:szCs w:val="28"/>
          <w:rtl w:val="true"/>
          <w:lang w:bidi="ar-SA"/>
        </w:rPr>
        <w:t xml:space="preserve">ثمّ إنّه قد يتمسّك لصحّة ما اُتي به مع الزيادة بالاستصحاب ، ويمكن تقريره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قاطعية الزيادة أو مانعيتها بنحو العدم الأزلي ، فيشار إلى ماهية الزائد بأ نّها قبل تحقّقها لم تكن متّصفة بالقاطعية ، والآن كما كان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عرفت سابقاً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محفوظية الهذية ؛ لأنّ الشيء قبل تحقّقه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مشاراً إليه ، ولا محكوماً بشيء إثباتاً ونفياً ، والمهية قبل وجودها لا شيئية لها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قبل وجودها كانت كذا ، أو لم تكن 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الاستصحاب من وحدة القضيّة المتيقّنة والمشكوك فيها ، وليس في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حذو سائر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ومحمول ونسبة حاكية عن الواقع ولو بنحو من الحكاية ، فاستصحاب العدم الأزلي ممّا لا أصل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صحّة المأتيّ به باستصحاب عدم اتّصاف الزائد بالقاطعية عقلي ، 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سلب قاطعيته للصلاة الموجودة بذلك الاستصحاب أيضاً عقلي ، وفيه نظر آخر يطول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وقوع القاطع في الهيئة الاتّصالية التي في الصلاة ، بناءً على اعتبارها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الإشارة إليه</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لها هيئة اتّصالية متحقّقة حين اشتغال المصلّي بها ، ولم يكن القاطع واقعاً فيها قبل تحقّقها ؛ أي تحقّق الزيادة ، فإذا وجدت الزيادة يشكّ في حصول القاطع ، فيستصحب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يمكن أن يستصحب عدم المانع لدى الشكّ في كون الزيادة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الصلاة تكون متقيّدة بعدم المانع ، والاستصحاب لا يثبت التقيّد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جارٍ في نفس 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الكون الرابط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استصحاب عدم تحقّق المانع في الصلاة عبارة اُخرى عن كونها بلا مانع ، وهذا ممّا لا إشكال فيه</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ثمّ إنّ جريان هذا الاستصحاب موقوف على البناء على أنّ المانع والقاطع منتزعان من تقيّد المأمور به بعدمهما مع نحو اختلاف في اعتبارهما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اعتبارهما من جعل الضدّية بينهما وبين المأمور به فلا يجري الاستصحاب ؛ لكونه مثبتاً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إنّا لا نحتاج إلى إثبات الهيئة الاتّصالية للصلاة في جريان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يجري في غير ما يقارن الصلاة من أوّل وجودها ، وإلاّ فلا يجري كاللباس المشكوك فيه ، كما أنّ المفروض في القاطع أيضاً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الهيئة الاتّصالية ، وهي أمر اعتباري وراء نفس الأجزاء ،يكون تحقّقها من أوّل وجود المركّب إلى آخره ، فصار المركّب بحسب هذا الاعتبار أمراً وحدانياً متّصلاً كالموجودات الغير القارّة ، يكون أوّله بأوّل جزئه ، ويكون متّصلاً ممتدّاً بلا تخلّل عدم إلى آخره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والأجزاء مع قطع النظر عن هذا الاعتبار في المركّبات وإن كانت لها وحدة بحسب الاعتبار ؛ لأنّ المركّب يتقوّم بنحو من الوحدة ، كما ذكرنا في باب الأقلّ والأكثر</w:t>
      </w:r>
      <w:r>
        <w:rPr>
          <w:rStyle w:val="FootnoteAnchor"/>
          <w:rtl w:val="true"/>
        </w:rPr>
        <w:footnoteReference w:id="398"/>
      </w:r>
      <w:r>
        <w:rPr>
          <w:rFonts w:ascii="Amiri" w:hAnsi="Amiri" w:eastAsia="Amiri" w:cs="Amiri"/>
          <w:color w:val="111111"/>
          <w:sz w:val="28"/>
          <w:sz w:val="28"/>
          <w:szCs w:val="28"/>
          <w:rtl w:val="true"/>
          <w:lang w:bidi="ar-SA"/>
        </w:rPr>
        <w:t xml:space="preserve">لكنّ السكونات المتخلّلة في البين إذا لم تعتبر الهيئة الاتّصالية تكون خارجة عن نفس المركّب ، ومعه تكون داخلة فيها ، لا على حذو سائر الأجزاء فتكون في عرضها ، بل هي أمر معتبر فيه كخيط ينظم شتات الأجزاء ويتّصل به بعضها ببعض ، فيكون الآتي بالمركّب داخلاً فيه من أوّله إلى آخره حتّى في السكونات المتخلّلة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يحتاج إلى دليل يدلّ عليه ، وقد دلّ عليه الدليل في الصلاة ؛ فإنّها بحسب ارتكاز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القطعي عن اعتبار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مستمرّ من أوّلها إلى آخرها ، يصير المصلّي بتكبيره داخلاً فيها إلى أن يخرج منها بالسلام ، ويرى كلّ مصلّ نفسه داخلاً في الصلاة ومشتغلاً بها حتّى في السكونات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تعبيراتهم في باب فساد الصلاة هو القطع والنقض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قطع صلاته أو نقضها ، ممّا يكشف عن كونها بحسب ارتكازهم أمراً متّصلاً ممتدّاً قابلاً للقطع والنقض ، وهذا أمر تلقّاه المتشرّعة كلّ طبقة عن طبقة ، وكلّ خلف عن سلف ، حتّى ينتهي إلى صاحب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الروايات المستفيضة المعبّرة عن جملة من المفسدات بالقواطع</w:t>
      </w:r>
      <w:r>
        <w:rPr>
          <w:rStyle w:val="FootnoteAnchor"/>
          <w:rtl w:val="true"/>
        </w:rPr>
        <w:footnoteReference w:id="399"/>
      </w:r>
      <w:r>
        <w:rPr>
          <w:rFonts w:ascii="Amiri" w:hAnsi="Amiri" w:eastAsia="Amiri" w:cs="Amiri"/>
          <w:color w:val="111111"/>
          <w:sz w:val="28"/>
          <w:sz w:val="28"/>
          <w:szCs w:val="28"/>
          <w:rtl w:val="true"/>
          <w:lang w:bidi="ar-SA"/>
        </w:rPr>
        <w:t xml:space="preserve">، ولولا اعتبار الهيئة الاتّصالية فيها لما يحسن التعبير بالقطع والقاطع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واستشكل بعض أعاظم العصر رحمه الله علیه على استصحاب الهيئة الاتّصالية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تعلّق النواهي الغيرية لا يدلّ على اعتبار الهيئة الاتّصالية فيها ؛ إذ من الممكن أن تكون الصلاة هي الأجزاء والشرائط مقيّدة بعدم تخلّل القواطع في أثنائها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بعد تسليم ذلك يمكن أن يمنع تعلّق الطلب بها على نحو تعلّقه بالأجزاء ، بل هو إنّما تعلّق بنفس عدم تخلّل الالتفات ونحوه فيها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ذلك ، إلاّ أ نّه لا إشكال في تعلّق الطلب بعدم </w:t>
      </w:r>
    </w:p>
    <w:p>
      <w:pPr>
        <w:pStyle w:val="BookText"/>
        <w:rPr/>
      </w:pPr>
      <w:r>
        <w:rPr>
          <w:rFonts w:ascii="Amiri" w:hAnsi="Amiri" w:eastAsia="Amiri" w:cs="Amiri"/>
          <w:color w:val="111111"/>
          <w:sz w:val="28"/>
          <w:sz w:val="28"/>
          <w:szCs w:val="28"/>
          <w:rtl w:val="true"/>
          <w:lang w:bidi="ar-SA"/>
        </w:rPr>
        <w:t>وقوع القواطع فيها ؛ لدلالة ظواهر الأدلّة عليه ، فلا بدّ من علاج الشبهة عند وقوع ما يشكّ في قاطعيته ، ولا ترتفع باستصحاب الهيئة الاتّصالية ؛ لأنّ الشكّ في بقائها مسبّب عن الشكّ في قاطعية الموجود ، والشكّ المسبّبي لا يرفع الشكّ السببي إلاّ بالأصل المثبت ، وعلى فرض منع السببية فلا أقلّ من كونهما متلازمين ، فلا مجال لاستصحاب الهيئة لرفع الشكّ عن قاطعية الزيادة ، ولا بدّ من علاجه ، وطريقه ينحصر بأصالة البراءة</w:t>
      </w:r>
      <w:r>
        <w:rPr>
          <w:rStyle w:val="FootnoteAnchor"/>
          <w:rtl w:val="true"/>
        </w:rPr>
        <w:footnoteReference w:id="400"/>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استفادة الهيئة ليست من تعلّق النواهي الغيرية ؛ ضرورة عدم دلالتها عليها ، بل ممّا ذكرنا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تسليم كونها معتبرة فيها بحسب الأدلّة لا معنى لإنكار تعلّق الطلب بها على نحو سائر ما يعتبر فيها ، فإنّ الأجزاء والشرائط أيضاً لم يتعلّق بها طلب مستقلّ ، بل لم يتعلّق الطلب إلاّ بالمركّب بما أ نّه مركّب ، ومعلوم أ نّه كلّ ما يعتبر فيه من الأجزاء والشرائط يكون متعلّقاً له بعين تعلّقه بالمركّب ، فمنع تعلّق الطلب الاستقلالي في محلّه ، لكنّ الأجزاء أيضاً لم يتعلّق بها الطلب كذلك ، وأ مّا منع تعلّقه مطلقاً على نعت تعلّقه بالأجزاء فممنوع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تسليم تعلّق الطلب بالهيئة الاتّصالية لا مجال لتعلّقه بالقواطع أيضاً ؛ لأنّ شرطية أحد الضدّين ومانعية الآخر أو قاطعيته ممّا لا يمكن ، كما اعترف به وفصّله في الأمر الثالث في رسالته المعمولة في </w:t>
      </w:r>
    </w:p>
    <w:p>
      <w:pPr>
        <w:pStyle w:val="BookText"/>
        <w:rPr/>
      </w:pPr>
      <w:r>
        <w:rPr>
          <w:rFonts w:ascii="Amiri" w:hAnsi="Amiri" w:eastAsia="Amiri" w:cs="Amiri"/>
          <w:color w:val="111111"/>
          <w:sz w:val="28"/>
          <w:sz w:val="28"/>
          <w:szCs w:val="28"/>
          <w:rtl w:val="true"/>
          <w:lang w:bidi="ar-SA"/>
        </w:rPr>
        <w:t>اللباس المشكوك فيه ، بل جعل امتناعه في الوضوح تالياً لامتناع اجتماع الضدّين فيه ، فراجع</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بعد تسليم تعلّق الطلب بالهيئة الاتّصالية لا بدّ من صرف ظواهر النواهي المتعلّقة بالقواطع عن ظاهرها إلى كونها إرشادية إلى اعتبار الهيئة الاتّصالية ، فاستصحاب الهيئة كافٍ لإثبات الصحّة من غير احتياج إلى إحراز عدم قاطعية الزائد ؛ لعدم تقيّد الصلاة بعدم القواطع ، بل تتقيّد بوجود الهيئة الاتّصالية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شرطية أحد الضدّين ومانعية الآخر مسلّم فيما إذا كان الضدّان تكوينيين ، وأمّا في الاُمور الجعلية الاعتبارية ، كشرطية شيء للمأمور به ومانعية شيء له ، ممّا تكون الشرطية باعتبار التقيّد بوجود شيء ، والمانعية باعتبار التقيّد بعدم شيء ، فممّا لا يمكن الالتزام به ؛ لأنّ الضدّية لا تتحقّق إلاّ باعتبار أخذ عدم شيء في تحقّق الآخر في عالم الاعتبار والتشريع ، فإنّ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مضادّاً للحدث تكويناً ، بل الضدّية إنّما هي باعتبار أخذ عدم الأحداث في تحقّق الوضوء حدوثاً وبقاءً ، ومن ذلك ينتزع الضدّية والتمانع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لا يمكن تحقّق الضدّية بين الهيئة الاتّصالية والقواطع لها إلاّ باعتبار تقيّدها بعدمها ، وإلاّ فمع عدم اعتبار عدمها فيها لا يكاد يحصل الفرق بين القهقهة والتبسّم ، ولا بين البكاء لأمر الدنيا ولخوف اللّه تعالى؛ حيث يكون أحدهما قاطعاً دون الآخر ، وليس ذلك إلاّ باعتبار أخذ عدم أحدهما فيها دون </w:t>
      </w:r>
    </w:p>
    <w:p>
      <w:pPr>
        <w:pStyle w:val="BookText"/>
        <w:rPr/>
      </w:pPr>
      <w:r>
        <w:rPr>
          <w:rFonts w:ascii="Amiri" w:hAnsi="Amiri" w:eastAsia="Amiri" w:cs="Amiri"/>
          <w:color w:val="111111"/>
          <w:sz w:val="28"/>
          <w:sz w:val="28"/>
          <w:szCs w:val="28"/>
          <w:rtl w:val="true"/>
          <w:lang w:bidi="ar-SA"/>
        </w:rPr>
        <w:t xml:space="preserve">الآخر ، فحينئذٍ لا محيص من اعتبار الهيئة الاتّصالية واعتبار تقيّد الصلاة بعدم القواطع ، فلا بدّ من أخذ أحد الضدّين شرطاً والآخر قاطعاً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ممتنعاً هو جعل أحد الضدّين شرطاً لشيء والآخر قاطعاً له ، بحيث يكون اعتبار كلا الضدّين وجوداً وعدماً في نفس المركّب ؛ ضرورة لزوم اللغوية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عدم شيء في شيء ، واعتبار المتقيّد بذلك في شيء آخر ، فلاإشكال فيه ، ففي باب الطهارة يكون عدم الأحداث المعهودة معتبراً فيها حدوثاً وبقاءً ، فتنتزع منه القاطعية وتقع الضدّية بينهما بهذا الاعتبار ، لكن ما جعل معتبراً</w:t>
      </w:r>
    </w:p>
    <w:p>
      <w:pPr>
        <w:pStyle w:val="BookText"/>
        <w:rPr/>
      </w:pPr>
      <w:r>
        <w:rPr>
          <w:rFonts w:ascii="Amiri" w:hAnsi="Amiri" w:eastAsia="Amiri" w:cs="Amiri"/>
          <w:color w:val="111111"/>
          <w:sz w:val="28"/>
          <w:sz w:val="28"/>
          <w:szCs w:val="28"/>
          <w:rtl w:val="true"/>
          <w:lang w:bidi="ar-SA"/>
        </w:rPr>
        <w:t xml:space="preserve">في الصلاة هو الطهارة لا عدم الأحداث ، فلاتكون الصلاة إلاّ مشروطة بالطهارة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على ذلك اعتبار الهيئة الاتّصالية في الصلاة ، فإنّها هي المعتبرة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القواطع فأعدامها معتبرة في تحقّق الهيئة الاتّصالية ، لا في الصلاة في عرض الهيئة ، فعدم القواطع قيد شرط الصلاة لا قيدها ، فلا يكون ممتنعاً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أدلّة القواطع أ نّها قاطعة للصلاة نفسها ؛ ضرورة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إذا كان بكلّه يقطع الصلاة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يقطع الصلاة إلاّ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 والبول ، والريح ، والصوت</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ظاهران في كونها قاطعة لنفس الصلاة ، لا أ نّها قاطعة لشرطها وينسب القاطعية إليها بالعرض والمجاز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ما نتعرّض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إنّما هو تصوّرات في مقام الثبوت ، ولاستفادة شرائط الصلاة وقواطعها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إثبات كون الصلاة ذات هيئة اتّصالية بالارتكاز القطعي من المتشرّعة ودلالة أدلّة القواطع ، لا مجال لهذا الإشكال ؛ لأنّ المركّب كما أ نّه موجود بعين وجود أجزائه وشرائطه لا بوجود آخر مسبّب منهما ، كذلك عدمه بنفس عدمهما ، لا أنّ عدمه مسبّب عن إعدامهما ، فانتساب قواطع الهيئة إلى الصلاة لا يوجب مجازاً في اللفظ ولا مخالفة للظواهر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الصحّة التأهّلية للأجزاء بعد وقوع ما يشكّ في قاطعيته أو مانعيته</w:t>
      </w:r>
      <w:r>
        <w:rPr>
          <w:rStyle w:val="FootnoteAnchor"/>
          <w:rtl w:val="true"/>
        </w:rPr>
        <w:footnoteReference w:id="404"/>
      </w:r>
      <w:r>
        <w:rPr>
          <w:rFonts w:ascii="Amiri" w:hAnsi="Amiri" w:eastAsia="Amiri" w:cs="Amiri"/>
          <w:color w:val="111111"/>
          <w:sz w:val="28"/>
          <w:sz w:val="28"/>
          <w:szCs w:val="28"/>
          <w:rtl w:val="true"/>
          <w:lang w:bidi="ar-SA"/>
        </w:rPr>
        <w:t xml:space="preserve">، ومعنى الصحّة التأهّلية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الأجزاء السالفة تكون لها حيثية استعدادية للحوق الأجزاء اللاحقة بها ، ولم تخرج بواسطة تخلّل ما يشكّ في قاطعيته عن تلك الحيثية ، ولم يبطل الاستعداد بواسطته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لا يرد عليه ما أورده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استصحاب تعليقي أوّلاً ، ولا مجال لجريانه ثانياً ؛ لأنّ معنى الصحّة التأهّلية هو أ نّه لو انضمّ إليها البقيّة تكون الصلاة صحيحة ، وهذا المعنى فرع وقوع الأجزاء السالفة صحيحة ، وهذا ممّا يقطع به ، فلا شكّ حتّى يجري الاستصحاب</w:t>
      </w:r>
      <w:r>
        <w:rPr>
          <w:rStyle w:val="FootnoteAnchor"/>
          <w:rtl w:val="true"/>
        </w:rPr>
        <w:footnoteReference w:id="405"/>
      </w:r>
      <w:r>
        <w:rPr>
          <w:rFonts w:ascii="Amiri" w:hAnsi="Amiri" w:eastAsia="Amiri" w:cs="Amiri"/>
          <w:color w:val="111111"/>
          <w:sz w:val="28"/>
          <w:sz w:val="28"/>
          <w:szCs w:val="28"/>
          <w:rtl w:val="true"/>
          <w:lang w:bidi="ar-SA"/>
        </w:rPr>
        <w:t xml:space="preserve">؛ لما عرفت أنّ معنى الصحّة التأهّلية هو الحيثية الاستعدادية المعتبرة في الأجزاء السابقة لتأهّل لحوق البقيّة إليها ، وهذا أمر مشكوك فيه ، ولا يكون تعليقياً </w:t>
      </w:r>
      <w:r>
        <w:rPr>
          <w:rFonts w:eastAsia="Amiri" w:cs="Amiri" w:ascii="Amiri" w:hAnsi="Amiri"/>
          <w:color w:val="111111"/>
          <w:sz w:val="28"/>
          <w:szCs w:val="28"/>
          <w:rtl w:val="true"/>
          <w:lang w:bidi="ar-SA"/>
        </w:rPr>
        <w:t xml:space="preserve">. </w:t>
      </w:r>
      <w:bookmarkStart w:id="343" w:name="pg12132_128092"/>
    </w:p>
    <w:p>
      <w:pPr>
        <w:pStyle w:val="BookText"/>
        <w:rPr/>
      </w:pPr>
      <w:bookmarkEnd w:id="343"/>
      <w:r>
        <w:rPr>
          <w:rFonts w:ascii="Amiri" w:hAnsi="Amiri" w:eastAsia="Amiri" w:cs="Amiri"/>
          <w:color w:val="111111"/>
          <w:sz w:val="28"/>
          <w:sz w:val="28"/>
          <w:szCs w:val="28"/>
          <w:rtl w:val="true"/>
          <w:lang w:bidi="ar-SA"/>
        </w:rPr>
        <w:t xml:space="preserve">نعم يرد على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بقاء الاستعداد في الأجزاء السابقة لا يثبت ربط الأجزاء اللاحقة بها وتحقّق الصحّة الفعلية إلاّ بالأصل المثبت </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3352796_417432637"/>
      <w:bookmarkStart w:id="345" w:name="_Toc119"/>
      <w:bookmarkEnd w:id="344"/>
      <w:r>
        <w:rPr>
          <w:rtl w:val="true"/>
        </w:rPr>
        <w:t xml:space="preserve">المقام الرابع </w:t>
      </w:r>
      <w:r>
        <w:rPr>
          <w:rtl w:val="true"/>
        </w:rPr>
        <w:t xml:space="preserve">: </w:t>
      </w:r>
      <w:r>
        <w:rPr>
          <w:rtl w:val="true"/>
        </w:rPr>
        <w:t>فيما يقتضيه القواعد الثانوية في الزيادة والنقيصة</w:t>
      </w:r>
      <w:bookmarkEnd w:id="345"/>
    </w:p>
    <w:p>
      <w:pPr>
        <w:pStyle w:val="BookText"/>
        <w:rPr/>
      </w:pPr>
      <w:r>
        <w:rPr>
          <w:rFonts w:ascii="Amiri" w:hAnsi="Amiri" w:eastAsia="Amiri" w:cs="Amiri"/>
          <w:color w:val="111111"/>
          <w:sz w:val="28"/>
          <w:sz w:val="28"/>
          <w:szCs w:val="28"/>
          <w:rtl w:val="true"/>
          <w:lang w:bidi="ar-SA"/>
        </w:rPr>
        <w:t xml:space="preserve">وأمّا 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قيام الدليل على خلاف ما اقتضت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قامت الأدلّة على بطلان الصلاة بالزيادة </w:t>
      </w:r>
      <w:r>
        <w:rPr>
          <w:rFonts w:eastAsia="Amiri" w:cs="Amiri" w:ascii="Amiri" w:hAnsi="Amiri"/>
          <w:color w:val="111111"/>
          <w:sz w:val="28"/>
          <w:szCs w:val="28"/>
          <w:rtl w:val="true"/>
          <w:lang w:bidi="ar-SA"/>
        </w:rPr>
        <w:t>:</w:t>
      </w:r>
    </w:p>
    <w:p>
      <w:pPr>
        <w:pStyle w:val="Heading2"/>
        <w:numPr>
          <w:ilvl w:val="1"/>
          <w:numId w:val="1"/>
        </w:numPr>
        <w:rPr/>
      </w:pPr>
      <w:bookmarkStart w:id="346" w:name="__RefHeading___Toc3352798_417432637"/>
      <w:bookmarkStart w:id="347" w:name="_Toc120"/>
      <w:bookmarkEnd w:id="346"/>
      <w:r>
        <w:rPr>
          <w:rtl w:val="true"/>
        </w:rPr>
        <w:t>مقتضى الروايات الواردة في الزيادة</w:t>
      </w:r>
      <w:bookmarkEnd w:id="347"/>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في صلاته فعليه الإعادة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بإسناده عن زرارة وبكير ابني أعين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 أ نّه زاد في صلاته المكتوبة لم يعتدّ بها ، واستقبل صلاته استقبالاً إذا كان قد استيقن يقيناً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وبإزائها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عن محمّد بن علي بن الحسين بإسناده عن زرارة ، عن أبي جعفر علیه السلام </w:t>
      </w:r>
      <w:bookmarkStart w:id="348" w:name="pg12132_128093"/>
    </w:p>
    <w:p>
      <w:pPr>
        <w:pStyle w:val="BookText"/>
        <w:rPr/>
      </w:pPr>
      <w:bookmarkEnd w:id="348"/>
      <w:r>
        <w:rPr>
          <w:rFonts w:ascii="Amiri" w:hAnsi="Amiri" w:eastAsia="Amiri" w:cs="Amiri"/>
          <w:color w:val="111111"/>
          <w:sz w:val="28"/>
          <w:sz w:val="28"/>
          <w:szCs w:val="28"/>
          <w:rtl w:val="true"/>
          <w:lang w:bidi="ar-SA"/>
        </w:rPr>
        <w:t xml:space="preserve">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 والوقت ، والقبلة ، والركوع ،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سُنّة ، والتشهّد سنّة ، ولا تَنقض السنّةُ الفريضة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9" w:name="__RefHeading___Toc3352800_417432637"/>
      <w:bookmarkStart w:id="350" w:name="_Toc121"/>
      <w:bookmarkEnd w:id="349"/>
      <w:r>
        <w:rPr>
          <w:rtl w:val="true"/>
        </w:rPr>
        <w:t xml:space="preserve">بيان النسبة بين حديثي </w:t>
      </w:r>
      <w:r>
        <w:rPr>
          <w:rtl w:val="true"/>
        </w:rPr>
        <w:t>«</w:t>
      </w:r>
      <w:r>
        <w:rPr>
          <w:rtl w:val="true"/>
        </w:rPr>
        <w:t>من زاد</w:t>
      </w:r>
      <w:r>
        <w:rPr>
          <w:rtl w:val="true"/>
        </w:rPr>
        <w:t xml:space="preserve">» </w:t>
      </w:r>
      <w:r>
        <w:rPr>
          <w:rtl w:val="true"/>
        </w:rPr>
        <w:t>و</w:t>
      </w:r>
      <w:r>
        <w:rPr>
          <w:rtl w:val="true"/>
        </w:rPr>
        <w:t>«</w:t>
      </w:r>
      <w:r>
        <w:rPr>
          <w:rtl w:val="true"/>
        </w:rPr>
        <w:t>لا تعاد</w:t>
      </w:r>
      <w:r>
        <w:rPr>
          <w:rtl w:val="true"/>
        </w:rPr>
        <w:t>»</w:t>
      </w:r>
      <w:bookmarkEnd w:id="350"/>
    </w:p>
    <w:p>
      <w:pPr>
        <w:pStyle w:val="BookText"/>
        <w:rPr/>
      </w:pPr>
      <w:r>
        <w:rPr>
          <w:rFonts w:ascii="Amiri" w:hAnsi="Amiri" w:eastAsia="Amiri" w:cs="Amiri"/>
          <w:color w:val="111111"/>
          <w:sz w:val="28"/>
          <w:sz w:val="28"/>
          <w:szCs w:val="28"/>
          <w:rtl w:val="true"/>
          <w:lang w:bidi="ar-SA"/>
        </w:rPr>
        <w:t xml:space="preserve">والمهمّ بيان نسبة الحديثين وما هو بمضمونهما مع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دلّ بظاهره على بطلان الصلاة بمطلق الزيادة كالحديث الأوّل ، وكقوله فيمن أتمّ في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يعيد ؛ لأ نّه زاد في فرض اللّه</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وما ورد في النهي عن قراءة العزيمة في الصلاة معلّلاً 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زيادة في المكتوبة</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فالظاهر منها أنّ كلّ زيادة في الصلاة موجبة للبطلان ، أعمّ من أن تكون من سنخ الصلاة كالركعة والركعتين ، أو من سنخ الأجزاء كالسجدة والركوع والقراءة ، أو من غيرهما كالتكتّف وقول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إذا أتى بها بعنوان الصلاة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زيادة في المكتوبة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واستظهار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زاد في صلاته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أ نّه بمعنى الزيادة التي من سنخ الصلاة ، ولا تتحقّق إلاّ </w:t>
      </w:r>
    </w:p>
    <w:p>
      <w:pPr>
        <w:pStyle w:val="BookText"/>
        <w:rPr/>
      </w:pPr>
      <w:r>
        <w:rPr>
          <w:rFonts w:ascii="Amiri" w:hAnsi="Amiri" w:eastAsia="Amiri" w:cs="Amiri"/>
          <w:color w:val="111111"/>
          <w:sz w:val="28"/>
          <w:sz w:val="28"/>
          <w:szCs w:val="28"/>
          <w:rtl w:val="true"/>
          <w:lang w:bidi="ar-SA"/>
        </w:rPr>
        <w:t xml:space="preserve">بالركعة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اللّه في عمرك</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منظور فيه ، بل الظاهر أنّ كلّ زيادة إذا زادت بعنوان الدخول في الصلاة وكونها جزءاً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كانت أو عمداً أو سهواً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زيادة في المكتوبة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الصلاة لم يصدق أ نّه زاد في صلاته ، ولم تدلّ مثل هذه الأدلّة على بطلانها بها إلاّ قوله في باب زيادة سجدة العزيمة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أنّ الإتيان بأمثالها ولو بعنوان آخر من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مطلق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 فهو وإن كان شموله لمطلق النقصان والزيادة ولو عن عمد ممّا لا محذور فيه عقلاً ؛ لإمكان أن يكون الإتيان بالخمسة موجباً لاستيفاء مرتبة من المصلحة ممّا لا يبقى معه مجال لاستيفاء المصلحة ثانياً بإعادتها مع بقيّة الأجزاء ، لكنّه منصرف عن الزيادة العمدية قطعاً ، وأمّا الزيادة من غير العمد فلا إشكال في شموله لها ، إلاّ أنّ المحكيّ عن المشهور اختصاصه بالخلل السهوي</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محتملات الحديث فكثيرة ، لا يبعد كون الأظهر منها أ نّه لا تعاد الصلاة من قبل شيء زيادة أو نقيصة إلاّ من قبل الخمسة زيادة أو نقيصة ، وعدم تصوّر </w:t>
      </w:r>
    </w:p>
    <w:p>
      <w:pPr>
        <w:pStyle w:val="BookText"/>
        <w:rPr/>
      </w:pPr>
      <w:r>
        <w:rPr>
          <w:rFonts w:ascii="Amiri" w:hAnsi="Amiri" w:eastAsia="Amiri" w:cs="Amiri"/>
          <w:color w:val="111111"/>
          <w:sz w:val="28"/>
          <w:sz w:val="28"/>
          <w:szCs w:val="28"/>
          <w:rtl w:val="true"/>
          <w:lang w:bidi="ar-SA"/>
        </w:rPr>
        <w:t xml:space="preserve">الزيادة في بعضها لا يضرّ بالظهور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ظهوره في النقيصة فقط ، أو في النقيصة في المستثنى دون المستثنى منه حتّى تصير الزيادة في الخمسة داخلة في المستثنى منه</w:t>
      </w:r>
      <w:r>
        <w:rPr>
          <w:rStyle w:val="FootnoteAnchor"/>
          <w:rtl w:val="true"/>
        </w:rPr>
        <w:footnoteReference w:id="413"/>
      </w:r>
      <w:r>
        <w:rPr>
          <w:rFonts w:ascii="Amiri" w:hAnsi="Amiri" w:eastAsia="Amiri" w:cs="Amiri"/>
          <w:color w:val="111111"/>
          <w:sz w:val="28"/>
          <w:sz w:val="28"/>
          <w:szCs w:val="28"/>
          <w:rtl w:val="true"/>
          <w:lang w:bidi="ar-SA"/>
        </w:rPr>
        <w:t xml:space="preserve">، مدفوعة ؛ ضرورة أنّ الزيادة في المهية بشرط لا مضرّة عرفاً بما أ نّها زيادة فيها وإن كانت راجعة إلى النقيصة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أوّلها التكبير وآخرها التسليم من غير زيادة ونقيصة ، تكون الزيادة مخلّة بها عرفاً ، من غير توجّه إلى أنّ العقل بحسب الدقّة يحكم بأنّ عدم الزيادة من قيود المأمور به وترجع الزيادة إلى النقصان ، كما يشهد بذلك التعبير في الروايات بالزيادة في المكتوبة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ظهوره العرفي أنّ الزيادة والنقيصة الواردتين عليها من قِبل غير الخمسة لا توجبان الإعادة ، بخلاف الخمسة فإنّ زيادتها أو نقيصتها مخلّة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تصير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العموم من وجه ، إن قلنا بأنّ المستثنى والمستثنى منه جملتان مستقلّتان يقاس كلّ منهما إلى غيره في مقام التعارض بعد ورود الاستثناء على المستثنى منه ، فتنقلب النسبة ؛ فإنّ جملة المستثنى منه حينئذٍ تختصّ بغير الأركان وتعمّ الزيادة والنقيصة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يختصّ بالزيادة ويعمّ الأركان وغيرها ، فيقع التعارض بينهما في الزيادة الغير الركنية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بأ نّهما جملة واحدة لهما ظهور واحد تلاحظ النسبة بينها وبين غيرها بنسبة واحدة ولحاظ واحد ، 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العموم من </w:t>
      </w:r>
    </w:p>
    <w:p>
      <w:pPr>
        <w:pStyle w:val="BookText"/>
        <w:rPr/>
      </w:pPr>
      <w:r>
        <w:rPr>
          <w:rFonts w:ascii="Amiri" w:hAnsi="Amiri" w:eastAsia="Amiri" w:cs="Amiri"/>
          <w:color w:val="111111"/>
          <w:sz w:val="28"/>
          <w:sz w:val="28"/>
          <w:szCs w:val="28"/>
          <w:rtl w:val="true"/>
          <w:lang w:bidi="ar-SA"/>
        </w:rPr>
        <w:t xml:space="preserve">وجه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أعمّ من النقيصة والزيادة ، ولا يشمل الزيادة العمدية انصرافاً ، وهو بمنزلة التقييد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أعمّ من العمد وغيره على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بأ نّه منصرف أيضاً عن العمد ؛ لأنّ الزيادة العمدية لا تصدر من المكلّف الذي بصدد إطاعة المولى ، فيكون منصرفاً عنها ، والبطلان بسببها إنّما هو بالمناط القطعي أو بدلالة نفس أدلّة الأجزاء والشرائط ، فتصير النسبة الأعمّ المطلق ؛ لأنّ 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الصلاة بلحاظ جميع الأجزاء والشرائط ، والمحمول كالمردّد بين الركنية وغيرها ، 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كقضيّة مردّدة المحمول ، فيكون الملحوظ فيها كلّ الأجزاء والشرائط وإن كان حكمها مختلفاً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أيضاً يشمل كلّ الأجزاء إلاّ أ نّه مختصّ بالزيادة ، فحينئذٍ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بالنقيصة ، فتبقى الزيادة موجبة للبطلان بمقتضى الدليل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 مّا بناءً على كون النسبة هي العموم من وجه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حاكم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سائر الأدلّة الدالّة على بطلان الصلاة بالزيادة ، كما أ نّه حاكم على الأدلّة المعتبرة للأجزاء والشرائط ، فقد ذهب إليه العلاّمة الأنصاري قدّس سرّه </w:t>
      </w:r>
      <w:r>
        <w:rPr>
          <w:rStyle w:val="FootnoteAnchor"/>
          <w:rtl w:val="true"/>
        </w:rPr>
        <w:footnoteReference w:id="414"/>
      </w:r>
      <w:r>
        <w:rPr>
          <w:rFonts w:ascii="IRNazanin" w:hAnsi="IRNazanin" w:eastAsia="IRNazanin"/>
          <w:color w:val="111111"/>
          <w:sz w:val="28"/>
          <w:sz w:val="28"/>
          <w:szCs w:val="28"/>
          <w:rtl w:val="true"/>
          <w:lang w:bidi="fa-IR"/>
        </w:rPr>
        <w:t>وتبعه المحقّقون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وجه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p>
    <w:p>
      <w:pPr>
        <w:pStyle w:val="BookText"/>
        <w:rPr/>
      </w:pPr>
      <w:r>
        <w:rPr>
          <w:rFonts w:ascii="Amiri" w:hAnsi="Amiri" w:eastAsia="Amiri" w:cs="Amiri"/>
          <w:color w:val="111111"/>
          <w:sz w:val="28"/>
          <w:sz w:val="28"/>
          <w:szCs w:val="28"/>
          <w:rtl w:val="true"/>
          <w:lang w:bidi="ar-SA"/>
        </w:rPr>
        <w:t xml:space="preserve">بصدد بيان كون الصلاة متقيّدة بعدم الزيادة ، فهو على وزان الأدلّة الدالّة على اعتبار الأجزاء والشرائط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ناظر إلى تحديد حدودها بأنّ الزيادة والنقيصة السهوية لا توجب الإعادة ، فهو حاكم عليها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فيه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زاد في صلاته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هو متعرّض للزوم الإعادة في صورة الزيادة ، وإن كان ملازماً لتقيّدها بعدم الزيادة ، والحكومة إنّما تتقوّم بلسان الدليل ، ومعلوم أنّ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 من غير أن يتعرّض أحدهما لما لا يتعرّض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فيهما ميزان الحكومة ، وفرق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الأوّل متعرّض لاعتبار القراءة فيها من غير تعرّض لحال تركها أو زيادتها ، ولسان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المتعرّض لحال تركها أو زيادتها لعذرٍ لسانُ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فهو متعرّض لحال الزيادة وأ نّه يجب الإعادة معها ، ولسانه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والميزان الذي حقّقناه في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دليل الحاكم متعرّضاً لعقد الوضع أو الحمل توسعةً أو تضييقاً ، أو متعرّضاً لسلسلة العلل أو المعلولات</w:t>
      </w:r>
      <w:r>
        <w:rPr>
          <w:rStyle w:val="FootnoteAnchor"/>
          <w:rtl w:val="true"/>
        </w:rPr>
        <w:footnoteReference w:id="417"/>
      </w:r>
      <w:r>
        <w:rPr>
          <w:rFonts w:ascii="Amiri" w:hAnsi="Amiri" w:eastAsia="Amiri" w:cs="Amiri"/>
          <w:color w:val="111111"/>
          <w:sz w:val="28"/>
          <w:sz w:val="28"/>
          <w:szCs w:val="28"/>
          <w:rtl w:val="true"/>
          <w:lang w:bidi="ar-SA"/>
        </w:rPr>
        <w:t xml:space="preserve">لم يكن في المقام ، فإنّ الدليلين هاهنا كلّ منهما متعرّض لما تعرّض الآخر ، وينفي أحدهما ما يثبت الآخر مع وحدة الموضوع والمحمول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أقوى ظهوراً من تلك الأدلّة ؛ لقوّة ظهوره لأجل الاستثناء ، ولأجل اشتمال ذيله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سنّة ، والتشهّد سنّة ، ولا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تعليلاً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لا تنقض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حكومة على الأدلّة ؛ لأنّ النقض واللا نقض في سلسلة علل الإعادة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الصلاةَ الزيادةُ الكذائية تنهدم علّة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في صلاته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إشكال آخر ، وهو لزوم تخصيص الأكثر منه في الأدلّة ؛ فإنّ في المستثنى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يتصوّر الزيادة إلاّ في الركوع والسجود ، والزيادة العمدية على فرض دخولها في تلك الأدلّة تكون نادراً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دعوى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يكون شموله للزيادة ظهوراً ضعيفاً ؛ حتّى أنكره بعض الفحول وادّعى ظهوره في النقيصة</w:t>
      </w:r>
      <w:r>
        <w:rPr>
          <w:rStyle w:val="FootnoteAnchor"/>
          <w:rtl w:val="true"/>
        </w:rPr>
        <w:footnoteReference w:id="418"/>
      </w:r>
      <w:r>
        <w:rPr>
          <w:rFonts w:ascii="Amiri" w:hAnsi="Amiri" w:eastAsia="Amiri" w:cs="Amiri"/>
          <w:color w:val="111111"/>
          <w:sz w:val="28"/>
          <w:sz w:val="28"/>
          <w:szCs w:val="28"/>
          <w:rtl w:val="true"/>
          <w:lang w:bidi="ar-SA"/>
        </w:rPr>
        <w:t xml:space="preserve">فيحمل الحديث على النقيصة حملاً للظاهر على الأظهر ، فتبقى الزيادة موجبة للبطلان مطلقاً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المحقّق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w:t>
      </w:r>
      <w:bookmarkStart w:id="351" w:name="pg12132_128099"/>
    </w:p>
    <w:p>
      <w:pPr>
        <w:pStyle w:val="Heading2"/>
        <w:numPr>
          <w:ilvl w:val="1"/>
          <w:numId w:val="1"/>
        </w:numPr>
        <w:rPr/>
      </w:pPr>
      <w:bookmarkStart w:id="352" w:name="__RefHeading___Toc3352802_417432637"/>
      <w:bookmarkStart w:id="353" w:name="_Toc122"/>
      <w:bookmarkEnd w:id="351"/>
      <w:bookmarkEnd w:id="352"/>
      <w:r>
        <w:rPr>
          <w:rtl w:val="true"/>
        </w:rPr>
        <w:t xml:space="preserve">النسبة بين حديثي </w:t>
      </w:r>
      <w:r>
        <w:rPr>
          <w:rtl w:val="true"/>
        </w:rPr>
        <w:t>«</w:t>
      </w:r>
      <w:r>
        <w:rPr>
          <w:rtl w:val="true"/>
        </w:rPr>
        <w:t>لا تعاد</w:t>
      </w:r>
      <w:r>
        <w:rPr>
          <w:rtl w:val="true"/>
        </w:rPr>
        <w:t xml:space="preserve">» </w:t>
      </w:r>
      <w:r>
        <w:rPr>
          <w:rtl w:val="true"/>
        </w:rPr>
        <w:t>و</w:t>
      </w:r>
      <w:r>
        <w:rPr>
          <w:rtl w:val="true"/>
        </w:rPr>
        <w:t>«</w:t>
      </w:r>
      <w:r>
        <w:rPr>
          <w:rtl w:val="true"/>
        </w:rPr>
        <w:t>إذا استيقن</w:t>
      </w:r>
      <w:r>
        <w:rPr>
          <w:rtl w:val="true"/>
        </w:rPr>
        <w:t>»</w:t>
      </w:r>
      <w:bookmarkEnd w:id="353"/>
    </w:p>
    <w:p>
      <w:pPr>
        <w:pStyle w:val="BookText"/>
        <w:rPr/>
      </w:pPr>
      <w:r>
        <w:rPr>
          <w:rFonts w:ascii="Amiri" w:hAnsi="Amiri" w:eastAsia="Amiri" w:cs="Amiri"/>
          <w:color w:val="111111"/>
          <w:sz w:val="28"/>
          <w:sz w:val="28"/>
          <w:szCs w:val="28"/>
          <w:rtl w:val="true"/>
          <w:lang w:bidi="ar-SA"/>
        </w:rPr>
        <w:t xml:space="preserve">وأمّا النسبة بينه 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استيقن أ نّه زاد في صلاته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فهي العموم من وجه إن اعتبرت بينهما بلحاظ المستثنى منه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أعمّ من الزيادة ومختصّ بغير الخمسة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استيقن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أعمّ من الخمسة ومختصّ بالزيادة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اعتبرت بلحاظ مجموع المستثنى والمستثنى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هي العموم المطلق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أعمّ من الزيادة والنقيصة ، ومتكفّل بجميع أجزاء الصلاة وشرائطها ، وأعمّ من السهو وسائر الأعذار ، بل الجهل عن تقصير أيضاً بحسب الظاهر مع قطع النظر عن الجهات الخارجية ، والحديث مختصّ بالزيادة ،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سائر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الثاني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بالنقيصة ، وعلى الأوّل يقع التعارض بينهما ، وقضيّة الحكومة قد عرفت حالها ،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عليه موجب للتخصيص الأكثر ، وأمّا تقديمه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محذور فيه إلاّ إذا صحّ الإجماع على الملازمة بين مبطلية الزيادة السهوية ومبطلية النقيصة السهوية ؛ لما يلزم منه 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بلا مورد ، لكنّ الدعوى غير ثابتة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يسهّل الخطب أنّ هذا الحديث قد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Style w:val="FootnoteAnchor"/>
          <w:rtl w:val="true"/>
        </w:rPr>
        <w:footnoteReference w:id="425"/>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Style w:val="FootnoteAnchor"/>
          <w:rtl w:val="true"/>
        </w:rPr>
        <w:footnoteReference w:id="426"/>
      </w:r>
      <w:r>
        <w:rPr>
          <w:rFonts w:ascii="Amiri" w:hAnsi="Amiri" w:eastAsia="Amiri" w:cs="Amiri"/>
          <w:color w:val="111111"/>
          <w:sz w:val="28"/>
          <w:sz w:val="28"/>
          <w:szCs w:val="28"/>
          <w:rtl w:val="true"/>
          <w:lang w:bidi="ar-SA"/>
        </w:rPr>
        <w:t xml:space="preserve">، وكذا رواه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السهو في الركوع بالسند المذكور بإسقاط بكير بن أعين ، والمتن المذكور بزيادة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وفي باب من سها في الأربع والخمس رواها عن زرارة وبكير بلا 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يسير</w:t>
      </w:r>
      <w:r>
        <w:rPr>
          <w:rStyle w:val="FootnoteAnchor"/>
          <w:rtl w:val="true"/>
        </w:rPr>
        <w:footnoteReference w:id="428"/>
      </w:r>
      <w:r>
        <w:rPr>
          <w:rFonts w:ascii="Amiri" w:hAnsi="Amiri" w:eastAsia="Amiri" w:cs="Amiri"/>
          <w:color w:val="111111"/>
          <w:sz w:val="28"/>
          <w:sz w:val="28"/>
          <w:szCs w:val="28"/>
          <w:rtl w:val="true"/>
          <w:lang w:bidi="ar-SA"/>
        </w:rPr>
        <w:t xml:space="preserve">، ممّا يطمئنّ الفقيه بأ نّهما رواية واحدة قد سها بعض الرواة فيها بزيادة أو نقص ، وفي دوران الأمر بينهما لا يبعد تقديم أصالة عدم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لاحظ الروايتين يطمئنّ بأ نّهما واحدة ، ولا أقلّ من أ نّه لا يبقى وثوق بالنسبة إليها فتصير مجملة ، والقدر المتيقّن منها هو زيادة الركعة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الركوع كما اُطلقت عليه في روايات اُخر</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فلا معارضة بينها وبين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تقريرات بحثه</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ارتكب اشتباهاً في بيان النسبة بين هذه الرواية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ممّا لا ينقضي منه العجب،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ما وقع منه أو من الفاضل المقرّر رحمهما اللّه في ذيل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بعد بيان ما صدق عليه الزيادة وما لم يصدق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التعليل في بعض الأخبار الناهية عن قراءة العزيمة في الصلاة من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زيادة في المكتوبة</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أ نّه لا يعتبر في صدقها عدم قصد الخلاف ، بل الإتيان بمطلق مسانخ أفعال الصلاة زيادة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المقدار المستفاد منه صدق الزيادة على ما لا يكون له حافظ وحدة ولم يكن بنفسه من العناوين المستقلّة ، وأمّا ما كان كذلك كإتيان صلاة في أثناء صلاة الظهر ، فالظاهر عدم اندراجه فيه ؛ لأنّ السجود والركوع المأتيّ بهما لصلاة اُخرى لا دخل لهما بصلاة الظهر ، ولا تصدق عليهما الزيادة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ذلك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الأخبار من أ نّه لو ضاق وقت صلاة الآيات ، وخاف المكلّف أ نّه لو أخّرها إلى فراغ اليومية يفوت وقتها ، صلاّها في أثناء الصلاة اليومية ، ويبني عليها بعد الفراغ من الآيات من غير استئناف ، وليس ذلك إلاّ لعدم صدق الزيادة ، فيمكن التعدّي إلى عكس المسألة بإتيان الصلاة اليومية في أثناء الآيات في ضيق الوقت ، فإنّ بطلان الآيات إمّا للزيادة فالمفروض عدم الصدق ، وإمّا لفوات الموالاة فلا ضير فيه إذا كان لأجل واجب أهمّ ، وعلى هذا يبتني جواز الإتيان بسجدتي السهو من صلاة في أثناء صلاة اُخرى</w:t>
      </w:r>
      <w:r>
        <w:rPr>
          <w:rStyle w:val="FootnoteAnchor"/>
          <w:rtl w:val="true"/>
        </w:rPr>
        <w:footnoteReference w:id="43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الشيء ذا عنوان مستقلّ لا دخل له بصدق الزيادة وعدم صدقها ، ولا مجال للتشكيك في أنّ العرف يفهم من التعليل الوارد في باب النهي عن قراءة العزيمة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بصلاة مشتملة على التكبير والركوع والسجود والسلام أ نّها زيادة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لولا التعليل الوارد في هذه الرواية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الإتيان بشيء بغير عنوان الصلاة لا يعدّ من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عنوان مستقلّ أو لم يكن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سجدة العزيمة أيضاً لها عنوان مستقلّ ولها حافظ وحدة ، فلِمَ صارت الصلاة عنواناً مستقلاًّ دون سجدة العزيمة ، مع أ نّها عنوان مستقلّ مسبّب عن تلاوة آية السجدة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سجدة العزيمة وسجدتي السهو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منه عدم إبطالهما الصلاة ، مع أ نّهما أشبه بعدم الاستقلال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بعض الأخبار</w:t>
      </w:r>
      <w:r>
        <w:rPr>
          <w:rStyle w:val="FootnoteAnchor"/>
          <w:rtl w:val="true"/>
        </w:rPr>
        <w:footnoteReference w:id="435"/>
      </w:r>
      <w:r>
        <w:rPr>
          <w:rFonts w:ascii="Amiri" w:hAnsi="Amiri" w:eastAsia="Amiri" w:cs="Amiri"/>
          <w:color w:val="111111"/>
          <w:sz w:val="28"/>
          <w:sz w:val="28"/>
          <w:szCs w:val="28"/>
          <w:rtl w:val="true"/>
          <w:lang w:bidi="ar-SA"/>
        </w:rPr>
        <w:t xml:space="preserve">إنّما هو في عكس المسألة ، وهو ما إذا ضاق وقت الفريضة اليومية في أثناء صلاة الآيات ، فدلّ الدليل على إقحامها في وسطها والبناء عليها بعد الفراغ من اليومية ، وقد أفتى الأصحاب على طبقها </w:t>
      </w:r>
      <w:r>
        <w:rPr>
          <w:rStyle w:val="FootnoteAnchor"/>
          <w:rtl w:val="true"/>
        </w:rPr>
        <w:footnoteReference w:id="436"/>
      </w:r>
      <w:r>
        <w:rPr>
          <w:rFonts w:ascii="Amiri" w:hAnsi="Amiri" w:eastAsia="Amiri" w:cs="Amiri"/>
          <w:color w:val="111111"/>
          <w:sz w:val="28"/>
          <w:sz w:val="28"/>
          <w:szCs w:val="28"/>
          <w:rtl w:val="true"/>
          <w:lang w:bidi="ar-SA"/>
        </w:rPr>
        <w:t xml:space="preserve">ولا محذور فيه ، ولكن لا يجوز إسراء الحكم إلى إقحام الآيات في اليومية ، أو إقحام يومية في يومية اُخرى ؛ لجواز أن يكون للآيات خصوصية بها جاز إقحام اليومية فيها دون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البطلان إمّا للزيادة فلا تصدق ، وإمّا لفوات الموالاة فلا ضير؛ لأهمّية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ولو على اشتباهه؛ لأنّ أهمّية الفريضة لا توجب سقوط الموالاة إذا دلّ الدليل على اعتبارها مطلقاً ، بل إنّما توجب تقديم الأهمّ على المهمّ وإتيانه خارج الوقت ، إلاّ أن يسقط لأجل أهمّية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دلّ الدليل على طبق اشتباهه لا يبعد إلغاء الخصوصية عرفاً بالنسبة إلى سائر الفرائض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هذه الاشتباهات العظيمة من الأعاظم إنّما هي للاعتماد على الحافظة والاغترار بها ، وليكن المحصّلون على ذكر من أمثاله ، ولا يعتمدون في الأحكام الشرعية على حفظهم ؛ فإنّه لا يتّفق للإنسان العصمة من الزلل إلاّ مَن عصمه اللّه </w:t>
      </w:r>
      <w:r>
        <w:rPr>
          <w:rFonts w:eastAsia="Amiri" w:cs="Amiri" w:ascii="Amiri" w:hAnsi="Amiri"/>
          <w:color w:val="111111"/>
          <w:sz w:val="28"/>
          <w:szCs w:val="28"/>
          <w:rtl w:val="true"/>
          <w:lang w:bidi="ar-SA"/>
        </w:rPr>
        <w:t xml:space="preserve">. </w:t>
      </w:r>
      <w:bookmarkStart w:id="354" w:name="pg12132_128104"/>
    </w:p>
    <w:p>
      <w:pPr>
        <w:pStyle w:val="Heading2"/>
        <w:numPr>
          <w:ilvl w:val="1"/>
          <w:numId w:val="1"/>
        </w:numPr>
        <w:rPr/>
      </w:pPr>
      <w:bookmarkStart w:id="355" w:name="__RefHeading___Toc3352804_417432637"/>
      <w:bookmarkStart w:id="356" w:name="_Toc123"/>
      <w:bookmarkEnd w:id="354"/>
      <w:bookmarkEnd w:id="355"/>
      <w:r>
        <w:rPr>
          <w:rtl w:val="true"/>
        </w:rPr>
        <w:t xml:space="preserve">البحث </w:t>
      </w:r>
      <w:r>
        <w:rPr>
          <w:rtl w:val="true"/>
        </w:rPr>
        <w:t xml:space="preserve">: </w:t>
      </w:r>
      <w:r>
        <w:rPr>
          <w:rtl w:val="true"/>
        </w:rPr>
        <w:t>في تعذّر الجزء أو الشرط</w:t>
      </w:r>
      <w:bookmarkEnd w:id="35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علم بجزئية شيء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محصّل الكلام في المقام أ نّه قد يكون للدليل الدالّ على المركّب إطلاق دون دليل اعتبار الجزء أو الشرط ، وقد يكون بعكس ذلك ، وقد لا يكون لواحد منهما إطلاق ، وقد يكون لكليهما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الأوّلين ؛ لأ نّه على الأوّل منهما يجب الإتيان بالمركّب الفاقد للجزء أو الشرط بحكم إطلاق دليله ، وعلى الثاني لا يجب ؛ لتعذّره بتعذّر جزئه أو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لكلا الدليلين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لأحدهما تقدّم على الآخر بنحو الحكومة أو غيرها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التقدّم لدليل المركّب يكون حكمه كإطلاقه ، أو لدليل الجزء أو الشرط فكإطلاق دليلهما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إطلاق دليل القيد حاكم على إطلاق دليل المقيّد ، كحكومة إطلاق القرينة على ذيها </w:t>
      </w:r>
      <w:r>
        <w:rPr>
          <w:rStyle w:val="FootnoteAnchor"/>
          <w:rtl w:val="true"/>
        </w:rPr>
        <w:footnoteReference w:id="437"/>
      </w:r>
      <w:r>
        <w:rPr>
          <w:rFonts w:ascii="Amiri" w:hAnsi="Amiri" w:eastAsia="Amiri" w:cs="Amiri"/>
          <w:color w:val="111111"/>
          <w:sz w:val="28"/>
          <w:sz w:val="28"/>
          <w:szCs w:val="28"/>
          <w:rtl w:val="true"/>
          <w:lang w:bidi="ar-SA"/>
        </w:rPr>
        <w:t xml:space="preserve">، فممنوع في المقيس والمقيس عليه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باب قرائن المجاز ؛ فلأنّ التقدّم ليس على نحو الحكومة غالباً ، بل من باب تقديم الأظهر على الظاهر ، والفرق بين البابين محقّق في محلّه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فيما نحن فيه ؛ فلأنّ دليل المركّب قد يكون حاكماً على دليل اعتبار الجزء أو الشرط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بالنسبة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 جزء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ينتفي بانتفاء جزئه ، وكذا المقيّد بانتفاء قيده ، فلا تكون الصلاة بلا قراءة أو ركوع أو ستر صلاةً ، فلا يكون دليل المركّب حاكماً على دليلهما ، بل العكس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المقام هو القول بالأعمّ في باب المهيات المركّبة ، وإلاّ لا وجه للتمسّك بالإطلاق ، فالفاقد لهما صلاة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أدلّتهما ، ووجه الحكومة أنّ دليل المركّب تعرّض لما لا تتعرّض له أدلّة اعتبار الجزء والشرط ، وهو مقام الترك المتأخّر عن اعتبارهما ، وقد ذكرنا في محلّه أ نّه داخل في باب الحكومة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يكون دليل اعتبارهما حاكماً على دليل المركّب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فإنّهما حاكمان على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 من أمثال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الصّلَوةَ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لو لم يكن لأحد الدليلين حكومة ، أو تقدّم على الآخر مع قطع النظر عن باب الترجيح ، يكون الحكم كما لو لم يكن لهما 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ما إذا كان دليل اعتبارهما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غيرهما ممّا لا يكون لدليل اعتبارهما حكومة على دليل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Style w:val="FootnoteAnchor"/>
          <w:rtl w:val="true"/>
        </w:rPr>
        <w:footnoteReference w:id="444"/>
      </w:r>
      <w:r>
        <w:rPr>
          <w:rFonts w:ascii="Amiri" w:hAnsi="Amiri" w:eastAsia="Amiri" w:cs="Amiri"/>
          <w:color w:val="111111"/>
          <w:sz w:val="28"/>
          <w:sz w:val="28"/>
          <w:szCs w:val="28"/>
          <w:rtl w:val="true"/>
          <w:lang w:bidi="ar-SA"/>
        </w:rPr>
        <w:t xml:space="preserve">ما نسب من التفصيل إلى الوحيد البهبهاني قدّس سرّه على ما في تقريرات بعض أعاظم عصرنا ، لا إلى ما ذكره من التوجيه ، فإنّه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دليل القيد سقوط الأمر بالمقيّد عند تعذّر القيد مطلقاً ، سواء يستفاد القيد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مثل الأوامر والنواهي الغيرية ، وقد نسب التفصيل بينهما إلى الوحيد البهبهاني ، فذهب إلى سقوط الأمر بالمقيّد عند تعذّر القيد في الأوّل دون الثاني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توجيهه بأنّ الأمر الغيري مقصور بالتمكّن من متعلّقه ؛ لاشتراط كلّ خطاب بالقدرة عليه ، فلا بدّ من سقوط الأمر بالقيد عند عدم التمكّن منه ، ويبقى الأمر بالباقي على حاله ، وهذا بخلاف القيدية المستفادة من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w:t>
      </w:r>
    </w:p>
    <w:p>
      <w:pPr>
        <w:pStyle w:val="BookText"/>
        <w:rPr/>
      </w:pPr>
      <w:r>
        <w:rPr>
          <w:rFonts w:ascii="Amiri" w:hAnsi="Amiri" w:eastAsia="Amiri" w:cs="Amiri"/>
          <w:color w:val="111111"/>
          <w:sz w:val="28"/>
          <w:sz w:val="28"/>
          <w:szCs w:val="28"/>
          <w:rtl w:val="true"/>
          <w:lang w:bidi="ar-SA"/>
        </w:rPr>
        <w:t>إلاّ بفاتحة الكتاب ، والطهور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يفيد القيدية بلسان الوضع لا التكليف ، فلا يشترط فيه القدرة ، هذا غاية ما يمكن توجيهه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لأنّ القدرة معتبرة في متعلّقات التكاليف النفسية ؛ لكونها طلباً مولوياً وبعثاً فعلياً ، بخلاف الخطابات الغيرية ؛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مفادها ليس إلاّ الإرشاد إلى دخل متعلّقاتها في متعلّق الخطاب النفسي ، كالخطابات الغيرية في باب الوضع والأسباب والمسبّبات ؛ حيث إنّ مفادها ليس إلاّ دخل المتعلّق في حصول المسبّب ، ففي الحقيقة الخطابات الغيرية مطلقاً بمنزلة الإخبار من دون بعث وتحريك حتّى تقتضي القدرة على المتعلّق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الفرق بين الوضعيات والتكليفيات ، وأنّ الخطاب في الثانية يتضمّن البعث ، فلا إشكال في أ نّه ليس في آحاد الخطابات ملاك البعث المولوي ، وإلاّ لخرجت عن كونها غيرية ، بل ملاك البعث المولوي قائم بالمجموع ، فالقدرة معتبرة فيه لا فيها ، فلا فرق بين القيدية المستفادة من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المستفادة من الأمر والنهي الغيري</w:t>
      </w:r>
      <w:r>
        <w:rPr>
          <w:rStyle w:val="FootnoteAnchor"/>
          <w:rtl w:val="true"/>
        </w:rPr>
        <w:footnoteReference w:id="44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أراد الوحيد البهبهاني رحمه الله علیه أن يفصّل بين الوضعيات والتكليفيات ، فلا وجه لاختصاصه بمثل المثالين ممّا لهما جهة زائدة على إفادة الوضع ، فالظاهر منه تحقّق نحو خصوصية في مثلهما دون غيرهما ، تأمّل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الخطابات الغيرية تكون بمنزلة الإخبار بالجزئية أو الشرطية ، ولا بعث فيها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تكون الضرورة على خلافه ؛ فإنّ الأوامر </w:t>
      </w:r>
    </w:p>
    <w:p>
      <w:pPr>
        <w:pStyle w:val="BookText"/>
        <w:rPr/>
      </w:pPr>
      <w:r>
        <w:rPr>
          <w:rFonts w:ascii="Amiri" w:hAnsi="Amiri" w:eastAsia="Amiri" w:cs="Amiri"/>
          <w:color w:val="111111"/>
          <w:sz w:val="28"/>
          <w:sz w:val="28"/>
          <w:szCs w:val="28"/>
          <w:rtl w:val="true"/>
          <w:lang w:bidi="ar-SA"/>
        </w:rPr>
        <w:t xml:space="preserve">مطلقاً نفسية كانت أو غيرها مولوية أو إرشادية ، إنّما هي للبعث والتحريك نحو المتعلّق من غير فرق بينها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الفرق بينها من جهات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الغرض من البعث النفسي المولوي الوصول إلى المطلوب الذاتي ، ومن البعث الغيري إفادة دخالته في المطلوب الذاتي جزءاً أو شرطاً ، ومن البعث الإرشادي هو الإرشاد إلى ما يحكم به العقل ، أو الإرشاد إلى دخالته فيما هو مطلوب المكلّف ، كأوامر الأطبّاء التي هي إرشاد إلى دخالة المأمور به في إرجاع الصحّة ، فجميع الأوامر والنواهي مشتركة في كونها بعثاً وتحريكاً نحو المتعلّقات كما يحكم به الوجدان ، ويظهر بالمراجعة إلى موارد استعمال الأوامر والنواهي الإرشادية والغيرية ، ولا إشكال في عدم الفرق في اعتبار القدرة في المتعلّقات بين أنحاء البعث والتحريك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لا إشكال في أ نّه ليس في آحاد الخطابات الغيرية ملاك البعث المولوي ، وإلاّ لخرجت عن كونها 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لا يخفى ؛ فإنّه بعد تسليم أنّ التكاليف الغيرية أيضاً تتضمّن البعث والتحريك ، لا بدّ من تسليم اعتبار القدرة في متعلّقاتها ؛ فإنّ الملاك في اعتبارها ليس المولوية ، بل نفس البعث والتحريك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توجيهه لكلام الوحيد وإشكاله عليه 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محلّ البحث في المسألة إنّما هو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لدليل المركّب ولا لدليل اعتبار الجزء أو الشرط إطلاق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لهما إطلاق ، ولكن لا يكون أحد الإطلاقين مقدّماً </w:t>
      </w:r>
      <w:bookmarkStart w:id="357" w:name="pg12132_128109"/>
    </w:p>
    <w:p>
      <w:pPr>
        <w:pStyle w:val="BookText"/>
        <w:rPr/>
      </w:pPr>
      <w:bookmarkEnd w:id="357"/>
      <w:r>
        <w:rPr>
          <w:rFonts w:ascii="IRNazanin" w:hAnsi="IRNazanin" w:eastAsia="IRNazanin"/>
          <w:color w:val="111111"/>
          <w:sz w:val="28"/>
          <w:sz w:val="28"/>
          <w:szCs w:val="28"/>
          <w:rtl w:val="true"/>
          <w:lang w:bidi="fa-IR"/>
        </w:rPr>
        <w:t xml:space="preserve">على الآخر بنحو من التقدّم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فالكلام إنّما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الأصل العقلي والقاعدة الأوّلية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القواعد الاُخر </w:t>
      </w:r>
      <w:r>
        <w:rPr>
          <w:rFonts w:eastAsia="Amiri" w:cs="Amiri" w:ascii="Amiri" w:hAnsi="Amiri"/>
          <w:color w:val="111111"/>
          <w:sz w:val="28"/>
          <w:szCs w:val="28"/>
          <w:rtl w:val="true"/>
          <w:lang w:bidi="ar-SA"/>
        </w:rPr>
        <w:t>:</w:t>
      </w:r>
    </w:p>
    <w:p>
      <w:pPr>
        <w:pStyle w:val="Heading2"/>
        <w:numPr>
          <w:ilvl w:val="1"/>
          <w:numId w:val="1"/>
        </w:numPr>
        <w:rPr/>
      </w:pPr>
      <w:bookmarkStart w:id="358" w:name="__RefHeading___Toc3352806_417432637"/>
      <w:bookmarkStart w:id="359" w:name="_Toc124"/>
      <w:bookmarkEnd w:id="358"/>
      <w:r>
        <w:rPr>
          <w:rtl w:val="true"/>
        </w:rPr>
        <w:t xml:space="preserve">المقام الأوّل </w:t>
      </w:r>
      <w:r>
        <w:rPr>
          <w:rtl w:val="true"/>
        </w:rPr>
        <w:t xml:space="preserve">: </w:t>
      </w:r>
      <w:r>
        <w:rPr>
          <w:rtl w:val="true"/>
        </w:rPr>
        <w:t>في مقتضى القواعد الأوّلية</w:t>
      </w:r>
      <w:bookmarkEnd w:id="359"/>
    </w:p>
    <w:p>
      <w:pPr>
        <w:pStyle w:val="Heading2"/>
        <w:numPr>
          <w:ilvl w:val="1"/>
          <w:numId w:val="1"/>
        </w:numPr>
        <w:rPr/>
      </w:pPr>
      <w:bookmarkStart w:id="360" w:name="__RefHeading___Toc3352808_417432637"/>
      <w:bookmarkStart w:id="361" w:name="_Toc125"/>
      <w:bookmarkEnd w:id="360"/>
      <w:r>
        <w:rPr>
          <w:rtl w:val="true"/>
        </w:rPr>
        <w:t>في جريان البراءة العقلية</w:t>
      </w:r>
      <w:bookmarkEnd w:id="361"/>
    </w:p>
    <w:p>
      <w:pPr>
        <w:pStyle w:val="BookText"/>
        <w:rPr/>
      </w:pPr>
      <w:r>
        <w:rPr>
          <w:rFonts w:ascii="Amiri" w:hAnsi="Amiri" w:eastAsia="Amiri" w:cs="Amiri"/>
          <w:color w:val="111111"/>
          <w:sz w:val="28"/>
          <w:sz w:val="28"/>
          <w:szCs w:val="28"/>
          <w:rtl w:val="true"/>
          <w:lang w:bidi="ar-SA"/>
        </w:rPr>
        <w:t xml:space="preserve">فالحقّ فيه جريان البراءة ، سواء كان العجز من أوّل زمن التكليف ، كمن لا يقدر على القراءة من أوّل بلوغه ، أو كان طارئاً في واقعة واحدة ، كما إذا كان في أوّل الظهر قادراً على إتيان الصلاة تامّة ثمّ طرأ عليه العجز عن جزء أو شرط في الوقت ، أو في واقعتين كالقادر في الأيّام السابقة الطارئ عليه العجز في يومه ؛ لأنّ الشكّ في كلّها يرجع إلى أصل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التكليف في الأيّام السابقة لم يكن حجّة عليه بالنسبة إلى يومه ، فهو في هذا اليوم شاكّ في توجّه التكليف إليه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التكليف وإن توجّه إليه في أوّل الوقت ، لكنّ المتيقّن منه هو التكليف بالصلاة الجامعة لجميع الأجزاء والشرائط ، وهو ساقط للعجز عنه ، والتكليف بالفاقد للجزء أو الشرط مشكوك فيه من أوّل الأمر ، فلا يكون الشكّ في السقوط ، بل يكون في الثبوت </w:t>
      </w:r>
      <w:r>
        <w:rPr>
          <w:rFonts w:eastAsia="Amiri" w:cs="Amiri" w:ascii="Amiri" w:hAnsi="Amiri"/>
          <w:color w:val="111111"/>
          <w:sz w:val="28"/>
          <w:szCs w:val="28"/>
          <w:rtl w:val="true"/>
          <w:lang w:bidi="ar-SA"/>
        </w:rPr>
        <w:t xml:space="preserve">. </w:t>
      </w:r>
      <w:bookmarkStart w:id="362" w:name="pg12132_128110"/>
    </w:p>
    <w:p>
      <w:pPr>
        <w:pStyle w:val="BookText"/>
        <w:rPr/>
      </w:pPr>
      <w:bookmarkEnd w:id="362"/>
      <w:r>
        <w:rPr>
          <w:rFonts w:ascii="Amiri" w:hAnsi="Amiri" w:eastAsia="Amiri" w:cs="Amiri"/>
          <w:color w:val="111111"/>
          <w:sz w:val="28"/>
          <w:sz w:val="28"/>
          <w:szCs w:val="28"/>
          <w:rtl w:val="true"/>
          <w:lang w:bidi="ar-SA"/>
        </w:rPr>
        <w:t xml:space="preserve">والقياس بالشكّ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يحكم العقل فيه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الفارق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الشكّ في القدرة يكون التكليف الفعلي من قِبل المولى معلوماً يشكّ في العجز عن إتيانه ، وفيما نحن فيه يكون المعلوم هو الجزئية في حال القدرة ، وفي حال العجز يشكّ في جزئيته ، فالعجز عن الجزء معلوم ، والتكليف بالفاقد مشكوك فيه مع القدرة عليه ، فلا يقاس بالشكّ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القياس بالعلم الإجمالي الذي طرأ الاضطرار على بعض أطرافه ؛ حيث يحكم العقل بحرمة المخالفة القطعية مع العجز عن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الفارق ؛ لعدم العلم الإجمالي في المقام ، وإنّما فيه علم تفصيلي بوجوب الصلاة التامّة الأجزاء والشرائط ، وشكّ بدوي في وجوب الفاقدة لبعضها ، فلا إشكال في جريان البراءة العقلية </w:t>
      </w:r>
      <w:r>
        <w:rPr>
          <w:rFonts w:eastAsia="Amiri" w:cs="Amiri" w:ascii="Amiri" w:hAnsi="Amiri"/>
          <w:color w:val="111111"/>
          <w:sz w:val="28"/>
          <w:szCs w:val="28"/>
          <w:rtl w:val="true"/>
          <w:lang w:bidi="ar-SA"/>
        </w:rPr>
        <w:t>.</w:t>
      </w:r>
    </w:p>
    <w:p>
      <w:pPr>
        <w:pStyle w:val="Heading2"/>
        <w:numPr>
          <w:ilvl w:val="1"/>
          <w:numId w:val="1"/>
        </w:numPr>
        <w:rPr/>
      </w:pPr>
      <w:bookmarkStart w:id="363" w:name="__RefHeading___Toc3352810_417432637"/>
      <w:bookmarkStart w:id="364" w:name="_Toc126"/>
      <w:bookmarkEnd w:id="363"/>
      <w:r>
        <w:rPr>
          <w:rtl w:val="true"/>
        </w:rPr>
        <w:t>في جريان البراءة الشرعية</w:t>
      </w:r>
      <w:bookmarkEnd w:id="364"/>
    </w:p>
    <w:p>
      <w:pPr>
        <w:pStyle w:val="BookText"/>
        <w:rPr/>
      </w:pPr>
      <w:r>
        <w:rPr>
          <w:rFonts w:ascii="Amiri" w:hAnsi="Amiri" w:eastAsia="Amiri" w:cs="Amiri"/>
          <w:color w:val="111111"/>
          <w:sz w:val="28"/>
          <w:sz w:val="28"/>
          <w:szCs w:val="28"/>
          <w:rtl w:val="true"/>
          <w:lang w:bidi="ar-SA"/>
        </w:rPr>
        <w:t xml:space="preserve">كما لا إشكال في عدم جريان مثل حديث الرفع لإثبات وجوب البقيّة إذا لم يكن لدليل المركّب ولا لدليل اعتبارهما إطلاق ؛ لأنّ رفع الجزئية أو الشرطية لا يفيد وجوب البقيّة ، ووجوبها لم يكن مفاد دليل الرفع ؛ لأنّ مفاده ليس إلاّ الرفع لا الإثبات ، وهذا غير كونه خلاف المنّة ؛ لأنّ فرض مخالفة المنّة إنّما هو بعد فرض جريانه في ذاته ، والحال أنّ إثبات الحكم ليس مفاده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كان للدليلين إطلاق من غير تقدّم لأحدهما على الآخر ، يمكن رفع الجزئية بالحديث والتمسّك بإطلاق دليل المركّب لإثبات وجوب البقيّة ؛ لرفع التعارض بينه وبين دليل الجزء ببركة حديث الرفع وحكومته ، وليس هذا خلاف </w:t>
      </w:r>
      <w:bookmarkStart w:id="365" w:name="pg12132_128111"/>
    </w:p>
    <w:p>
      <w:pPr>
        <w:pStyle w:val="BookText"/>
        <w:rPr/>
      </w:pPr>
      <w:bookmarkEnd w:id="365"/>
      <w:r>
        <w:rPr>
          <w:rFonts w:ascii="Amiri" w:hAnsi="Amiri" w:eastAsia="Amiri" w:cs="Amiri"/>
          <w:color w:val="111111"/>
          <w:sz w:val="28"/>
          <w:sz w:val="28"/>
          <w:szCs w:val="28"/>
          <w:rtl w:val="true"/>
          <w:lang w:bidi="ar-SA"/>
        </w:rPr>
        <w:t xml:space="preserve">المنّة حتّى لا يجري الحديث ؛ لأنّ موافقة المنّة ومخالفتها إنّما تلحظان في مجرى الحديث ، ورفع الجزء حين الاضطرار منّة ، وإثبات وجوب البقيّة ليس بمفاده ، ولا من لوازمه العادية أو العرفية أو العقلية ، بل لازمه رفع التعارض ، ومع رفعه يكون إثبات الحكم مفاد دليل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لكنّ الحديث إنّما يجري في الاضطرار العادي ، وأمّا الاضطرار العقلي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مجرى الحديث؛ لأنّ العقل يحكم بسقوطه، تأ مّل</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المخطوطة ، والظاهر أنّ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6" w:name="__RefHeading___Toc3352812_417432637"/>
      <w:bookmarkStart w:id="367" w:name="_Toc127"/>
      <w:bookmarkEnd w:id="366"/>
      <w:r>
        <w:rPr>
          <w:rtl w:val="true"/>
        </w:rPr>
        <w:t xml:space="preserve">المقام الثاني </w:t>
      </w:r>
      <w:r>
        <w:rPr>
          <w:rtl w:val="true"/>
        </w:rPr>
        <w:t xml:space="preserve">: </w:t>
      </w:r>
      <w:r>
        <w:rPr>
          <w:rtl w:val="true"/>
        </w:rPr>
        <w:t>في مقتضى القواعد الثانوية</w:t>
      </w:r>
      <w:bookmarkEnd w:id="367"/>
    </w:p>
    <w:p>
      <w:pPr>
        <w:pStyle w:val="Heading2"/>
        <w:numPr>
          <w:ilvl w:val="1"/>
          <w:numId w:val="1"/>
        </w:numPr>
        <w:rPr/>
      </w:pPr>
      <w:bookmarkStart w:id="368" w:name="__RefHeading___Toc3352814_417432637"/>
      <w:bookmarkStart w:id="369" w:name="_Toc128"/>
      <w:bookmarkEnd w:id="368"/>
      <w:r>
        <w:rPr>
          <w:rtl w:val="true"/>
        </w:rPr>
        <w:t>التمسّك بالاستصحاب لإثبات وجوب باقي الأجزاء</w:t>
      </w:r>
      <w:bookmarkEnd w:id="369"/>
    </w:p>
    <w:p>
      <w:pPr>
        <w:pStyle w:val="BookText"/>
        <w:rPr/>
      </w:pPr>
      <w:r>
        <w:rPr>
          <w:rFonts w:ascii="Amiri" w:hAnsi="Amiri" w:eastAsia="Amiri" w:cs="Amiri"/>
          <w:color w:val="111111"/>
          <w:sz w:val="28"/>
          <w:sz w:val="28"/>
          <w:szCs w:val="28"/>
          <w:rtl w:val="true"/>
          <w:lang w:bidi="ar-SA"/>
        </w:rPr>
        <w:t>فربّما يتمسّك بالاستصحاب لوجوب ما عدا المتعذّر ، وبقاعدة الميسور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الاستصحاب فيقرّر بوجوه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القسم الثالث من الكلّي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البقيّة كانت واجبة بالوجوب الغيري حال وجوب الكلّ ، وقد ارتفع ، وشكّ في حدوث الوجوب النفسي لها مقارناً لزواله ، فالجامع بينهما كان متيقّناً وشكّ في ارتفاعه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البقيّة كانت واجبة بالوجوب الضمني النفسي ، وقد ارتفع ، وشكّ في حدوث الواجب النفسي الاستقلالي ، فالجامع بينهما كان متيقّن الوجود بوجود مصداقه ، ومشكوك فيه لأجل الشكّ في حدوث مصداقه الآخر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الجامع بين الوجوبين لا يكون حكماً ولا موضوعاً ذا حكم ، فلا يجري فيه الاستصحاب ، أمّا عدم كونه موضوعاً فواضح ، وأمّا عدم كونه حكماً فلأنّ الحكم المجعول هو كلّ واحد من الوجوبين ؛ أي ما هو بالحمل الشائع وجوب وحكم ، وأمّا الجامع بينهما فهو أمر انتزاعي غير متعلّق للجعل ، فبعد ما حكم الشارع بوجوب الصلاة ووجوب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ينتزع العقل منهما أمراً مشتركاً جامعاً بينهما من غير تعلّق جعل به ، فالحكم هو مصداق الجامع لا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الجامع بنعت الكثرة حكم شرعي ، وبنعت الوحدة لم يكن حكماً ولا مجعولاً ، فلا يجري فيه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الوجوب الغيري للأجزاء ممّا لا محصّل له كالوجوب النفسي لها أيضاً ، أمّا الأوّل فواضح ، وأمّا الثاني فسيأتي الكلام فيه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النفسي الشخصي ؛ بدعوى المسامحة العرفية </w:t>
      </w:r>
    </w:p>
    <w:p>
      <w:pPr>
        <w:pStyle w:val="BookText"/>
        <w:rPr/>
      </w:pPr>
      <w:r>
        <w:rPr>
          <w:rFonts w:ascii="Amiri" w:hAnsi="Amiri" w:eastAsia="Amiri" w:cs="Amiri"/>
          <w:color w:val="111111"/>
          <w:sz w:val="28"/>
          <w:sz w:val="28"/>
          <w:szCs w:val="28"/>
          <w:rtl w:val="true"/>
          <w:lang w:bidi="ar-SA"/>
        </w:rPr>
        <w:t>في موضوعه ، فإنّ تعذّر بعض أجزاء المركّب لا يضرّ به عرفاً ، كما إذا كان زيد واجب الإكرام فقطعت يده أو رجله فشكّ في وجوب إكرامه ، فإنّه لا إشكال في استصحاب الوجوب</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العناوين الكلّية بالموجود الخارجي مع الفارق ، فإنّ كلّ عنوان كلّي مع فقدان قيد أو جزء أو زيادة قيد أو جزء يصير عنواناً مغايراً للأوّل عرفاً ، فالإنسان العالم غير الإنسان الغير العالم ، والماء المتغيّر غير الماء الغير</w:t>
      </w:r>
    </w:p>
    <w:p>
      <w:pPr>
        <w:pStyle w:val="BookText"/>
        <w:rPr/>
      </w:pPr>
      <w:r>
        <w:rPr>
          <w:rFonts w:ascii="Amiri" w:hAnsi="Amiri" w:eastAsia="Amiri" w:cs="Amiri"/>
          <w:color w:val="111111"/>
          <w:sz w:val="28"/>
          <w:sz w:val="28"/>
          <w:szCs w:val="28"/>
          <w:rtl w:val="true"/>
          <w:lang w:bidi="ar-SA"/>
        </w:rPr>
        <w:t xml:space="preserve">المتغيّر ، والصلاة مع السورة غير الصلاة بغيرها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وأمّا الاُمور الموجودة في الخارج فقد يكون فقدان أمر أو اُمور منه ، أو زيادة صفة أو جزء عليه ، لا يوجب اختلاف الشخصية والهذية ممّا تعتبر في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وجب إكرام زيد ، أو تنجّس الكرّ بالتغيّر ، ثمّ زال بعض أجزاء زيد أو أوصافه ، وزال تغيّر الماء ، وشكّ في بقاء الحكم ، فلا إشكال في جريان الاستصحاب ؛ لوحدة القضيّة المتيقّنة والمشكوك فيها ، وذلك لبقاء الهوهوية عرفاً ، وهذا بخلاف العناوين الكلّية الغير المتحقّقة ، كالصلاة الكلّية المركّبة من الأجزاء والشرائط ، فإنّ رفع جزء أو قيد منها موجب لتبدّل الموضوع إلى موضوع آخر عرفاً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يقال في الاستصحاب من أنّ تبدّل بعض الحالات لا يوجب تغيّر الموضوع ، إنّما يكون فيما إذا تعلّق حكم بعنوان وشكّ في كونه واسطة في الثبوت أو في العروض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أنّ العنوان دخيل في الحكم </w:t>
      </w:r>
    </w:p>
    <w:p>
      <w:pPr>
        <w:pStyle w:val="BookText"/>
        <w:rPr/>
      </w:pPr>
      <w:r>
        <w:rPr>
          <w:rFonts w:ascii="Amiri" w:hAnsi="Amiri" w:eastAsia="Amiri" w:cs="Amiri"/>
          <w:color w:val="111111"/>
          <w:sz w:val="28"/>
          <w:sz w:val="28"/>
          <w:szCs w:val="28"/>
          <w:rtl w:val="true"/>
          <w:lang w:bidi="ar-SA"/>
        </w:rPr>
        <w:t xml:space="preserve">حدوثاً وبقاءً أو حدوثاً فقط ، فيستصحب مع زوال العنوان ، وأمّا إذا علم أنّ العنوان دخيل في الحكم ويكون جزءاً للموضوع ، فلا معنى لجريان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قبيل الثاني ، فإنّا نعلم أنّ الأمر متعلّق بالمركّب بما له من الأجزاء ، فمع انتفاء جزء منه ينتفي الحكم المتعلّق بالمركّب بالضرورة ، فلا معنى للشكّ في بقاء شخص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الجزء المفقود وعدمه سواء لدى العرف ؛ فإنّه نظير الحالات المتبادلة ، نظير استصحاب الكرّية فيما نقص منه مقدار فشكّ في بقائه على الكرّية ؛ وذلك لأنّ الجزء بالنسبة إلى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كونه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إلاّ مقوّماً ، لا من قبيل الحالات ، وقياسه باستصحاب الكرّية مع الفارق ؛ لأنّ دخالة المقدار المفقود في الكرّية مشكوك فيها ؛ لاحتمال كون الكرّ هو البقيّة، فيكون المقدار الناقص كالحجر جنب الإنسان، وأمّا جزء المركّب فدخالته في تعلّق الحكم به معلومة ، كما أنّ فقدان المركّب بفقدان بعض الأجزاء كذلك ، كما أنّ رفع الحكم برفع موضوعه كذلك ، فلا مجال لدعوى الشكّ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مجال لاستصحاب الحكم الشخصي من باب المسامحة العرفية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النفسي الشخصي أيضاً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البقيّة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واجبة بالوجوب النفسي ، ونشكّ في ارتفاعه ؛ لاحتمال أن تكون الجزئية مقصورة على حال التمكّن منه ، فيبقى وجوب الباقي على حاله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يعقل أن يتعلّق طلب شخصي أو إرادة شخصية بالمركّب التامّ والناقص ، وتعدّد المطلوب موجب لتعدّد الطلب والإرادة ، فيتعلّق طلب وإرادة على التامّ لمن يقدر عليه ، وطلب آخر وإرادة اُخرى على الناقص لمن لا يقدر عليه ، ولا يعقل بقاء الطلب المتعلّق بالتامّ مع فقد جزئه ، فلا مجال لاستصحاب الحكم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الحكم الشخصي النفسي أيضاً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الباقية واجبة بعين الوجوب المتعلّق بالمركّب ؛ فإنّ وجوبه ينبسط على الأجزاء بالأسر ، فإذا زال انبساطه عن الجزء المتعذّر يشكّ في زوال انبساطه عن سائر الأجزاء ، فيستصحب بلا مسامحة في الموضوع ولا في المستصحب</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انبساط الوجوب على الأجزاء ممّا لا يرجع إلى محصّل ؛ لأنّ الإرادة أمر بسيط تتعلّق بالمركّب في حال الوحدة واضمحلال الأجزاء وفنائها في صورته الوحدانية ، فتعلّق الإرادة بالمركّب من قبيل تعلّق واحد بواحد لا واحد بكثير ، لا بمعنى كون الأجزاء من قبيل المحصّلات له ، بل هي عينه في صورة الوحدة ، فلا معنى لانبساط الإرادة البسيطة على الأجزاء وتجزّئها بتبعها ، ولا تعلّق إرادات بها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الوجوب والبعث الناشئ عنها ، فإنّه أيضاً واحد متعلّق بواحد من غير قبول تجزئة ولا انبساط ، فلا يبعث الأمر إلاّ إلى نفس المركّب في </w:t>
      </w:r>
      <w:bookmarkStart w:id="370" w:name="pg12132_128116"/>
    </w:p>
    <w:p>
      <w:pPr>
        <w:pStyle w:val="BookText"/>
        <w:rPr/>
      </w:pPr>
      <w:bookmarkEnd w:id="370"/>
      <w:r>
        <w:rPr>
          <w:rFonts w:ascii="Amiri" w:hAnsi="Amiri" w:eastAsia="Amiri" w:cs="Amiri"/>
          <w:color w:val="111111"/>
          <w:sz w:val="28"/>
          <w:sz w:val="28"/>
          <w:szCs w:val="28"/>
          <w:rtl w:val="true"/>
          <w:lang w:bidi="ar-SA"/>
        </w:rPr>
        <w:t xml:space="preserve">حال رؤية الوحدة ، ولا يتعلّق الوجوب إلاّ به في هذا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البعث إلى المركّب عين البعث إلى الأجزاء في حال الوحدة من غير تجزئة وتكثير ، وقد بسطنا القول فيه في مبحث الأقلّ والأكثر</w:t>
      </w:r>
      <w:r>
        <w:rPr>
          <w:rStyle w:val="FootnoteAnchor"/>
          <w:rtl w:val="true"/>
        </w:rPr>
        <w:footnoteReference w:id="453"/>
      </w:r>
      <w:r>
        <w:rPr>
          <w:rFonts w:ascii="Amiri" w:hAnsi="Amiri" w:eastAsia="Amiri" w:cs="Amiri"/>
          <w:color w:val="111111"/>
          <w:sz w:val="28"/>
          <w:sz w:val="28"/>
          <w:szCs w:val="28"/>
          <w:rtl w:val="true"/>
          <w:lang w:bidi="ar-SA"/>
        </w:rPr>
        <w:t xml:space="preserve">، فلا معنى لرفع الوجوب عن جزء وبقائه للبقيّة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كونه منبسطاً على الأجزاء انبساط العرض على موضوعه ، لكنّ الوجوب المتعلّق بالأجزاء تبع لوجوب المركّب ، ولا يعقل بقاء الوجوب على المركّب مع انتفاء بعض أجزائه ، فالوجوب الشخصي المتعلّق بالمركّب ينتفي بالضرورة ، وبانتفائه ينتفي الوجوب الضمني التبعي المتعلّق بالأجزاء ، فلا معنى للشكّ في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ممّا لا مجرى له في بقيّة الأجزاء</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3352816_417432637"/>
      <w:bookmarkStart w:id="372" w:name="_Toc129"/>
      <w:bookmarkEnd w:id="371"/>
      <w:r>
        <w:rPr>
          <w:rtl w:val="true"/>
        </w:rPr>
        <w:t>التمسّك بقاعدة الميسور لإثبات وجوب باقي الأجزاء</w:t>
      </w:r>
      <w:bookmarkEnd w:id="37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القاعدة ، فقد يقال</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الإتيان بالبقيّة هو مقتضى النبوي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والعلويين المشهورين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373" w:name="pg12132_128117"/>
    </w:p>
    <w:p>
      <w:pPr>
        <w:pStyle w:val="BookText"/>
        <w:rPr/>
      </w:pPr>
      <w:bookmarkEnd w:id="373"/>
      <w:r>
        <w:rPr>
          <w:rFonts w:ascii="Amiri" w:hAnsi="Amiri" w:eastAsia="Amiri" w:cs="Amiri"/>
          <w:color w:val="111111"/>
          <w:sz w:val="28"/>
          <w:sz w:val="28"/>
          <w:szCs w:val="28"/>
          <w:rtl w:val="true"/>
          <w:lang w:bidi="ar-SA"/>
        </w:rPr>
        <w:t>فلا بدّ من بيان حدود دلالتها مع الغضّ عن ضعف أسنادها وعدم جبرها باستناد المتأخّرين عليها مع عدم ذكرها في كلام المتقدّمين على ما ذكر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4" w:name="__RefHeading___Toc3352818_417432637"/>
      <w:bookmarkStart w:id="375" w:name="_Toc130"/>
      <w:bookmarkEnd w:id="374"/>
      <w:r>
        <w:rPr>
          <w:rtl w:val="true"/>
        </w:rPr>
        <w:t>الكلام في مفاد النبوي</w:t>
      </w:r>
      <w:bookmarkEnd w:id="375"/>
    </w:p>
    <w:p>
      <w:pPr>
        <w:pStyle w:val="BookText"/>
        <w:rPr/>
      </w:pPr>
      <w:r>
        <w:rPr>
          <w:rFonts w:ascii="Amiri" w:hAnsi="Amiri" w:eastAsia="Amiri" w:cs="Amiri"/>
          <w:color w:val="111111"/>
          <w:sz w:val="28"/>
          <w:sz w:val="28"/>
          <w:szCs w:val="28"/>
          <w:rtl w:val="true"/>
          <w:lang w:bidi="ar-SA"/>
        </w:rPr>
        <w:t xml:space="preserve">أمّا النبوي فمع قطع النظر عن صدره المرويّ في قضيّة الحجّ ، فأظهر احتمالاته أ نّه إذا أمرتكم بشيءٍ أعمّ من المركّب ذي الأجزاء أو الكلّي ذي الأفراد ، فأتوا منه كلّ ما كان في استطاعتكم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الأفراد إلى الكلّي ليست نسبة البعض إلى الكلّ ، والظاهر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كونها تبعيضية ، فلا بدّ من حمله على المركّب دون الأعمّ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فمردود ؛ لأنّ معنى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ليس كونها مرادفة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ضروري البطلان ، بل المراد أ نّه قد ينطبق على ما هو بعض المركّب ، فليس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من 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أكلت بعضها ، كما يظهر بالمراجعة إلى موارد استعمالاتها في العربية ومرادفها في الفارسية ، ألا ترى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الكذائي من طبيعة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من طبيعة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تجوّزاً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بطبيعة الصلاة فأتوا منها كلّ فرد يكون في استطاعتكم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مرتكباً لخلاف الظاهر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عن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الطبيعة في نظر العرف بمنزلة مخزن يخرج منه الأفراد ، فيكون منطبقاً على التبعيض بالحمل الشائع عرفاً ، فحينئذٍ </w:t>
      </w:r>
    </w:p>
    <w:p>
      <w:pPr>
        <w:pStyle w:val="BookText"/>
        <w:rPr/>
      </w:pPr>
      <w:r>
        <w:rPr>
          <w:rFonts w:ascii="Amiri" w:hAnsi="Amiri" w:eastAsia="Amiri" w:cs="Amiri"/>
          <w:color w:val="111111"/>
          <w:sz w:val="28"/>
          <w:sz w:val="28"/>
          <w:szCs w:val="28"/>
          <w:rtl w:val="true"/>
          <w:lang w:bidi="ar-SA"/>
        </w:rPr>
        <w:t xml:space="preserve">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أمرتكم بشيء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أعمّ من المركّب والطبيعة ، ولا داعي لاختصاصه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يعرف النظر في كلام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إرادة الأعمّ توجب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 لعدم الجامع بين الأجزاء والأفراد ، ولحاظ الأجزاء يباين لحاظ الأفراد ، ولا يصحّ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وإن صحّ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من الكلّ والكلّي</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مرادفة للبعض ، بل يكون معناها أنّ ما بعدها مقتطع ممّا قبلها بنحوٍ من الاقتطاع ، أو يكون ما قبلها مخزناً لما بعدها كالطبيعة بالنسبة إلى الأفراد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قطع النظر عن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بالنظر إليه فالظاهر منه إرادة الأفراد ، لا الأجزاء ولا الأعمّ منهما ؛ لمخالفتهما لسوق الحديث ؛ فإنّ الظاهر منه أنّ إعراضه رحمهما اللّه عن عكاشة أو سراقة واعتراضه رحمهما اللّه عليه لمكان أنّ العقل يحكم بأنّ الطبيعة إذا وجبت</w:t>
      </w:r>
    </w:p>
    <w:p>
      <w:pPr>
        <w:pStyle w:val="BookText"/>
        <w:rPr/>
      </w:pPr>
      <w:r>
        <w:rPr>
          <w:rFonts w:ascii="Amiri" w:hAnsi="Amiri" w:eastAsia="Amiri" w:cs="Amiri"/>
          <w:color w:val="111111"/>
          <w:sz w:val="28"/>
          <w:sz w:val="28"/>
          <w:szCs w:val="28"/>
          <w:rtl w:val="true"/>
          <w:lang w:bidi="ar-SA"/>
        </w:rPr>
        <w:t xml:space="preserve">يسقط وجوبها بإتيان أوّل مصداق منها ، فبعد هذا الحكم العقلي لا مجال للسؤال والإصرار عليه ، ولذا قال رحمهما اللّه بناءً على هذا النقل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 ما يؤمنك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لوجب</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أي في كلّ سنة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عدم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على طبق حكم العقل ، وهو السقوط بإتيان أوّل المصاديق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أمرتكم بشيء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بعد هذا السؤال والجواب </w:t>
      </w:r>
      <w:r>
        <w:rPr>
          <w:rFonts w:eastAsia="Amiri" w:cs="Amiri" w:ascii="Amiri" w:hAnsi="Amiri"/>
          <w:color w:val="111111"/>
          <w:sz w:val="28"/>
          <w:szCs w:val="28"/>
          <w:rtl w:val="true"/>
          <w:lang w:bidi="ar-SA"/>
        </w:rPr>
        <w:t xml:space="preserve">- </w:t>
      </w:r>
      <w:bookmarkStart w:id="376" w:name="pg12132_128119"/>
    </w:p>
    <w:p>
      <w:pPr>
        <w:pStyle w:val="BookText"/>
        <w:rPr/>
      </w:pPr>
      <w:bookmarkEnd w:id="376"/>
      <w:r>
        <w:rPr>
          <w:rFonts w:ascii="Amiri" w:hAnsi="Amiri" w:eastAsia="Amiri" w:cs="Amiri"/>
          <w:color w:val="111111"/>
          <w:sz w:val="28"/>
          <w:sz w:val="28"/>
          <w:szCs w:val="28"/>
          <w:rtl w:val="true"/>
          <w:lang w:bidi="ar-SA"/>
        </w:rPr>
        <w:t xml:space="preserve">قاعدة كلّية مطابقة لحكم العقل من السقوط بأوّل المصاديق ، فحينئذٍ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زمانية ؛ أي إذا أمرتكم بشيء فأتوا منه زمان استطاعتكم ، وليست موصولة حتّى يكون النبي رحمهما اللّه بصدد تحميل كلّ مصداق مستطاع ، فإنّه خلاف مساق الحديث ، فحينئذٍ لا معنى لإرادة المركّب ؛ فإنّ المركّب إذا وجب علينا لا بدّ لنا من إتيان تمام أجزائه لا بعض أجزائه </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3352820_417432637"/>
      <w:bookmarkStart w:id="378" w:name="_Toc131"/>
      <w:bookmarkEnd w:id="377"/>
      <w:r>
        <w:rPr>
          <w:rtl w:val="true"/>
        </w:rPr>
        <w:t>الكلام في مفاد العلوي الأوّل</w:t>
      </w:r>
      <w:bookmarkEnd w:id="378"/>
    </w:p>
    <w:p>
      <w:pPr>
        <w:pStyle w:val="BookText"/>
        <w:rPr/>
      </w:pPr>
      <w:r>
        <w:rPr>
          <w:rFonts w:ascii="Amiri" w:hAnsi="Amiri" w:eastAsia="Amiri" w:cs="Amiri"/>
          <w:color w:val="111111"/>
          <w:sz w:val="28"/>
          <w:sz w:val="28"/>
          <w:szCs w:val="28"/>
          <w:rtl w:val="true"/>
          <w:lang w:bidi="ar-SA"/>
        </w:rPr>
        <w:t xml:space="preserve">وأمّا العلوي الأوّل ففيه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الميسور لا يسقط عن عهدة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 لا يسقط عن عهدته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 لا يسقط عن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الميسور لا يسقط عن موضوعيته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أظهرها الأوّل ؛ لأ نّه يعتبر في تحقّق مفهوم السقوط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يتعلّق به السقوط ثابتاً بنحو من الأنحاء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ثبت في محلّ مرتفع بنحو من الارتفاع يمكن أن يسقط منه وأن لا يسقط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والطبائع لمّا كانت ثابتة على عهدة المكلّف ورقبته بواسطة الأوامر ، فكأنّ عهدته ورقبته محلّ مرتفع يكون المكلّف به محمولاً عليه بواسطة الأمر ، فإذا ثبت المكلّف به على عهدته ثبتت أجزاؤه بعين ثبوته ، وإذا تعذّر جزء منه وسقط لتعذّره لا تثبت بقيّة الأجزاء لولا قيام الدليل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بعد ورود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تسقط البقيّة حقيقةً من غير مسامحة ولو كان ملاك الثبوت مختلفاً ؛ فإنّ ملاكه قبل التعذّر هو الأمر المتعلّق بالمركّب ، وبعده هو الأمر المتعلّق بالبقيّة المستفاد من مثل قوله ذلك ، واختلاف جهة الثبوت لا يوجب اختلاف أصله ، كالدعائم التي تتبدّل تحت سقف محفوظ بها ، فإنّ شخص السقف محفوظ وباقٍ بواسطتها حقيقةً وإن كانت هي متبادلة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الميسور من الطبيعة الذي هو ثابت على عهدة المكلّف لا يسقط عنه بالمعسور وإن كان عدم السقوط لأجل أمر آخر ؛ لتعدّد المطلوب والطلب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الاحتمالات الاُخر فأردؤها الأخير ، وإن اشترك الكلّ في مخالفة الظاهر والاحتياج إلى المسامحة ، وإنّما الأردئية باعتبار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تلائم هذا الاحتمال ؛ لما عرفت من اعتبار كون الساقط في محلّ مرتفع ولو اعتباراً ككون الحكم بالنسبة إلى الموضوع ، وأمّا كون الموضوع موضوعاً للحكم فلا يعتبر فيه العلوّ حتّى يطلق عليه السقوط إلاّ مسامحة ؛ لأنّ الحكم يسقط عن الموضوع ، لا الموضوع عن الموضوعية إلاّ تبعاً وعرضاً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الموضوع لأجل موضوعيته صار مكانه مرتفعاً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عنه ، كسقوط الأمير عن الإمارة ، وليس هذا الاعتبار فيما نحن فيه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خلاف الظاهر المشترك بينها ؛ فلأنّ الحكم الأوّل المتعلّق بالميسور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وجوب غيري أو نفسي 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بتعذّر بعض الأجزاء ، </w:t>
      </w:r>
    </w:p>
    <w:p>
      <w:pPr>
        <w:pStyle w:val="BookText"/>
        <w:rPr/>
      </w:pPr>
      <w:r>
        <w:rPr>
          <w:rFonts w:ascii="Amiri" w:hAnsi="Amiri" w:eastAsia="Amiri" w:cs="Amiri"/>
          <w:color w:val="111111"/>
          <w:sz w:val="28"/>
          <w:sz w:val="28"/>
          <w:szCs w:val="28"/>
          <w:rtl w:val="true"/>
          <w:lang w:bidi="ar-SA"/>
        </w:rPr>
        <w:t xml:space="preserve">والثابت له إنّما هو حكم آخر بأمر آخر ، فنسبة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إليه يحتاج إلى المسامحة ، بخلاف الاحتمال الأوّل</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وذلك لأنّ الحكم الوحداني الثابت على المركّب ، والإرادة الوحدانية المتعلّقة بالمجموع الوحداني المتشخّصة بتشخّص المراد ، لا يمكن بقاؤهما مع عدم بقاء الموضوع والمتعلّق ، وعدم بقاء المركّب بعدم بعض الأجزاء ضروري ، ومعه كيف يمكن البقاء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والقياس بأدلّة الاستصحاب في غير محلّه ؛ ضرورة أنّ مفادها التعبّد بإبقاء اليقين عند الشكّ في بقاء المتيقّن ، وفي المقام لا شكّ في سقوط ما ثبت ؛ أي الحكم ، نعم يشكّ في ثبوت البقيّة على الذمّة ؛ لاحتمال مقارنة وجود علّة اُخرى لفقد علّته الاُولى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التشبّث بالتسامح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شيخنا العلاّمة 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فغير واضح ؛ لمنع ذلك ؛ فإنّ الوجوب التبعي الغيري الساقط كيف يكون عند العرف عين الوجوب النفسي الثابت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حال التسامح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 أبواب الخلل الواقع في الصلاة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 ضمن تراث الشيخ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الفوائد ، المحقّق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132_128122"/>
    </w:p>
    <w:p>
      <w:pPr>
        <w:pStyle w:val="BookText"/>
        <w:rPr/>
      </w:pPr>
      <w:bookmarkEnd w:id="379"/>
      <w:r>
        <w:rPr>
          <w:rFonts w:ascii="Amiri" w:hAnsi="Amiri" w:eastAsia="Amiri" w:cs="Amiri"/>
          <w:color w:val="111111"/>
          <w:sz w:val="28"/>
          <w:sz w:val="28"/>
          <w:szCs w:val="28"/>
          <w:rtl w:val="true"/>
          <w:lang w:bidi="ar-SA"/>
        </w:rPr>
        <w:t xml:space="preserve">ثمّ إنّه على هذا الاحتمال لا يبعد ظهوره في الواجبات ؛ لعدم العهدة في المستحبّات ، وإن كان اعتبار العهدة فيها أيضاً لا يخلو من وجه ، وأمّا مع دعوى ظهوره في الواجبات فتسرية الحكم إلى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تنقيح المناط أو إلقاء الخصوصية</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فمجازفة </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3352822_417432637"/>
      <w:bookmarkStart w:id="381" w:name="_Toc132"/>
      <w:bookmarkEnd w:id="380"/>
      <w:r>
        <w:rPr>
          <w:rtl w:val="true"/>
        </w:rPr>
        <w:t>الكلام في مفاد العلوي الثاني</w:t>
      </w:r>
      <w:bookmarkEnd w:id="381"/>
    </w:p>
    <w:p>
      <w:pPr>
        <w:pStyle w:val="BookText"/>
        <w:rPr/>
      </w:pPr>
      <w:r>
        <w:rPr>
          <w:rFonts w:ascii="Amiri" w:hAnsi="Amiri" w:eastAsia="Amiri" w:cs="Amiri"/>
          <w:color w:val="111111"/>
          <w:sz w:val="28"/>
          <w:sz w:val="28"/>
          <w:szCs w:val="28"/>
          <w:rtl w:val="true"/>
          <w:lang w:bidi="ar-SA"/>
        </w:rPr>
        <w:t xml:space="preserve">وأمّا العلوي الثاني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ظهوره في الكلّ المجموعي ، لكن دلالته على حرمة ترك البقيّة مبنيّة على أظهرية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مفاده من ظهور الموصول في مطلق الراجحات ، وهو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 العلاّمة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قرينة على تخصيص الموصول بغير المباحات والمحرّمات قرينة على ذلك أيضاً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فإنّ القرينة على صَرف الموصول عن غير الراجحات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الدرك واللا درك إنّما يطلقان في مقام يكون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إلى إتيانه وكذا للآمر ، وهو لا يكون إلاّ في الراجحات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راجح يكون للمكلّف داعٍ إلى </w:t>
      </w:r>
    </w:p>
    <w:p>
      <w:pPr>
        <w:pStyle w:val="BookText"/>
        <w:rPr/>
      </w:pPr>
      <w:r>
        <w:rPr>
          <w:rFonts w:ascii="Amiri" w:hAnsi="Amiri" w:eastAsia="Amiri" w:cs="Amiri"/>
          <w:color w:val="111111"/>
          <w:sz w:val="28"/>
          <w:sz w:val="28"/>
          <w:szCs w:val="28"/>
          <w:rtl w:val="true"/>
          <w:lang w:bidi="ar-SA"/>
        </w:rPr>
        <w:t xml:space="preserve">إتيانه ولم يدرك كلّه لا يترك كلّه ، فيمكن أن يدّعى أنّ ظهور الصدر في مطلق الراجحات قرينة على صَرف الذيل عن الظهور في التحريم ، فيحمل على مطلق المرجوحية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قرينية الصدر على الذيل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ظهور الذيل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توجّه ذهن المخاطب إلى الصدر وجلب ذهنه إلى ظهوره ، يمنع ذلك عن انعقاد الظهور للذيل ، فلا بدّ أن يكون للذيل ظهور أقوى منه حتّى ينصرف الذهن عمّا توجّه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مانعية ظهور الصدر عن انعقاد ظهور الذيل أهون من رافعية ظهور الذيل لظهور الصدر ؛ فإنّ الدفع أهون من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منع من ذلك فلا أقلّ فيما نحن فيه من عدم رجحان ظهور الذيل على ظهور الصدر في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 في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يراد منه المجموع ، أو كلّ جزء منه ، أو يراد في الاُولى المجموع وفي الثانية كلّ جزء منه ، أو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سبيل إلى الأوّل ؛ لأنّ درك المجموع بدرك جميع أجزائه ، وعدم دركه بعدم درك بعضها ، وأمّا ترك المجموع فبترك بعض أجزائه ، وعدم تركه بإتيان جميعها ، فيصير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يمكن إتيان جميع أجزائه يؤتى بجميع أجزائه ، وفساده واضح ، ومنه يظهر فساد الاحتمال الرابع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 مّا الاحتمال الثاني ، وهو أ نّه ما لا يدرك كلّ جزء منه لا يترك كلّ جزء منه ، فهو ممّا لا مانع منه ؛ لأنّ مقابل درك كلّ جزء منه عدم درك </w:t>
      </w:r>
    </w:p>
    <w:p>
      <w:pPr>
        <w:pStyle w:val="BookText"/>
        <w:rPr/>
      </w:pPr>
      <w:r>
        <w:rPr>
          <w:rFonts w:ascii="Amiri" w:hAnsi="Amiri" w:eastAsia="Amiri" w:cs="Amiri"/>
          <w:color w:val="111111"/>
          <w:sz w:val="28"/>
          <w:sz w:val="28"/>
          <w:szCs w:val="28"/>
          <w:rtl w:val="true"/>
          <w:lang w:bidi="ar-SA"/>
        </w:rPr>
        <w:t xml:space="preserve">كلّ جزء ، وهو مساوق لدرك البعض ، ومقابل ترك كلّ جزء عدم تركه المساوق لعدم ترك البعض ، ويفهم منه عرفاً عدم ترك البقيّة ؛ أي الغير المتعذّر من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 العلاّمة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لا بدّ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لا المتعدّد ، وإلاّ يكون المعنى ما لا يدرك شيء منه لا يترك شيء منه ، وهو فاسد</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لوضوح الفرق بين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إنسان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واحد منه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الأوّل يفيد سلب العموم ، والثاني عموم السلب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المسلوب لمّا كان متعدّداً ، فالسلب والمسلوب عنه يجب أن يكونا كذلك ؛ لمكان التضايف الواقع بينها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ضرورة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إنسان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قضايا متعدّدة ولا سُلوباً كثيرة ، كما نبّهنا عليه فيما سلف</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يكون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يبلغ الماء قدر كرّ ليس لا ينجّسه شيء ، ولازمه سلب تلك القضيّة السالبة الكلّية ، وهو يتحقّق بالإثبات الجزئي ، فنقيض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bookmarkStart w:id="382" w:name="pg12132_128125"/>
    </w:p>
    <w:p>
      <w:pPr>
        <w:pStyle w:val="BookText"/>
        <w:rPr/>
      </w:pPr>
      <w:bookmarkEnd w:id="382"/>
      <w:r>
        <w:rPr>
          <w:rFonts w:ascii="Amiri" w:hAnsi="Amiri" w:eastAsia="Amiri" w:cs="Amiri"/>
          <w:color w:val="111111"/>
          <w:sz w:val="28"/>
          <w:sz w:val="28"/>
          <w:szCs w:val="28"/>
          <w:rtl w:val="true"/>
          <w:lang w:bidi="ar-SA"/>
        </w:rPr>
        <w:t>كلّ إنسان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نقيض كلّ شيء رفعه ، وهو ملازم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الإنسان ليس بحيوان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يكون نقيض السالبة الكلّية الموجبة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هاهنا </w:t>
      </w:r>
      <w:r>
        <w:rPr>
          <w:rStyle w:val="FootnoteAnchor"/>
          <w:rtl w:val="true"/>
        </w:rPr>
        <w:footnoteReference w:id="469"/>
      </w:r>
      <w:r>
        <w:rPr>
          <w:rFonts w:ascii="Amiri" w:hAnsi="Amiri" w:eastAsia="Amiri" w:cs="Amiri"/>
          <w:color w:val="111111"/>
          <w:sz w:val="28"/>
          <w:sz w:val="28"/>
          <w:szCs w:val="28"/>
          <w:rtl w:val="true"/>
          <w:lang w:bidi="ar-SA"/>
        </w:rPr>
        <w:t>من فروع النزاع بينه وبين بعض الفحول</w:t>
      </w:r>
      <w:r>
        <w:rPr>
          <w:rStyle w:val="FootnoteAnchor"/>
          <w:rtl w:val="true"/>
        </w:rPr>
        <w:footnoteReference w:id="470"/>
      </w:r>
      <w:r>
        <w:rPr>
          <w:rFonts w:ascii="Amiri" w:hAnsi="Amiri" w:eastAsia="Amiri" w:cs="Amiri"/>
          <w:color w:val="111111"/>
          <w:sz w:val="28"/>
          <w:sz w:val="28"/>
          <w:szCs w:val="28"/>
          <w:rtl w:val="true"/>
          <w:lang w:bidi="ar-SA"/>
        </w:rPr>
        <w:t xml:space="preserve">في باب المفاهيم والحقّ مع ذلك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يتّضح صحّة الاحتمال الثالث أيضاً ؛ فإنّ معنى ما لا يدرك مجموعه لا يترك كلّ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يتعذّر بعض أجزائه لا يترك بكلّيته ، والأظهر من الاحتمالين أن يراد بالكلّ في الجملة الاُولى المجموع ، وفي الثانية كلّ جزء منه ؛ أي ما لا يدرك مجموعه لا يترك بالكلّية وبجميع أجزائه ، وبمساعدة العرف يفهم منه أ نّه لا يترك غير المتعذّر لأجل المتعذّر ، وهذا هو الاحتمال الثالث من بين الاحتمالات </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3352824_417432637"/>
      <w:bookmarkStart w:id="384" w:name="_Toc133"/>
      <w:bookmarkEnd w:id="383"/>
      <w:r>
        <w:rPr>
          <w:rtl w:val="true"/>
        </w:rPr>
        <w:t>اعتبار صدق الميسور في جريان القاعدة</w:t>
      </w:r>
      <w:bookmarkEnd w:id="384"/>
    </w:p>
    <w:p>
      <w:pPr>
        <w:pStyle w:val="BookText"/>
        <w:rPr/>
      </w:pP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حيث كان الملاك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بينهم أنّ جريان قاعدة الميسور يتوقّف على صدق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ميسور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البقيّة عرفاً </w:t>
      </w:r>
      <w:r>
        <w:rPr>
          <w:rStyle w:val="FootnoteAnchor"/>
          <w:rtl w:val="true"/>
        </w:rPr>
        <w:footnoteReference w:id="471"/>
      </w:r>
      <w:r>
        <w:rPr>
          <w:rFonts w:ascii="Amiri" w:hAnsi="Amiri" w:eastAsia="Amiri" w:cs="Amiri"/>
          <w:color w:val="111111"/>
          <w:sz w:val="28"/>
          <w:sz w:val="28"/>
          <w:szCs w:val="28"/>
          <w:rtl w:val="true"/>
          <w:lang w:bidi="ar-SA"/>
        </w:rPr>
        <w:t xml:space="preserve">، وطريق استفادة ذلك إنّما يكون من حدود دلالة الأدلّة الدالّة عليها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فبعد قرينية صدره يحتمل أن يكون دالاًّ على المقصود في بادئ النظر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إذا أمرتكم بطبيعة ذات أفراد فأتوا منها ما يكون في استطاعتكم ، أعمّ من الأفراد العرضية أو الطولية ؛ بمعنى أ نّه إذا كانت الطبيعة صادقة على الأفراد الفاقدة لبعض الأجزاء والشرائط لا بدّ من إتيانها لدى تعذّر الواجد ، بخلاف ما إذا لم تصدق لفقد معظم أجزائها أو بعض أجزائها الركنية في نظر العرف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بطبيعة الصلاة وتعذّر مصداقها الكامل ، فأتوا منها ما تصدق عليها ولو كان ناقصاً بالنسبة إلى المتعذّر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w:t>
      </w:r>
      <w:r>
        <w:rPr>
          <w:rStyle w:val="FootnoteAnchor"/>
          <w:rtl w:val="true"/>
        </w:rPr>
        <w:footnoteReference w:id="473"/>
      </w:r>
      <w:r>
        <w:rPr>
          <w:rFonts w:ascii="Amiri" w:hAnsi="Amiri" w:eastAsia="Amiri" w:cs="Amiri"/>
          <w:color w:val="111111"/>
          <w:sz w:val="28"/>
          <w:sz w:val="28"/>
          <w:szCs w:val="28"/>
          <w:rtl w:val="true"/>
          <w:lang w:bidi="ar-SA"/>
        </w:rPr>
        <w:t xml:space="preserve">أنّ الأظهر باعتبار سياق الرواية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وقتية لا موصولة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لا يدرك كلّه </w:t>
      </w:r>
      <w:r>
        <w:rPr>
          <w:rFonts w:eastAsia="Amiri" w:cs="Amiri" w:ascii="Amiri" w:hAnsi="Amiri"/>
          <w:color w:val="111111"/>
          <w:sz w:val="28"/>
          <w:szCs w:val="28"/>
          <w:rtl w:val="true"/>
          <w:lang w:bidi="ar-SA"/>
        </w:rPr>
        <w:t>. . .»</w:t>
      </w:r>
      <w:r>
        <w:rPr>
          <w:rStyle w:val="FootnoteAnchor"/>
          <w:rtl w:val="true"/>
        </w:rPr>
        <w:footnoteReference w:id="474"/>
      </w: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 أنّ كلّ مركّب لا يدرك كلّ جزء من أجزائه لا يترك ذلك المركّب بكلّيته ؛ أي لا بدّ من إتيان المركّب الناقص إذا تعذّر التامّ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في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مركّب لا يدرك مجموعه أو كلّ جزء من أجزائه لا يترك جميع أجزاءه ، بل يؤتى بما تيسّر منها لا من الطبيعة ، ولا إشكال في صدق جزء المركّب على كلّ جزء منه ولو أصغر صغير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فالعمدة في ذلك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واحتمالاته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الميسور من كلّ طبيعة مأمور بها لا يسقط بالمعسور منها ؛ بمعنى أنّ ميسور الطبيعة لا يسقط بمعسورها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الميسور من أجزاء الطبيعة المأمور بها لا يسقط بالمعسور منها ؛ أي من أجزائها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الميسور من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الطبيعة الميسورة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بالمعسور من أجزائها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الاحتمال الأوّل والثالث تكون الرواية دالّة على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دعوى أظهرية الاحتمال الأوّل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من القاعدة هو ما يصدق على البقيّة ميسور الطبيعة المأمور بها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وليس المراد من الميسور هو ما يكون وافياً بالغرض أو ببعضه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للعرف تشخيصه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ضرورة أ نّه خروج عن ظاهر اللفظ بلا داعٍ ، فعليه يكون ما ورد على خلاف القاعدة مخصّصاً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عليه لا يجوز الاتّكال على القاعدة ؛ لكثرة ورود التخصيص عليها ، فلا بدّ في التمسّك بها من انتظار عمل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ما قلنا بظهور القاعدة في الواجبات بقرينة عدم تحقّق العهدة في غيرها ، وبعد ما قلنا باعتبار الميسور بالمعنى المتقدّم فيها ، لم يتّضح ورود كثرة التخصيص عليها ؛ ضرورة عدم ورود التخصيص عليها في الصلاة ومقدّماتها ، وفي الحجّ كذلك ، وكذا سائر الواجبات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الصوم فلا يتحقّق فيه الميسور والمعسور ؛ لأ نّه ليس عبارة عن الاجتناب عن المفطرات ، بل هو أمر بسيط وضعي تكون المفطرات مفسداته ، فلا يصدق الصوم ولو ناقصاً مع الشرب القليل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المراد بالميسور الأجزاء كما تقدّم ، ولم نعتبر كون البقيّة مصداقاً للطبيعة ، لكان ورود التخصيص الكثير المستهجن حقّاً ، ولكنّه خلاف التحقيق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أنكرنا 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الطبيعة ، وقلنا بأنّ المحتمل منها أن يكون الميسور من الأجزاء ، أو قلنا بأنّ القدر المتيقّن منها هو ما يصدق عليه الميسور ، يشكل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نهاية الدراية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2132_128129"/>
      <w:bookmarkStart w:id="386" w:name="pg12132_128129"/>
      <w:bookmarkEnd w:id="386"/>
    </w:p>
    <w:p>
      <w:pPr>
        <w:pStyle w:val="Heading2"/>
        <w:numPr>
          <w:ilvl w:val="1"/>
          <w:numId w:val="1"/>
        </w:numPr>
        <w:rPr/>
      </w:pPr>
      <w:bookmarkStart w:id="387" w:name="pg12132_128129"/>
      <w:bookmarkStart w:id="388" w:name="__RefHeading___Toc3352826_417432637"/>
      <w:bookmarkStart w:id="389" w:name="_Toc134"/>
      <w:bookmarkEnd w:id="387"/>
      <w:bookmarkEnd w:id="388"/>
      <w:r>
        <w:rPr>
          <w:rtl w:val="true"/>
        </w:rPr>
        <w:t xml:space="preserve">خاتمة </w:t>
      </w:r>
      <w:r>
        <w:rPr>
          <w:rtl w:val="true"/>
        </w:rPr>
        <w:t xml:space="preserve">: </w:t>
      </w:r>
      <w:r>
        <w:rPr>
          <w:rtl w:val="true"/>
        </w:rPr>
        <w:t>شرائط جريان الاُصول</w:t>
      </w:r>
      <w:bookmarkEnd w:id="389"/>
    </w:p>
    <w:p>
      <w:pPr>
        <w:pStyle w:val="BookText"/>
        <w:rPr/>
      </w:pP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Heading2"/>
        <w:numPr>
          <w:ilvl w:val="1"/>
          <w:numId w:val="1"/>
        </w:numPr>
        <w:rPr/>
      </w:pPr>
      <w:bookmarkStart w:id="390" w:name="__RefHeading___Toc3352828_417432637"/>
      <w:bookmarkStart w:id="391" w:name="_Toc135"/>
      <w:bookmarkEnd w:id="390"/>
      <w:r>
        <w:rPr>
          <w:rtl w:val="true"/>
        </w:rPr>
        <w:t>في حسن الاحتياط مطلقاً ودفع الإشكالات الواردة عنه</w:t>
      </w:r>
      <w:bookmarkEnd w:id="391"/>
    </w:p>
    <w:p>
      <w:pPr>
        <w:pStyle w:val="BookText"/>
        <w:rPr/>
      </w:pPr>
      <w:r>
        <w:rPr>
          <w:rFonts w:ascii="Amiri" w:hAnsi="Amiri" w:eastAsia="Amiri" w:cs="Amiri"/>
          <w:color w:val="111111"/>
          <w:sz w:val="28"/>
          <w:sz w:val="28"/>
          <w:szCs w:val="28"/>
          <w:rtl w:val="true"/>
          <w:lang w:bidi="ar-SA"/>
        </w:rPr>
        <w:t xml:space="preserve">هاهنا إشكالات ، بعضها راجع إلى مطلق الاحتياط ، وبعضها إلى الاحتياط في أطراف العلم الإجمالي ، وبعضها إلى الاحتياط فيما قامت الأمارة على خلافه ، كما لو دلّت الأمارة على وجوب الجمعة فأراد المكلّف إتيان الظهر أيضاً احتياطاً </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3352830_417432637"/>
      <w:bookmarkStart w:id="393" w:name="_Toc136"/>
      <w:bookmarkEnd w:id="392"/>
      <w:r>
        <w:rPr>
          <w:rtl w:val="true"/>
        </w:rPr>
        <w:t xml:space="preserve">أمّا الإشكال على مطلق الاحتياط </w:t>
      </w:r>
      <w:r>
        <w:rPr>
          <w:rtl w:val="true"/>
        </w:rPr>
        <w:t>:</w:t>
      </w:r>
      <w:bookmarkEnd w:id="39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أنّ الاحتياط ليس عبارة عن إتيان العمل مطلقاً ، بل لا بدّ من إتيان العمل بانبعاث من قبل المولى ؛ لعدم صدق الإطاعة بغيره ، فإطاعة المولى إنّما تتحقّق مع كون الأمر داعياً إلى إتيان المأمور به ، وصيرورة العبد متحرّكاً بتحريكه ، مع أنّ محرّكية الأمر المجهول غير معقولة ، واحتمال الأمر وإن كان محرّكاً لكنّ </w:t>
      </w:r>
    </w:p>
    <w:p>
      <w:pPr>
        <w:pStyle w:val="BookText"/>
        <w:rPr/>
      </w:pPr>
      <w:r>
        <w:rPr>
          <w:rFonts w:ascii="Amiri" w:hAnsi="Amiri" w:eastAsia="Amiri" w:cs="Amiri"/>
          <w:color w:val="111111"/>
          <w:sz w:val="28"/>
          <w:sz w:val="28"/>
          <w:szCs w:val="28"/>
          <w:rtl w:val="true"/>
          <w:lang w:bidi="ar-SA"/>
        </w:rPr>
        <w:t xml:space="preserve">المحرّك نفس الاحتمال ، كان الأمر في الواقع أو لم يكن ، ولو كان الأمر الواقعي دخيلاً في تحريك العبد بنحو الاستقلال أو جزء الموضوع ، فلا يعقل تحريكه وانبعاثه بدونه ، مع أ نّه منبعث حتّى مع عدم الأمر الواقعى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احتمال الأمر إلى الأمر الواقعي وعدمه على السواء ، فكون الأمر الواقعي باعثاً ومحرّكاً ممّا لا يعقل مع استواء نسبته إليه وإلى عدمه ، فإذا امتنعت محرّكية الأمر يصير الاحتياط ممتنعاً ؛ لتوقّفه على باعثية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الباعث هو الصورة القائمة بالنفس من غير دخالة للأمر الواقعى ولو بنحو التشريك ، ومعه لا تتحقّق الإطاعة ، فلا يمكن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توسعة دائرة الإشكال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محرّك الإنسان في جميع حركاته وأفعاله ليس إلاّ الصورة الذهنية ، غاية الأمر أ نّه يتوهّم الفاعل كونها حاكية عن الواقع ، لكن وجود الواقع وعدمه على السواء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اعتقد أنّ الأسد في طريقه ، فيخاف ويفرّ منه ؛ لا يكون خوفه وفراره إلاّ من الصورة المتوهّمة التي اعتقد أ نّها حاكية عن الواقع ، فالخائف وإن توهّم أنّ خوفه من الواقع ، لكن لا يخاف حقيقةً إلاّ من توهّم الواقع ، وهو صورة قائمة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المعتقد المتوهّم يخاف ويفرّ ، كان أسد بحسب الواقع أو لم يكن ، فلو كان الأسد دخيلاً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الإخافة والفرار ، لم يمكن أن تؤثّر الصورة المتوهّمة التي ليست لها واقعية فيهما ، مع أنّ وجود الأسد وعدمه في الخوف والفرار على السواء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 إطاعة الأمر المعلوم من المولى ؛ فإنّ المكلّف إذا اعتقد وجود </w:t>
      </w:r>
    </w:p>
    <w:p>
      <w:pPr>
        <w:pStyle w:val="BookText"/>
        <w:rPr/>
      </w:pPr>
      <w:r>
        <w:rPr>
          <w:rFonts w:ascii="Amiri" w:hAnsi="Amiri" w:eastAsia="Amiri" w:cs="Amiri"/>
          <w:color w:val="111111"/>
          <w:sz w:val="28"/>
          <w:sz w:val="28"/>
          <w:szCs w:val="28"/>
          <w:rtl w:val="true"/>
          <w:lang w:bidi="ar-SA"/>
        </w:rPr>
        <w:t>الأمر فانبعث نحو المأمور به ، يكون انبعاثه لأجل اعتقاده بالأمر كان أمر في الواقع أو لا ، فوجوده وعدمه سواء ، فالباعث نفس الاعتقاد لا الأمر ، ولو كان الواقع دخيلاً في التحريك ولو بنحو جزء الموضوع لم يتحرّك في صورة تخلّف الاعتقاد عن الواقع ، مع أنّ الأمر ليس كذلك بالضرورة ، فالصورة المتوهّمة هي الباعثة والزاجرة ، فأين إطاعة أمر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البرهان على هيئة 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إطاعة هو انبعاث ببعث المولى ، ولا شيء من الانبعاث ببعث المولى بممكن ، فلا شيء من الإطاعة بممكن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دعوى امتناع الإطاعة في صورة العلم بالأوامر والنواهي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الصورة الذهنية الاعتقادية لمّا كانت حاكية بنظر القاطع عن الواقع ، ففي صورة مصادفتها يكون الانبعاث عن نفس الواقع ؛ لأ نّه منكشف ولو بالواسطة ، فتلك الصورة وسيلة إلى انكشاف الواقع ، والانبعاث يكون من نفس الواقع المنكشف لا بالجهة التقييدية ، كما أ نّه في صورة اعتقاد الأسد ومصادفة الاعتقاد للواقع يكون الأسد الواقعي المنكشف موجباً لخوفه وفراره ، لا الصورة الاعتقادية الفانية فيه ، فالإنسان العالم خائف من الأسد ومنبعث من أمر المولى ومطيع لأمره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الانبعاث ببعث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صغرى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الانبعاث بالبعث بالذات فنمنع دخالته في الطاعة ؛ لأ نّها متقوّمة بالبعث ولو بالعرض ؛ ضرورة أنّ العقلاء لا يشكّون في أنّ المولى إذا أمر عبده فأتى بالمأمور به لأجله يكون مطيعاً له ، مع أنّ الباعث أوّلاً وبالذات هو الصورة </w:t>
      </w:r>
    </w:p>
    <w:p>
      <w:pPr>
        <w:pStyle w:val="BookText"/>
        <w:rPr/>
      </w:pPr>
      <w:r>
        <w:rPr>
          <w:rFonts w:ascii="Amiri" w:hAnsi="Amiri" w:eastAsia="Amiri" w:cs="Amiri"/>
          <w:color w:val="111111"/>
          <w:sz w:val="28"/>
          <w:sz w:val="28"/>
          <w:szCs w:val="28"/>
          <w:rtl w:val="true"/>
          <w:lang w:bidi="ar-SA"/>
        </w:rPr>
        <w:t xml:space="preserve">الذهنية وثانياً وبالتبع هو الواقع المنكشف بها ، فلا يعتبر في حقيقة الطاعة أن يكون أمر المولى بنفسه حاضراً في ذهن العبد وموجباً لتحريك عضلاته ؛ فإنّه غير معقول ، ولا ينال أحد شيئاً من خارج ذاته نيلاً بالذات وبلا واسطة ، بل العلم بالخارج لا يكون إلاّ بالعرض والواسطة كالبعث ، ويكفي ذلك في حقيقة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 البعث أعمّ ممّا بالعرض فنمنع كلّية الكبرى ؛ ضرورة إمكان تحقّق الانبعاث بالبعث بالعرض بل وقوعه دائماً ؛ لأنّ الواقع منكشف بالتبع وباعث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الأوامر المعلومة ولو بالعلم الإجمالي ؛ فإنّ الواقع حينئذٍ منكشف ولو بالإجمال ، وهو محرّك للعبد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الاحتياط في الشبهة البدوية والمحتمل المخالف لقيام الأمارة ،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المحتمل باعث ، ويكون في صورة مصادفة الاحتمال للواقع ما هو المحرّك هو نفس الواقع بالذات أو بالعرض ؛ لأنّ الأمر الواقعي غير منكشف ، ولا يكون الأمر المحتمل داعياً ، بل الداعي الباعث هو احتمال الأمر لا الأمر المحتمل ، وفرق واضح بينهما ، إلاّ أن يراد به الأمر المحتمل بما هو محتمل حتّى يرجع إلى احتمال الأمر ، وإلاّ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الواقعي الذي هو موصوف بكونه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ومحرّك ، فلا بدّ وأن يكون هذا الأمر الواقعي بهذه الصفة منكشفاً حتّى يكون باعثاً بالعرض ، وهو غير معقول ، فالباعث في الشبهة البدوية هو احتمال الأمر ، فلا يأتي فيه الجواب المتقدّم ، ولا تتحقّق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الانبعاث ببعث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الاحتياط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يسهّل الخطب أنّ عبادية العبادة لا تتقوّم بداعوية الأمر وتحقّق </w:t>
      </w:r>
      <w:bookmarkStart w:id="394" w:name="pg12132_128133"/>
    </w:p>
    <w:p>
      <w:pPr>
        <w:pStyle w:val="BookText"/>
        <w:rPr/>
      </w:pPr>
      <w:bookmarkEnd w:id="394"/>
      <w:r>
        <w:rPr>
          <w:rFonts w:ascii="Amiri" w:hAnsi="Amiri" w:eastAsia="Amiri" w:cs="Amiri"/>
          <w:color w:val="111111"/>
          <w:sz w:val="28"/>
          <w:sz w:val="28"/>
          <w:szCs w:val="28"/>
          <w:rtl w:val="true"/>
          <w:lang w:bidi="ar-SA"/>
        </w:rPr>
        <w:t xml:space="preserve">مفهوم إطاعة الأمر ، بل لو كان الداعي إلى إتيانه هو شيء آخر راجع إلى المولى كقصد التقرّب أو الوصول إلى غرضه يصير العمل عبادة ، ألا ترى أ نّه لو سقط أمر المولى بواسطة المزاحمة أو الضدّية مع القول بامتناع الترتّب ، يكون المأتيّ به عبادة صحيحة مع عدم صدق مفهوم إطاعة الأمر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نحتاج في صحّة العبادة وعباديتها إلى كون الانبعاث ببعثه ، بل الانبعاث باحتمال أمر المولى أيضاً كافٍ في العبادية ، فالإتيان بالمحتمل لاحتمال تعلّق أمر المولى به إذا صادف الواقع عبادة صحيحة ، بل الذي ينبعث باحتمال الأمر كان الأتمّ في العبودية ممّن لا ينبعث إلاّ بالأمر المعلوم ، فلا إشكال في تحقّق الاحتياط المرغوب فيه من هذه الجهة </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3352832_417432637"/>
      <w:bookmarkStart w:id="396" w:name="_Toc137"/>
      <w:bookmarkEnd w:id="395"/>
      <w:r>
        <w:rPr>
          <w:rtl w:val="true"/>
        </w:rPr>
        <w:t xml:space="preserve">الإشكال الثاني </w:t>
      </w:r>
      <w:r>
        <w:rPr>
          <w:rtl w:val="true"/>
        </w:rPr>
        <w:t>:</w:t>
      </w:r>
      <w:bookmarkEnd w:id="39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يختصّ بالاحتياط في أطراف العلم الإجمالي إذا صار موجباً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تكرار العبادة فيما يمكن تحصيل العلم التفصيلي لعب بأمر المولى ، ومعه كيف تتحقّق العبادة</w:t>
      </w:r>
      <w:r>
        <w:rPr>
          <w:rStyle w:val="FootnoteAnchor"/>
          <w:rtl w:val="true"/>
        </w:rPr>
        <w:footnoteReference w:id="4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 نّه لو علم عبد بأنّ للمولى مطلوباً ، وتردّد أمره بين اُمور كثيرة غير مرتبطة ، فترك السؤال عنه مع إمكانه ، فقام بإتيان الأطراف ، فدعا جمعاً من العلماء باحتمال أنّ منظوره انعقاد مجلس عقد النكاح ، وأخبر حملة الموتى باحتمال موت بعض أقربائه ، وأتى بعدّة من الحمّالين والبنّائين والنجّارين والمواشي والأنعام والطيور ، عُدّ لاعباً بأمر مولاه ، وتكون هذه الكيفية سخرية بالمولى مع إمكان السؤال ورفع الاشتباه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استنتاج النتيجة الكلّية من الأمثلة الجزئية ممّا لا يجوز ، فالمدّعى هي عبثية مطلق التكرار ، وهي لا تثبت بهذا المثال ، بل لا بدّ من قيام دليل على كون مطلق التكرار عبثاً ولعباً ، وهو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فرض كون العبد بصدد السخرية بالمولى وإهانته ، ولم يكن الباعث له للجمع بين المحتملات احتمال أمر المولى ، بل له بواعث اُخر مثل اللعب والعبث والسخرية فهو خارج عن محطّ النزاع ، ولا إشكال في استحقاقه للعقوبة لأجله ، بل لو أتى بالمعلوم بالتفصيل كذلك يستحقّ العقوبة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فرض كونه بصدد إطاعة المولى ، ويكون الباعث له نحو المحتملات هو العلم الإجمالي بمطلوب المولى ، فحينئذٍ إن كان في التكرار غرض عقلائي فلا إشكال فيه ، ولو فرض عدمه وكونه لاعباً في كيفية إطاعته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الإتيان بأصل المأمور به لأجل إطاعة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بعباديته ؛ فإنّه من قبيل الضمائم المباحة ، ولا تخلو عبادة من ضمائم هي الخصوصيات الفردية الغير الدخيلة في العبادية ؛ فإنّ الأوامر إنّما تعلّقت بالطبائع وخصوصيات الأفراد خارجة عن حريمها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الخصوصيات الخارجة مضرّة بالخلوص لزم عدم صحّة جميع العبادات ؛ لعدم إمكان خلوّها منها ، فتلك الخصوصيات الغير الدخيلة إذا انضمّت إلى المأمور به مع كون الداعي إلى إتيان أصل المأمور به هو الداعي الإلهي ، والداعي إلى الخصوصيات أغراضاً اُخر عقلائية أو غيرها ، لا توجب بطلانها ، مع أنّ التكرار لم يكن من قبيل الضمائم ، بل أمره أهون ، كما لا يخفى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التكرار لعب بأمر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باللعب به أ نّه لا ينبعث عن أمر </w:t>
      </w:r>
      <w:bookmarkStart w:id="397" w:name="pg12132_128135"/>
    </w:p>
    <w:p>
      <w:pPr>
        <w:pStyle w:val="BookText"/>
        <w:rPr/>
      </w:pPr>
      <w:bookmarkEnd w:id="397"/>
      <w:r>
        <w:rPr>
          <w:rFonts w:ascii="Amiri" w:hAnsi="Amiri" w:eastAsia="Amiri" w:cs="Amiri"/>
          <w:color w:val="111111"/>
          <w:sz w:val="28"/>
          <w:sz w:val="28"/>
          <w:szCs w:val="28"/>
          <w:rtl w:val="true"/>
          <w:lang w:bidi="ar-SA"/>
        </w:rPr>
        <w:t>المولى المعلوم بالإجمال ، بل يكون داعيه السخرية بالمولى واللعب بأمره ، فهو</w:t>
      </w:r>
    </w:p>
    <w:p>
      <w:pPr>
        <w:pStyle w:val="BookText"/>
        <w:rPr/>
      </w:pPr>
      <w:r>
        <w:rPr>
          <w:rFonts w:ascii="Amiri" w:hAnsi="Amiri" w:eastAsia="Amiri" w:cs="Amiri"/>
          <w:color w:val="111111"/>
          <w:sz w:val="28"/>
          <w:sz w:val="28"/>
          <w:szCs w:val="28"/>
          <w:rtl w:val="true"/>
          <w:lang w:bidi="ar-SA"/>
        </w:rPr>
        <w:t xml:space="preserve">خارج عن موضوع البحث ، وإن أراد أ نّه مع انبعاثه عن أمره يكون التكرار مع إمكان الاكتفاء بواحد منها سفهياً ، فهو لا يوجب بطلان العبادة ، بل لو فرض أنّ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الخصوصية يكون اللعب والمزاح وإدخال السرور في قلوب الحضّار لا تكون مبطلة لها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المكلّف بصلاته في رأس منارة مرتفعة ، ويكون داعيه اللعب لكن في الخصوصية لا في أصل العبادة تكون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التكرار لأجل الاحتياط ممّا لا بأس به </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3352834_417432637"/>
      <w:bookmarkStart w:id="399" w:name="_Toc138"/>
      <w:bookmarkEnd w:id="398"/>
      <w:r>
        <w:rPr>
          <w:rtl w:val="true"/>
        </w:rPr>
        <w:t xml:space="preserve">الإشكال الثالث </w:t>
      </w:r>
      <w:r>
        <w:rPr>
          <w:rtl w:val="true"/>
        </w:rPr>
        <w:t>:</w:t>
      </w:r>
      <w:bookmarkEnd w:id="399"/>
    </w:p>
    <w:p>
      <w:pPr>
        <w:pStyle w:val="BookText"/>
        <w:rPr/>
      </w:pPr>
      <w:r>
        <w:rPr>
          <w:rFonts w:ascii="Amiri" w:hAnsi="Amiri" w:eastAsia="Amiri" w:cs="Amiri"/>
          <w:color w:val="111111"/>
          <w:sz w:val="28"/>
          <w:sz w:val="28"/>
          <w:szCs w:val="28"/>
          <w:rtl w:val="true"/>
          <w:lang w:bidi="ar-SA"/>
        </w:rPr>
        <w:t xml:space="preserve">أنّه يعتبر في العبادات قصد الوجه عقلاً وشرعاً ، وهو لا يحصل إلاّ بالعلم التفصيلي ، وأيضاً يعتبر الجزم في النيّة ، وهو موقوف على العلم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أمّا قضيّة اعتبار قصد وجه الوجوب والاستحباب فممنوع أوّلاً ، ومع تسليمه ممكن مع الجهل ثانياً ، سواء فرض الشكّ البدوي أو المقرون بالعلم ، نعم لو اعتبر الجزم في النيّة فيها فهو غير ممكن إلاّ مع العلم التفصيلي ، فالإشكال إنّما هو في صورة اعتبار الجزم فيها ، ولكن لا دليل عليه عقلاً ولا شرعاً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لا يقتضي إلاّ الإتيان بمتعلّقه بتمام قيوده وحدوده ، والواجب التعبّدي يعتبر فيه قصد التقرّب والإخلاص ، ولا دليل على اعتبار شيء آخر فيه من قصد الأمر أو الجزم في النيّة ، فلو أتى المكلّف بالصلاة بتمام قيودها الشرعية من التكبيرة إلى التسليم باحتمال مطلوبيتها وتعلّق الأمر بها ، </w:t>
      </w:r>
    </w:p>
    <w:p>
      <w:pPr>
        <w:pStyle w:val="BookText"/>
        <w:rPr/>
      </w:pPr>
      <w:r>
        <w:rPr>
          <w:rFonts w:ascii="Amiri" w:hAnsi="Amiri" w:eastAsia="Amiri" w:cs="Amiri"/>
          <w:color w:val="111111"/>
          <w:sz w:val="28"/>
          <w:sz w:val="28"/>
          <w:szCs w:val="28"/>
          <w:rtl w:val="true"/>
          <w:lang w:bidi="ar-SA"/>
        </w:rPr>
        <w:t xml:space="preserve">يكون عند العقل والعقلاء مطيعاً مقرّباً ، من غير فرق في ذلك بينه وبين من أتى بها مع علمه بالوجوب ، ولا فرق عند العقل والعقلاء بين الانبعاث بالبعث المعلوم والانبعاث باحتمال البعث ولو مع إمكان تحصيل العلم التفصيلي ، فالميزان في صحّة العبادة عقلاً موافقة المأتيّ به للمأمور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الدليل الشرعي فيظهر لمن تتبّع في مظانّه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w:t>
      </w:r>
      <w:r>
        <w:rPr>
          <w:rStyle w:val="FootnoteAnchor"/>
          <w:rtl w:val="true"/>
        </w:rPr>
        <w:footnoteReference w:id="478"/>
      </w:r>
      <w:r>
        <w:rPr>
          <w:rFonts w:ascii="Amiri" w:hAnsi="Amiri" w:eastAsia="Amiri" w:cs="Amiri"/>
          <w:color w:val="111111"/>
          <w:sz w:val="28"/>
          <w:sz w:val="28"/>
          <w:szCs w:val="28"/>
          <w:rtl w:val="true"/>
          <w:lang w:bidi="ar-SA"/>
        </w:rPr>
        <w:t>بالإجماع على اعتبار قصد الوجه في العبادة وأنّ تارك طريقي الاجتهاد والتقليد عبادته باطلة ، المعتضد بدعوى الاتّفاق المحكيّ عن أهل المعقول والمنقول المعتضدة بالشهرة المحقّقة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الإجماع الكاشف عن الدليل المعتبر التعبّدي في مثل تلك المسألة العقلية التي يكون الاستدلال بحكم العقل فيها رائجاً عندهم ممّا لا يخلو من مجازفة ، أمّا اتّفاق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لأجل عقلية المسألة ،</w:t>
      </w:r>
    </w:p>
    <w:p>
      <w:pPr>
        <w:pStyle w:val="BookText"/>
        <w:rPr/>
      </w:pPr>
      <w:r>
        <w:rPr>
          <w:rFonts w:ascii="Amiri" w:hAnsi="Amiri" w:eastAsia="Amiri" w:cs="Amiri"/>
          <w:color w:val="111111"/>
          <w:sz w:val="28"/>
          <w:sz w:val="28"/>
          <w:szCs w:val="28"/>
          <w:rtl w:val="true"/>
          <w:lang w:bidi="ar-SA"/>
        </w:rPr>
        <w:t xml:space="preserve">كما أنّ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تكون دعواهم مبنيّة عليها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السيّد الأجلّ الرضي قدّس سرّه إجماع أصحابنا على بطلان صلاة من صلّى صلاة لا يعلم أحكامها </w:t>
      </w:r>
      <w:r>
        <w:rPr>
          <w:rStyle w:val="FootnoteAnchor"/>
          <w:rtl w:val="true"/>
        </w:rPr>
        <w:footnoteReference w:id="480"/>
      </w:r>
      <w:r>
        <w:rPr>
          <w:rFonts w:ascii="Amiri" w:hAnsi="Amiri" w:eastAsia="Amiri" w:cs="Amiri"/>
          <w:color w:val="111111"/>
          <w:sz w:val="28"/>
          <w:sz w:val="28"/>
          <w:szCs w:val="28"/>
          <w:rtl w:val="true"/>
          <w:lang w:bidi="ar-SA"/>
        </w:rPr>
        <w:t>لا يبعد أن تكون مبنيّة على وضوح اعتبار قصد الوجه وأمثاله عقلاً عندهم ، كما أنّ المنقول عن المحقّق الطوسي قدّس سرّه دعوى الإجماع أو الاتّفاق على أنّ استحقاق الثواب في العبادة موقوف على نيّة الوجه</w:t>
      </w:r>
      <w:r>
        <w:rPr>
          <w:rStyle w:val="FootnoteAnchor"/>
          <w:rtl w:val="true"/>
        </w:rPr>
        <w:footnoteReference w:id="481"/>
      </w:r>
      <w:r>
        <w:rPr>
          <w:rFonts w:ascii="IRNazanin" w:hAnsi="IRNazanin" w:eastAsia="IRNazanin"/>
          <w:color w:val="111111"/>
          <w:sz w:val="28"/>
          <w:sz w:val="28"/>
          <w:szCs w:val="28"/>
          <w:rtl w:val="true"/>
          <w:lang w:bidi="fa-IR"/>
        </w:rPr>
        <w:t xml:space="preserve">، مع </w:t>
      </w:r>
      <w:bookmarkStart w:id="400" w:name="pg12132_128137"/>
    </w:p>
    <w:p>
      <w:pPr>
        <w:pStyle w:val="BookText"/>
        <w:rPr/>
      </w:pPr>
      <w:bookmarkEnd w:id="400"/>
      <w:r>
        <w:rPr>
          <w:rFonts w:ascii="Amiri" w:hAnsi="Amiri" w:eastAsia="Amiri" w:cs="Amiri"/>
          <w:color w:val="111111"/>
          <w:sz w:val="28"/>
          <w:sz w:val="28"/>
          <w:szCs w:val="28"/>
          <w:rtl w:val="true"/>
          <w:lang w:bidi="ar-SA"/>
        </w:rPr>
        <w:t xml:space="preserve">وضوح أنّ قضيّة استحقاق الثواب عقلية لا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من هذه الحيثية أيضاً مرتفع ، فالاحتياط جائز حتّى مع إمكان العلم التفصيلي </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3352836_417432637"/>
      <w:bookmarkStart w:id="402" w:name="_Toc139"/>
      <w:bookmarkEnd w:id="401"/>
      <w:r>
        <w:rPr>
          <w:rtl w:val="true"/>
        </w:rPr>
        <w:t xml:space="preserve">الإشكال الرابع </w:t>
      </w:r>
      <w:r>
        <w:rPr>
          <w:rtl w:val="true"/>
        </w:rPr>
        <w:t>:</w:t>
      </w:r>
      <w:bookmarkEnd w:id="402"/>
    </w:p>
    <w:p>
      <w:pPr>
        <w:pStyle w:val="BookText"/>
        <w:rPr/>
      </w:pPr>
      <w:r>
        <w:rPr>
          <w:rFonts w:ascii="Amiri" w:hAnsi="Amiri" w:eastAsia="Amiri" w:cs="Amiri"/>
          <w:color w:val="111111"/>
          <w:sz w:val="28"/>
          <w:sz w:val="28"/>
          <w:szCs w:val="28"/>
          <w:rtl w:val="true"/>
          <w:lang w:bidi="ar-SA"/>
        </w:rPr>
        <w:t xml:space="preserve">أ نّه يعتبر في حسن الاحتياط إذا كان على خلافه حجّة شرعية أن يعمل المكلّف أوّلاً بمؤدّى الحجّة ، ثمّ يعقّبه بالعمل على خلاف مقتضى الحجّة إحرازاً للواقع ، إلاّ إذا لم يستلزم منه تكرار العمل واستئناف جملته ، فإذا قامت الحجّة على وجوب الجمعة لا يجوز الابتداء بالظهر ، نعم إذا أتى بالجمعة لا بأس بإتيانه من باب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اعتبار الطريق إلقاء احتمال مخالفته للواقع عملاً وعدم الاعتناء به ، والعمل على طبق الاحتمال المخالف للحجّة عين الاعتناء به ، وهذا بخلاف ما إذا قدّم العمل بمؤدّى الطريق ؛ فإنّه حيث أتى بما هو وظيفته فالعقل يستقلّ بحسن الاحتياط رعاية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 نّه يعتبر في حسن الإطاعة الاحتمالية عدم التمكّن من الإطاعة التفصيلية ، فإنّ للإطاعة مراتب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الظنّي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الاحتمالي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الانتقال إلى المرتبة اللاحقة إلاّ بعد تعذّر السابقة ؛ لأنّ حقيقة الإطاعة هي أن تكون إرادة العبد تبعاً لإرادة المولى ، بانبعاثه عن بعثه وتحرّكه عن تحريكه ، وهذا يتوقّف على العلم بالبعث ، ولا يمكن الانبعاث بلا بعث واصل ، والانبعاث عن البعث المحتمل ليس في الحقيقة انبعاثاً ، فلا تتحقّق معه الإطاعة ، نعم هو أيضاً نحو من العبودية فيما إذا تعذّر الانبعاث عن البعث المعلوم الذي هو حقيقة العبودية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اعتبار الأمارة ليس إلقاء احتمال الخلاف بمعنى عدم جواز العمل على طبق الاحتمال ، بل مفاد أدلّته وجوب العمل على طبقها وترتيب أثر الواقع عليه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جواز العمل على الاحتمال المخالف من باب الاحتياط فلا دليل عليه ، ولا يكون ذلك معنى اعتبار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يجوز الاكتفاء بالعمل على طبق الاحتمال المخالف ، لا من باب عدم جواز العمل على طبقه ، بل من باب ترك العمل بالأمارة المعتبرة ، وذلك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فرض أنّ معنى اعتبار الأمارة إلقاء احتمال الخلاف لزوماً ، فالعمل على طبقه عين الاعتناء به ، سواء لزم منه التكرار أو لا ، أو كان الاعتناء قبل العمل أو لا ، فلا وجه للتفصيلين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أنّ أدلّة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إلقاء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منصرفة عن الموردين ، وهو كما ترى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بعد العمل بالوظيفة يستقلّ بحسن الاحتياط رعاية </w:t>
      </w:r>
    </w:p>
    <w:p>
      <w:pPr>
        <w:pStyle w:val="BookText"/>
        <w:rPr/>
      </w:pP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لكنّه مستقلّ بحسنه قبل العمل بالوظيفة أيضاً ؛ فإنّ الاحتياط لا ينافي العمل بها ، فلا فرق بينه قبل العمل بها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ترتّب مراتب الامتثال عقلاً بما ذكر ممنوع ؛ فإنّ العقل يستقلّ بكفاية إتيان الماهية المأمور بها بجميع قيودها ولو باحتمال الأمر ، فمع احتمال وجوب الجمعة يجوز الإتيان بها احتياطاً ولو مع التمكّن من العلم التفصيلي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الإطاعة انبعاثاً عن بعث الآمر ، وهو لا يحصل إلاّ مع العلم ، فمع ممنوعيته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سالفاً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الانبعاث له مبادٍ اُخر من مثل الخوف والطمع في نفس المكلّف ، وإنّما الأمر يكون موضوعاً لتحقّق الطاعة ، فمع احتمال الأمر يكون بعض تلك المبادئ 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العبادة لا تتوقّف على باعثية الأمر ، ولو لم يصدق على الإتيان حينئذٍ إطاعة أمر المولى ، بل صحّتها متوقّفة على إتيان الماهية موافقة لغرض المولى مع جميع قيودها ، كما لو فرض أنّ المولى كان غافلاً عن الأمر بمتعلّق له مصلحة ملزمة بحيث لو توجّه إليه لأمر به قطعاً كإنقاذ ولده الغريق ، يجب عليه القيام به ، ومعه يكون مقرّباً ومستحقّاً للثواب ، ولو كان المأتيّ به عبادة تقع صحيحة ، كما أنّ الأمر بالصلاة لو سقط للابتلاء بالضدّ ، لا يوجب بطلانها ولو مع امتناع الترتّب ، مع احتمال أن تصدق الطاعة على المأتيّ به باحتمال الأمر عرفاً إذا صادف الواقع ؛ لأنّ الباعث لا يكون الأمر على أيّ حال كما عرفت ، والمبادئ الباعثة موجودة في كلتا الصورتين كالإتيان بالمأمور به مع جميع قيوده ، فالمسألة خالية من الإشكال </w:t>
      </w:r>
      <w:r>
        <w:rPr>
          <w:rFonts w:eastAsia="Amiri" w:cs="Amiri" w:ascii="Amiri" w:hAnsi="Amiri"/>
          <w:color w:val="111111"/>
          <w:sz w:val="28"/>
          <w:szCs w:val="28"/>
          <w:rtl w:val="true"/>
          <w:lang w:bidi="ar-SA"/>
        </w:rPr>
        <w:t xml:space="preserve">. </w:t>
      </w:r>
      <w:bookmarkStart w:id="403" w:name="pg12132_128140"/>
    </w:p>
    <w:p>
      <w:pPr>
        <w:pStyle w:val="Heading2"/>
        <w:numPr>
          <w:ilvl w:val="1"/>
          <w:numId w:val="1"/>
        </w:numPr>
        <w:rPr/>
      </w:pPr>
      <w:bookmarkStart w:id="404" w:name="__RefHeading___Toc3352838_417432637"/>
      <w:bookmarkStart w:id="405" w:name="_Toc140"/>
      <w:bookmarkEnd w:id="403"/>
      <w:bookmarkEnd w:id="404"/>
      <w:r>
        <w:rPr>
          <w:rtl w:val="true"/>
        </w:rPr>
        <w:t>شرائط جريان البراءة العقلية</w:t>
      </w:r>
      <w:bookmarkEnd w:id="40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البراءة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Heading2"/>
        <w:numPr>
          <w:ilvl w:val="1"/>
          <w:numId w:val="1"/>
        </w:numPr>
        <w:rPr/>
      </w:pPr>
      <w:bookmarkStart w:id="406" w:name="__RefHeading___Toc3352840_417432637"/>
      <w:bookmarkStart w:id="407" w:name="_Toc141"/>
      <w:bookmarkEnd w:id="406"/>
      <w:r>
        <w:rPr>
          <w:rtl w:val="true"/>
        </w:rPr>
        <w:t>اعتبار الفحص في الشبهات الحكمية</w:t>
      </w:r>
      <w:bookmarkEnd w:id="407"/>
    </w:p>
    <w:p>
      <w:pPr>
        <w:pStyle w:val="BookText"/>
        <w:rPr/>
      </w:pPr>
      <w:r>
        <w:rPr>
          <w:rFonts w:ascii="Amiri" w:hAnsi="Amiri" w:eastAsia="Amiri" w:cs="Amiri"/>
          <w:color w:val="111111"/>
          <w:sz w:val="28"/>
          <w:sz w:val="28"/>
          <w:szCs w:val="28"/>
          <w:rtl w:val="true"/>
          <w:lang w:bidi="ar-SA"/>
        </w:rPr>
        <w:t xml:space="preserve">أمّا البراءة في الشبهة الحكمية فشرط جريان الأصل فيها الفحص ، واستدلّ عليه بالأدلّة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قبح العقاب بلا بيان وإن كان البيان الواصل عقلاً ، لكن ميزان وصول البيان ليس إيصاله إلى مسامع المكلّفين ومداركهم ، بل المعتبر فيه هو الإيصال المتعارف بحسب اختلاف الموالي والعبيد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فالمولى المقنّن للعباد جميعهم يكون إيصاله للأحكام بوسيلة أنبيائه ورسله ، وكتبه المنزلة ، والأحاديث المرويّة عنهم المحفوظة في الزبر والكتب المعدّة لها ، لا الإرسال إلى كلّ واحد واحد من المكلّفين كتاباً مخصوصاً به وخطاباً مسموعاً لديه ، فبيان المولى المقنّن هو التقنين والإيصال إلى رسله ، وإيصال الرسل هو البثّ في العباد بنحو متعارف ، وهو تعليمها لعدّة من العلماء وكَتبها في الدفاتر والزبر وبسطها بين الناس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يصل البيان من قبل المولى ، أو وصل إلى الرسول ولم يبلّغ ، أو بلّغ دون المتعارف ، يكون العقاب على المخالفة بلا بيان ، وأمّا مع إيصال اللّه تعالى وتبليغ الرسول والأئمّة ، وحفظ الأحكام في الكتب والصحف ، وترك العبد وظيفته من الفحص والتفتيش ، فلم يكن عقابه بلا بيان ، وليس عند العقلاء معذوراً ، فالعقل </w:t>
      </w:r>
    </w:p>
    <w:p>
      <w:pPr>
        <w:pStyle w:val="BookText"/>
        <w:rPr/>
      </w:pPr>
      <w:r>
        <w:rPr>
          <w:rFonts w:ascii="Amiri" w:hAnsi="Amiri" w:eastAsia="Amiri" w:cs="Amiri"/>
          <w:color w:val="111111"/>
          <w:sz w:val="28"/>
          <w:sz w:val="28"/>
          <w:szCs w:val="28"/>
          <w:rtl w:val="true"/>
          <w:lang w:bidi="ar-SA"/>
        </w:rPr>
        <w:t>يحكم بوجوب الفحص لدى الشبهة ، ولا تجري البراءة العقلية حينئذٍ</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يستشكل بأنّ الحكم ما لم يعلم غير قابل للباعثية والمحرّكية ؛ ضرورة أ نّه بوجوده الواقعي غير باعث ولا زاجر ، بل بوجوده العلمي يكون كذلك ، وإنّما تتّصف الأوامر الخارجية بالباعثية بالعرض بواسطة كشفها بوجودها العنواني الفاني فيها كما في المعلوم بالعرض ، والكشف عن الواقع إنّما يكون مع الوجود العلمي التصديقي لا الاحتمالي ؛ فإنّه غير كاشف عن الواقع ، وما كان حاله كذلك لا يمكن أن يكون منجّزاً للواقع ؛ فإنّ الواقع بنفسه لا يكون باعثاً بالضرورة ، والفرض أنّ احتمال تحقّقه ليس كاشفاً عنه ، فلا يكون الاحتمال موجباً لاتّصاف الواقع بالباعثية ولو بالعرض ، فالواقع ليس باعثاً بالذات ولا بالعرض ، فلا يكون الاحتمال منجّزاً له ، فاحتمال الواقع ليس مساوقاً لاحتمال المنجّز ، ولا يعقل فعلية الأمر الواقعي الذي عليه طريق واقعي بنحو الباعثية والمحرّكية إلاّ بعد وصوله حقيقةً ، فإذا لم يكن فعلياً وباعثاً حقيقةً فكيف يعقل أن يكون منجّزاً حتّى يكون احتماله احتمال المنجّز</w:t>
      </w:r>
      <w:r>
        <w:rPr>
          <w:rStyle w:val="FootnoteAnchor"/>
          <w:rtl w:val="true"/>
        </w:rPr>
        <w:footnoteReference w:id="4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تنجّز الحكم كفعليته لا يتوقّف على علم المكلّف ، فالأحكام التي تكون من قبل المولى تامّة وقابلة للإجراء فعلية منجّزة ، ومعنى تنجّزها كون مخالفتها موجبة لصحّة العقوبة ؛ اتّصفت بالباعثية أو لا ، بل قد عرفت</w:t>
      </w:r>
      <w:r>
        <w:rPr>
          <w:rStyle w:val="FootnoteAnchor"/>
          <w:rtl w:val="true"/>
        </w:rPr>
        <w:footnoteReference w:id="486"/>
      </w:r>
      <w:r>
        <w:rPr>
          <w:rFonts w:ascii="Amiri" w:hAnsi="Amiri" w:eastAsia="Amiri" w:cs="Amiri"/>
          <w:color w:val="111111"/>
          <w:sz w:val="28"/>
          <w:sz w:val="28"/>
          <w:szCs w:val="28"/>
          <w:rtl w:val="true"/>
          <w:lang w:bidi="ar-SA"/>
        </w:rPr>
        <w:t xml:space="preserve">أنّ الأوامر والنواهي ليست باعثة ولا زاجرة بذاتها حتّى في صورة العلم بها ، بل </w:t>
      </w:r>
    </w:p>
    <w:p>
      <w:pPr>
        <w:pStyle w:val="BookText"/>
        <w:rPr/>
      </w:pPr>
      <w:r>
        <w:rPr>
          <w:rFonts w:ascii="Amiri" w:hAnsi="Amiri" w:eastAsia="Amiri" w:cs="Amiri"/>
          <w:color w:val="111111"/>
          <w:sz w:val="28"/>
          <w:sz w:val="28"/>
          <w:szCs w:val="28"/>
          <w:rtl w:val="true"/>
          <w:lang w:bidi="ar-SA"/>
        </w:rPr>
        <w:t xml:space="preserve">الزاجر والباعث مبادٍ اُخرى موجودة في نفس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صيرورته بحيث يحكم العقل بأنّ مخالفته موجبة لصحّة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الباعثية والمحرّكية ، بل قد يكون احتمال التكليف موجباً للتنجيز كما فيما نحن فيه ؛ ضرورة أنّ العقل يحكم بأنّ العبد غير معذور في مخالفة حكم المولى الذي هو مكتوب في صحيفة مرسلة إليه مع احتماله لذلك ، وليس للعبد أن يترك قراءته قائلاً بأ نّه لا يكون التكليف بوجوده الواقعي منجّزاً ولا داعي لي إلى تحصيله ، فنفس الاحتمال قبل الفحص موجب لصحّة العقوبة على التكليف الواقعي لو صادف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التنجيز على المحرّكية والباعثية الفعلية للزم منه أن لا تصحّ العقوبة على التكليف الواقعي في صورة قيام الأمارة المعتبرة عليه مع الشكّ فيه أو الظنّ بخلافه ؛ لأنّ التكليف الطريقي المعلوم لا يوجب صحّة العقوبة ، والتكليف الواقعي مع الشكّ فيه لا يكون محرّكاً ومنكشفاً ولو بالعرض ، ومجرّد معلومية الأمارة لا يوجب انكشاف التكليف عقلاً حتّى يصير لأجله محرّكاً ، ومدّعى هذا القائل أنّ الحكم ما لم يصر محرّكاً وباعثاً فعلياً لا يصير منجّزاً ، مع</w:t>
      </w:r>
    </w:p>
    <w:p>
      <w:pPr>
        <w:pStyle w:val="BookText"/>
        <w:rPr/>
      </w:pPr>
      <w:r>
        <w:rPr>
          <w:rFonts w:ascii="Amiri" w:hAnsi="Amiri" w:eastAsia="Amiri" w:cs="Amiri"/>
          <w:color w:val="111111"/>
          <w:sz w:val="28"/>
          <w:sz w:val="28"/>
          <w:szCs w:val="28"/>
          <w:rtl w:val="true"/>
          <w:lang w:bidi="ar-SA"/>
        </w:rPr>
        <w:t xml:space="preserve">أ نّه ضروري البطلان ، فالتنجيز لا يتوقّف على المحرّكية الفعلية كما ادّعى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التكليف قبل الفحص منجّز ، موجب لصحّة العقوبة عقلاً على التكليف الواقعي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حكم العقل على وجوب الفحص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الاقتحام قبل الفحص خروج عن زيّ الرقّية ورسم العبودية فيما إذا كان التكليف لا يعلم عادةً إلاّ بالفحص ، فالاقتحام بلا فحص ظلم على المولى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والفرق بين هذا الوجه والوجه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العقوبة على الوجه الأوّل إنّما هي على مخالفة التكليف الواقعي المنجّز ، وعلى الثاني على الإقدام بلا فحص ؛ لأ نّه بنفسه ظلم وملاك لاستحقاق العقوبة ، سواء خالف الواقع أو لا ، كما في التجرّي ، فمناط صحّة العقوبة هو تحقّق عنوان الظلم ، لا مخالفة التكليف الواقعي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قبيحة بلا بيان ، فعقاب المولى عبدَه على مخالفة التكليف الواقعي قبيح وظلم ، كما أنّ إقدام العبد أو تركه بلا فحص ظلم على المولى ، ولكلّ منهما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التحقيق أنّ الظلم لا ينطبق على الإقدام ، بل على ترك الفحص عن التكليف الذي لا يعلم عادةً إلاّ به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واضح ؛ ضرورة أ نّه ليس تحقّق الظلم إلاّ باعتبار احتمال مخالفة المولى ، ولا ينطبق عنوان الظلم على ترك الفحص بالذات ، بل بلحاظ احتمال المخالفة ، وبعد جريان قاعدة قبح العقاب بلا بيان ، وحكم العقل بأنّ التكليف الواقعي على فرض وجوده لا أثر له ، والعبد في سعة من مخالفته ، لا معنى لتحقّق عنوان الظلم على ترك الفحص عنه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عنوان الظلم والتجرّي متفرّع على تنجّز التكليف ، والتكليف الغير المنجّز الذي يحكم العقل بعدم قبح ارتكابه لا يعقل أن يصير منشأً لتحقّق عنوان قبيح على ترك الفحص منه ، فدعوى أنّ لكلّ من مخالفة التكليف الواقعي وترك الفحص حكمه ، ممنوعة بعد وضوح تفرّع عنوان الظلم والتجرّي على الأوّل ؛ أي على تنجّز التكليف الواقعي ؛ إذ قد عرفت أنّ عنوان الظلم والتجرّي </w:t>
      </w:r>
    </w:p>
    <w:p>
      <w:pPr>
        <w:pStyle w:val="BookText"/>
        <w:rPr/>
      </w:pPr>
      <w:r>
        <w:rPr>
          <w:rFonts w:ascii="Amiri" w:hAnsi="Amiri" w:eastAsia="Amiri" w:cs="Amiri"/>
          <w:color w:val="111111"/>
          <w:sz w:val="28"/>
          <w:sz w:val="28"/>
          <w:szCs w:val="28"/>
          <w:rtl w:val="true"/>
          <w:lang w:bidi="ar-SA"/>
        </w:rPr>
        <w:t xml:space="preserve">فيما نحن فيه لا يكون مستقلاًّ في مقابل تنجّز التكليف حتّى لا يتنافى تحقّقه مع عدم تحقّق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يخفى ما في تحقيقه أخيراً من أنّ عنوان الظلم ينطبق على ترك الفحص دون الإقدام ؛ ضرورة أنّ نفس ترك الفحص لم يكن ظلماً مع احتياط المكلّف بإتيان محتمل الوجوب وترك محتمل الحرمة ، بل الظلم ينطبق على مخالفة المحتمل ؛ لأ نّه لا نفسية لترك الفحص ، بل إنّما هو بلحاظ التحفّظ على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حكم العقل بوجوب الفحص بتقرير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حصول العلم الإجمالي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الأخذ في استعلام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واجبات ومحرّمات كثيرة في الشريعة ، ومعه لا يصحّ التمسّك بأصل البراءة ؛ لأنّ الشكّ في المكلّف به لا التكليف</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الضعف بمكان ؛ لأنّ كلامنا في المقام إنّما هو في شرائط جريان أصل البراءة بعد المفروغية عن مجراه ، وهو الشكّ في التكليف لا المكلّف به ، فالاستدلال بالعلم الإجمالي خروج عن موضوع البحث ، فالنقض والإبرام في أطرافه في غير محلّهما ، لكنّ المحقّقين لمّا تعرّضوا له فلا محيص عنه بنحو الإجمال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نوقش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أخصّ من المدّعى ؛ فإنّه وجوب الاستعلام عن كلّ مسألة كان علم إجمالي أو لا ، والدليل إنّما يوجب الفحص قبل استعلام جملة </w:t>
      </w:r>
    </w:p>
    <w:p>
      <w:pPr>
        <w:pStyle w:val="BookText"/>
        <w:rPr/>
      </w:pPr>
      <w:r>
        <w:rPr>
          <w:rFonts w:ascii="Amiri" w:hAnsi="Amiri" w:eastAsia="Amiri" w:cs="Amiri"/>
          <w:color w:val="111111"/>
          <w:sz w:val="28"/>
          <w:sz w:val="28"/>
          <w:szCs w:val="28"/>
          <w:rtl w:val="true"/>
          <w:lang w:bidi="ar-SA"/>
        </w:rPr>
        <w:t xml:space="preserve">من الأحكام بمقدار يحتمل انحصار المعلوم بالإجمال فيه لانحلال العلم الإجمالي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أعمّ منه ؛ لأ نّه هو الفحص عن الأحكام في خصوص ما بأيدينا من الكتب ، والمعلوم بالإجمال هو الأحكام الثابتة في الشريعة مطلقاً ، والفحص في تلك الكتب لا يرفع أثر العلم الإجمالي</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وردّهما بعض أعاظم العصر رحمه الله علیه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 كلا وجهي المناقشة من الضعف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استعلام مقدار من الأحكام يحتمل انحصار المعلوم فيها لا يوجب الانحلال ؛ إذ متعلّق العلم تارة يتردّد من أوّل الأمر بين الأقلّ والأكثر ، كما لو علم بأنّ في هذا القطيع من الغنم موطوء وتردّد بين العشرة والعشرين ، واُخرى يكون المتعلّق عنواناً ليس بنفسه مردّداً بين الأقلّ والأكثر من أوّل الأمر ، بل المعلوم هو العنوان بما له من الأفراد الواقعية ، كما لو علم بموطوئية البيض من هذا القطيع وتردّدت بين العشرة والعشرين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ينحلّ العلم الإجمالي دون الثاني ؛ فإنّه لا ينحلّ بالعلم التفصيلي بمقدار يحتمل انحصار المعلوم بالإجمال فيه ، بل لا بدّ من الفحص التامّ عن كلّ محتمل ؛ لأنّ العلم يوجب تنجّز متعلّقه بما له من العنوان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من هذا القبيل ؛ لأنّ المعلوم بالإجمال هي الأحكام الموجودة </w:t>
      </w:r>
    </w:p>
    <w:p>
      <w:pPr>
        <w:pStyle w:val="BookText"/>
        <w:rPr/>
      </w:pPr>
      <w:r>
        <w:rPr>
          <w:rFonts w:ascii="Amiri" w:hAnsi="Amiri" w:eastAsia="Amiri" w:cs="Amiri"/>
          <w:color w:val="111111"/>
          <w:sz w:val="28"/>
          <w:sz w:val="28"/>
          <w:szCs w:val="28"/>
          <w:rtl w:val="true"/>
          <w:lang w:bidi="ar-SA"/>
        </w:rPr>
        <w:t xml:space="preserve">فيما بأيدينا من الكتب ، ولازم ذلك هو الفحص التامّ ؛ ألا ترى أ نّه ليس للمكلّف الأخذ بالأقلّ لو علم اشتغاله لزيد بما في الطومار وتردّد بين الأقلّ والأكثر ، بل لا بدّ له من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الطومار كما عليه بناء العقلاء ، وما نحن فيه من هذا القبيل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وإن علم إجمالاً بوجود أحكام في الشريعة أعمّ ممّا بأيدينا من الكتب ، إلاّ أ نّه يعلم إجمالاً بأنّ فيما بأيدينا أدلّة مثبتة للأحكام مصادفة للواقع بمقدار يحتمل انطباق ما في الشريعة عليها ، فينحلّ العلم الإجمالي العامّ بالعلم الإجمالي الخاصّ ، ويرتفع الإشكال ، ويتمّ الاستدلال بالعلم الإجمالي لوجوب الفحص</w:t>
      </w:r>
      <w:r>
        <w:rPr>
          <w:rStyle w:val="FootnoteAnchor"/>
          <w:rtl w:val="true"/>
        </w:rPr>
        <w:footnoteReference w:id="49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فرق في الانحلال بين تعلّق العلم بعنوان ويكون العنوان بما له من الأفراد الواقعية مردّداً بين الأقلّ والأكثر ، وتردّد المتعلّق من أوّل الأمر بينهما فيما إذا كان العنوان ممّا ينحلّ بواسطة انحلال التكليف ، فإذا علم بوجوب إكرام العالم بما له من الأفراد وتردّدت بين الأقلّ والأكثر ، فلا محالة ينحلّ العلم الإجمالي بالعلم التفصيلي والشكّ البدوي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كان نسبة العنوان إلى المعنون نسبة المحصَّل والمحصِّل وتردّد المحصَّل بين الأقلّ والأكثر لا بدّ من الاحتياط ، وأمّا العنوان المنحلّ إلى التكاليف المستقلّة كالبيض من الغنم ، فلا إشكال في كونه كالمردّد من أوّل الأمر بين الأقلّ والأكثر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فلا إشكال في عدم كون ما نحن فيه من هذا القبيل ؛ لأنّ معنى تعلّق العلم بعنوان وتنجّزه به أن يكون العنوان بذاته متعلّق الحكم ، وأمّا تعلّق العلم بعنوان غير ذي حكم فلا أثر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بوجود أحكام في الكتب التي بأيدينا لا يوجب تنجّزها بهذا العنوان ؛ فإنّ عنوان كون الأحكام في الكتب ليس من العناوين التي تعلّق بها الحكم حتّى يتنجّز بما له من العنوان ؛ ضرورة أ نّه من الانتزاعيات بعد جمع الأحكام في الكتب ، وهذا ممّا لا يتعلّق به حكم ، ولا تكون الأحكام بذلك العنوان مورداً لتكليف ، فالعلم الإجمالي المؤثّر متعلّق بنفس الأحكام بوجودها الواقعي ، ويتردّد من أوّل الأمر بين الأقلّ والأكثر ، فينحلّ العلم الإجمالي إلى التفصيلي والشكّ البدوي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المثالين المتقدّمين مورد للمناقشة ؛ فإنّ عنوان البيض ليس ممّا تعلّق به الحكم حتّى يكون العلم المتعلّق به منجّزاً له بعنوانه ، فإنّه عنوان عرضي مقارن من باب الاتّفاق مع ما تعلّق به التكليف ، وهو عنوان الموطوء ، فالمتعلّق هو الموطوء لا الأبيض ، فالعلم المتعلّق به موضوع الأثر ؛ أي التنجّز ، فحينئذٍ لو صحّ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لو كان العلم متعلّقاً بعنوان</w:t>
      </w:r>
    </w:p>
    <w:p>
      <w:pPr>
        <w:pStyle w:val="BookText"/>
        <w:rPr/>
      </w:pPr>
      <w:r>
        <w:rPr>
          <w:rFonts w:ascii="Amiri" w:hAnsi="Amiri" w:eastAsia="Amiri" w:cs="Amiri"/>
          <w:color w:val="111111"/>
          <w:sz w:val="28"/>
          <w:sz w:val="28"/>
          <w:szCs w:val="28"/>
          <w:rtl w:val="true"/>
          <w:lang w:bidi="ar-SA"/>
        </w:rPr>
        <w:t xml:space="preserve">كان منجّزاً لأفراده الواقعية ، ولا ينحلّ العلم الإجمالي إلى التفصيلي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المثال الأوّل كذلك ؛ لتعلّق العلم بالموطوء وتردّده بين الأقلّ والأكثر ، كما أنّ المثال الثاني أيضاً كذلك ؛ لما ذكرنا ، لا لتعلّق العلم بعنوان البيض من الغنم ، كما هو واضح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دعواه لا يبقى مجال لدعوى انحلال العلم الإجمالي </w:t>
      </w:r>
    </w:p>
    <w:p>
      <w:pPr>
        <w:pStyle w:val="BookText"/>
        <w:rPr/>
      </w:pPr>
      <w:r>
        <w:rPr>
          <w:rFonts w:ascii="Amiri" w:hAnsi="Amiri" w:eastAsia="Amiri" w:cs="Amiri"/>
          <w:color w:val="111111"/>
          <w:sz w:val="28"/>
          <w:sz w:val="28"/>
          <w:szCs w:val="28"/>
          <w:rtl w:val="true"/>
          <w:lang w:bidi="ar-SA"/>
        </w:rPr>
        <w:t xml:space="preserve">العامّ بالعلم الإجمالي الخاصّ الذي تعلّق بما في الكتب التي بأيدينا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العامّ تعلّق بعنوان واحد هو الأحكام التي في الكتب مطلقاً أو الأحكام الصادرة عن الشريعة وأمثال ذلك ، والمفروض أنّ تعلّقه به موجب لتنجّزه بما له من الأفراد الواقعية ، وتردّده بين الأقلّ والأكثر لا يوجب الانحلال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أنّ كون الأحكام في الكتب التي بأيدينا عنوان واحد ، دون كونها في مطلق الكتب أو غير ذلك من العناوين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ليس للمكلّف الأخذ بالأقلّ لو علم باشتغاله بما فيالطومار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أجنبيّ عن المقام ، بل هو من قبيل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سيتعرّض هذا المحقّق لها ، ويختار وجوب الفحص فيها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يحتاج حصول العلم بالموضوع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مقدّمات كثيرة ، بل يحصل بمجرّد النظر ، فالفحص فيها لازم ولو مع عدم العلم الإجمالي ، فالعلم الإجمالي من قبيل الحجر المضموم لجنب الإنسان</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مجرّد تقريب وفرض يرجع إلى أمر واضح الخلاف ، وهو العلم بأنّ في كلّ مسألة دليلاً إلزامياً لو تفحّصنا لظفرنا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للوجدان ، فكأنّ القائل أراد دفع الإشكال بأيّ وجه وتقريب ممكن ، طابق الواقع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 نّه لا علم إجمالي إلاّ بأحكام بنحو الإجمال ، ومع التفحّص في أبواب الفقه لا يتّفق انحلاله بالضرورة ، فلو كان المستند هو العلم الإجمالي فلا محيص عن الإشكال ، لكن قد عرفت أنّ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الإجمالي خروج عن الفرض ، وهو شرط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الشبهات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حكم العقل فيها أيضاً الفحص ، وعدم معذورية الجاهل قبل الفحص ؛ لحكومة الوجدان بأنّ المولى إذا أمر عبده بإكرام كلّ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كون زيد ضيفه ، لا يجوز له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تفحّص حاله ، والعلم بأ نّه ضيفه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البصر عنه ، خصوصاً إذا كان رفع الشبهة سهلاً أو المشتبه 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 العقل بمعذورية الجاهل ، وقبح العقاب بلا حجّة وسبب ، إنّما هو فيما إذا لم يكن جهله في معرض الزوال ، ولم يكن العبد مقصّراً في تحصيل غرض المولى ، نعم بعد جدّ العبد واجتهاده في تحصيل غرضه ، وعدم حصول العلم له ، يكون حكم العقل بالبراءة محكّماً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فملاك لزوم الفحص عقلاً هو عدم جريان قاعدة قبح العقاب بلا حجّة وسبب قبل الفحص ، ومعه لا أمن من العقاب إلاّ بعد الفحص ، وسيأتي حال البراءة الشرعية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بعد تمامية حكم العقل بوجوب الفحص ، وعدم معذورية الجاهل قبل الفحص كما عرفت ، لا تتمّ دعوى الإجماع القطعي على وجوبه</w:t>
      </w:r>
      <w:r>
        <w:rPr>
          <w:rStyle w:val="FootnoteAnchor"/>
          <w:rtl w:val="true"/>
        </w:rPr>
        <w:footnoteReference w:id="493"/>
      </w:r>
      <w:r>
        <w:rPr>
          <w:rFonts w:ascii="Amiri" w:hAnsi="Amiri" w:eastAsia="Amiri" w:cs="Amiri"/>
          <w:color w:val="111111"/>
          <w:sz w:val="28"/>
          <w:sz w:val="28"/>
          <w:szCs w:val="28"/>
          <w:rtl w:val="true"/>
          <w:lang w:bidi="ar-SA"/>
        </w:rPr>
        <w:t xml:space="preserve">؛ ضرورة قوّة احتمال كون مستند المجمعين هو الدليل العقلي لا الشرعي ، كما أنّ دعوى كون الآيات والروايات الدالّة على لزوم التفقّه والتعلّم إرشاديةً إلى حكم </w:t>
      </w:r>
    </w:p>
    <w:p>
      <w:pPr>
        <w:pStyle w:val="BookText"/>
        <w:rPr/>
      </w:pPr>
      <w:r>
        <w:rPr>
          <w:rFonts w:ascii="IRNazanin" w:hAnsi="IRNazanin" w:eastAsia="IRNazanin"/>
          <w:color w:val="111111"/>
          <w:sz w:val="28"/>
          <w:sz w:val="28"/>
          <w:szCs w:val="28"/>
          <w:rtl w:val="true"/>
          <w:lang w:bidi="fa-IR"/>
        </w:rPr>
        <w:t>العقل</w:t>
      </w:r>
      <w:r>
        <w:rPr>
          <w:rStyle w:val="FootnoteAnchor"/>
          <w:rtl w:val="true"/>
        </w:rPr>
        <w:footnoteReference w:id="494"/>
      </w:r>
      <w:r>
        <w:rPr>
          <w:rFonts w:ascii="Amiri" w:hAnsi="Amiri" w:eastAsia="Amiri" w:cs="Amiri"/>
          <w:color w:val="111111"/>
          <w:sz w:val="28"/>
          <w:sz w:val="28"/>
          <w:szCs w:val="28"/>
          <w:rtl w:val="true"/>
          <w:lang w:bidi="ar-SA"/>
        </w:rPr>
        <w:t xml:space="preserve">لا تأسيسيةً تعبّديةً ، غير بعيدة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الأمر إذا تعلّق بالعناوين المرآتية كالتفقّه والتعلّم يكون ظاهراً في المقدّمية للتحفّظ على العناوين المستقلّة الذاتية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يكون ظاهراً في الوجوب المقدّمي لحفظ الدين وأحكام اللّه والعمل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نفس الأدلّة شواهد على ما ذكرنا ، مثل آية النفر</w:t>
      </w:r>
      <w:r>
        <w:rPr>
          <w:rStyle w:val="FootnoteAnchor"/>
          <w:rtl w:val="true"/>
        </w:rPr>
        <w:footnoteReference w:id="497"/>
      </w:r>
      <w:r>
        <w:rPr>
          <w:rFonts w:ascii="Amiri" w:hAnsi="Amiri" w:eastAsia="Amiri" w:cs="Amiri"/>
          <w:color w:val="111111"/>
          <w:sz w:val="28"/>
          <w:sz w:val="28"/>
          <w:szCs w:val="28"/>
          <w:rtl w:val="true"/>
          <w:lang w:bidi="ar-SA"/>
        </w:rPr>
        <w:t xml:space="preserve">الدالّة على أنّ غاية وجوب التفقّه في الدين تحذّر المستمعين ، ومعلوم أنّ نفس التحذّر ليس مطلوباً ، بل المطلوب هو العمل بالأحكام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ما ورد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عملت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تعلّمت حتّى تعمل</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 فإنّه صريح في أنّ التعلّم إنّما هو للعمل ولا نفسية له </w:t>
      </w:r>
      <w:r>
        <w:rPr>
          <w:rFonts w:eastAsia="Amiri" w:cs="Amiri" w:ascii="Amiri" w:hAnsi="Amiri"/>
          <w:color w:val="111111"/>
          <w:sz w:val="28"/>
          <w:szCs w:val="28"/>
          <w:rtl w:val="true"/>
          <w:lang w:bidi="ar-SA"/>
        </w:rPr>
        <w:t xml:space="preserve">. </w:t>
      </w:r>
      <w:bookmarkStart w:id="408" w:name="pg12132_128151"/>
    </w:p>
    <w:p>
      <w:pPr>
        <w:pStyle w:val="Heading2"/>
        <w:numPr>
          <w:ilvl w:val="1"/>
          <w:numId w:val="1"/>
        </w:numPr>
        <w:rPr/>
      </w:pPr>
      <w:bookmarkStart w:id="409" w:name="__RefHeading___Toc3352842_417432637"/>
      <w:bookmarkStart w:id="410" w:name="_Toc142"/>
      <w:bookmarkEnd w:id="408"/>
      <w:bookmarkEnd w:id="409"/>
      <w:r>
        <w:rPr>
          <w:rtl w:val="true"/>
        </w:rPr>
        <w:t>في استحقاق عقاب التارك للفحص ومناطه</w:t>
      </w:r>
      <w:bookmarkEnd w:id="410"/>
    </w:p>
    <w:p>
      <w:pPr>
        <w:pStyle w:val="BookText"/>
        <w:rPr/>
      </w:pPr>
      <w:r>
        <w:rPr>
          <w:rFonts w:ascii="Amiri" w:hAnsi="Amiri" w:eastAsia="Amiri" w:cs="Amiri"/>
          <w:color w:val="111111"/>
          <w:sz w:val="28"/>
          <w:sz w:val="28"/>
          <w:szCs w:val="28"/>
          <w:rtl w:val="true"/>
          <w:lang w:bidi="ar-SA"/>
        </w:rPr>
        <w:t xml:space="preserve">واتّضح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عقاب التارك للفحص إنّما هو على ترك الواقع لا الفحص كما نسب</w:t>
      </w:r>
      <w:r>
        <w:rPr>
          <w:rStyle w:val="FootnoteAnchor"/>
          <w:rtl w:val="true"/>
        </w:rPr>
        <w:footnoteReference w:id="500"/>
      </w:r>
      <w:r>
        <w:rPr>
          <w:rFonts w:ascii="Amiri" w:hAnsi="Amiri" w:eastAsia="Amiri" w:cs="Amiri"/>
          <w:color w:val="111111"/>
          <w:sz w:val="28"/>
          <w:sz w:val="28"/>
          <w:szCs w:val="28"/>
          <w:rtl w:val="true"/>
          <w:lang w:bidi="ar-SA"/>
        </w:rPr>
        <w:t>القول به إلى المدارك</w:t>
      </w:r>
      <w:r>
        <w:rPr>
          <w:rStyle w:val="FootnoteAnchor"/>
          <w:rtl w:val="true"/>
        </w:rPr>
        <w:footnoteReference w:id="501"/>
      </w:r>
      <w:r>
        <w:rPr>
          <w:rFonts w:ascii="IRNazanin" w:hAnsi="IRNazanin" w:eastAsia="IRNazanin"/>
          <w:color w:val="111111"/>
          <w:sz w:val="28"/>
          <w:sz w:val="28"/>
          <w:szCs w:val="28"/>
          <w:rtl w:val="true"/>
          <w:lang w:bidi="fa-IR"/>
        </w:rPr>
        <w:t xml:space="preserve">ولا على ترك الفحص والتعلّم المؤدّيين إلى ترك الواقع كما ذهب إليه بعض أعاظم العصر رحمه الله علیه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كونه على ترك الواقع فلما عرفت من أنّ الواقع منجّز مع الاحتمال قبل الفحص ، ومعنى تنجّزه صحّة العقوبة على تركه ولا يكون الجهل به عذراً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العقاب على ترك الفحص فلعدم الدليل على حرمته ، بل ظاهر الأدلّة هو الإرشاد إلى حكم العقل بلزوم الفحص ، وهو لا يكون إلاّ لحفظ الواقعيات ، ولا نفسية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قبح ترك الفحص لأجل التجرّي</w:t>
      </w:r>
      <w:r>
        <w:rPr>
          <w:rStyle w:val="FootnoteAnchor"/>
          <w:rtl w:val="true"/>
        </w:rPr>
        <w:footnoteReference w:id="503"/>
      </w:r>
      <w:r>
        <w:rPr>
          <w:rFonts w:ascii="Amiri" w:hAnsi="Amiri" w:eastAsia="Amiri" w:cs="Amiri"/>
          <w:color w:val="111111"/>
          <w:sz w:val="28"/>
          <w:sz w:val="28"/>
          <w:szCs w:val="28"/>
          <w:rtl w:val="true"/>
          <w:lang w:bidi="ar-SA"/>
        </w:rPr>
        <w:t xml:space="preserve">أيضاً ممّا لا أساس لها ؛ فإنّ تحقّق التجرّي أيضاً إنّما يكون بعد تنجّز التكليف الواقعي على فرض وجوده ، فترك محتمل الوجوب كإتيان محتمل الحرمة قبل الفحص تجرٍّ على المولى مع عدم المصادفة ومعصية في صورة المصادفة ، فلا يكون العقاب على ترك الفحص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ذهب إليه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العقاب على ترك الفحص المؤدّي </w:t>
      </w:r>
    </w:p>
    <w:p>
      <w:pPr>
        <w:pStyle w:val="BookText"/>
        <w:rPr/>
      </w:pPr>
      <w:r>
        <w:rPr>
          <w:rFonts w:ascii="Amiri" w:hAnsi="Amiri" w:eastAsia="Amiri" w:cs="Amiri"/>
          <w:color w:val="111111"/>
          <w:sz w:val="28"/>
          <w:sz w:val="28"/>
          <w:szCs w:val="28"/>
          <w:rtl w:val="true"/>
          <w:lang w:bidi="ar-SA"/>
        </w:rPr>
        <w:t xml:space="preserve">إلى ترك الواقع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على ترك الفحص ينافي وجوبه الطريقي الذي لا نفسية له ، ولا يجوز على ترك الواقع للجهل به ، فلا بدّ وأن يكون لترك الفحص المؤدّي إلى ترك الواقع</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محصّل له ؛ لأنّ الواقع ممّا لا عقاب عليه فرضاً ، وترك الفحص أيضاً لا عقاب عليه ، فكيف يعقل أن يكون العقاب على مثل ذلك ؛ أي على ترك الفحص الذي لا عقاب عليه المؤدّي إلى ترك الواقع الذي لا عقاب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التعلّم إذا كان وجوبه طريقياً محضاً فلا يمكن تبدّل طريقيته إلى النفسية بمجرّد أدائه إلى ترك الواجب ، فالعقاب عليه ممّا لا معنى له وإن أدّى إلى ترك واجب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إنكار استحقاق العقوبة على الواقع قبل الفحص إنكار للضروري كما عرفت</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كلام شعري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يقع الكلام في أ نّه مع ترك الفحص يستحقّ العقاب على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بيان عليه بحيث لو تفحّص وصل إليه ، بل ولو كان طريق على ضدّه بحيث وصل إليه مع الفحص ، فلو كان شرب التتن حراماً واقعاً ، فشربه بلا فحص ، استحقّ العقوبة ولو لم يكن فيما بأيديه طريق إلى حرمته ، بل ولو كان طريق إلى حلّيته ، أو يستحقّ إذا كان طريق إلى حرمته لو تفحّص عنه وصل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يقال بالاستحقاق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أ نّه خالف الواقع بلا عذر ، والطريق الواقعي على الحلّية ليس عذراً وحجّة يمكن أن يتّكل عليه في مقام الاعتذار وإمّا لأجل حكم العقل بالاحتياط على فرض ترك الفحص ، وهو بيان على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تفحّص لم يحكم بالاحتياط ، ويختصّ موضوع قاعدة 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يصل إليه بيان ، وأمّا قبل الفحص فيحكم العقل على سبيل التخيير بلزوم الفحص أو الاحتياط ، ومع عدم الفحص لزم عليه الاحتياط ، فمخالفة الواقع مع حكم العقل بالاحتياط موجبة للاستحقاق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العقل بالاحتياط في المقام ليس لأجل التحفّظ على الواقع مستقلاًّ ومستقيماً ، بل لاحتمال وصول البيان وضبطه في الكتاب والسنّة ، ومعه يتمّ البيان ويرفع موضوع القاعدة ، وفي مثله لا يوجب ترك الاحتياط استحقاق العقاب على الواقع بلا بيان ، فضلاً عن ورود بيان الضدّ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يتمّ الكلام بذكر أمرين ذكرهما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المخالفة فيما نحن فيه تكون مغفولاً عنها ، لكن لمّا كانت منتهية إلى الاختيار يستحقّ العبد العقوبة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غير وجيه على إطلاقه ؛ لأنّ الكلام في شرائط جريان الأصل ، ولا إشكال في أنّ المورد ملتفت إليه ، واحتمال المخالفة مورد الالتفات وإن كانت المخالفة غير معلومة ، ففرق بين كونها غير معلومة وكونها مغفولاً عنها ، والمقام من قبيل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ترك الفحص صار موجباً لبقاء الغفلة عن تكليف ، كما لو فرض أنّ الفحص عن حرمة شرب التتن يصير موجباً للعثور على وجوب الدعاء عند رؤية الهلال ، وكان الثاني مع عدم الفحص عن الأوّل مغفولاً عنه ، فشرب العبد التتن مع عدم الفحص ، وترك الدعاء عند رؤية الهلال غفلة عن وجوبه ، فهل يستحقّ العقاب على ترك الدعاء باعتبار أنّ هذه الغفلة الباقية بتقصير منه ولو في ترك الفحص عن تكليف آخر ليست عذراً ، فهو ترك الواقع وخالف المولى بلا عذر ، أو أ نّها عذر ومجرّد عدم الفحص والتقصير في تكليف آخر لا يوجب انقطاع عذره ؟</w:t>
      </w:r>
    </w:p>
    <w:p>
      <w:pPr>
        <w:pStyle w:val="BookText"/>
        <w:rPr/>
      </w:pPr>
      <w:r>
        <w:rPr>
          <w:rFonts w:ascii="Amiri" w:hAnsi="Amiri" w:eastAsia="Amiri" w:cs="Amiri"/>
          <w:color w:val="111111"/>
          <w:sz w:val="28"/>
          <w:sz w:val="28"/>
          <w:szCs w:val="28"/>
          <w:rtl w:val="true"/>
          <w:lang w:bidi="ar-SA"/>
        </w:rPr>
        <w:t xml:space="preserve">لا يبعد عدم معذوريته عند العقل ؛ لأنّ المعذورية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عدم فعلية الأحكام الواقعية في حال غفلة المكلّف عنها ، وقد ذكرنا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دخل الغفلة والجهل والعجز في عدم فعليتها ومقابلاتها في فعليتها ، وأنّ مناط الفعلية والشأنية أو الإنشائية ليس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بقاء فعلية الأحكام في مثل تلك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إيجاد تلك الأعذار اختياراً موجب لاستحقاق العقوبة على المخالفة ، فلو أعجز العبد نفسه ثمّ تركه عجزاً يكون معاقباً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القدرة شرطاً لفعلية الأحكام لجاز له تعجيزه ؛ لعدم لزوم إبقاء شرط 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إطلاق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 إلى محصّل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لأجل كون الغفلة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عند العقل مع فعلية الأحكام ،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الجزء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مناهج الوصول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منع كونها بنحو الإطلاق كذلك، ألا ترى أ نّه لو أوجد سبب الغفلة باختياره كما لو شرب اختياراً دواءً يوجب الغفلة فترك المأمور به غفلة لا يعذره العقل ، ففيما نحن فيه يكون سبب بقاء الغفلة وترك المأمور به عن غفلة هو تركه الفحص طغياناً وبلا عذر ، وفي مثله لا يكون معذوراً في ترك المأمور به وفعل المنهيّ عنه الفعليين ، بل العقاب في مثله لا يكون بلا بيان وبلا مناط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 ترك الفحص موجباً لترك واجب مشروط أو موقّت ؛ بمعنى أ نّه ترك الفحص قبل تحقّق الشرط والوقت مع احتمال كون تركه موجباً لترك المشروط والموقّت في زمان تحقّق الشرط والوقت ، فصار كذلك ، فهل يكون مستحقّاً للعقوبة كما في ترك الفحص في الواجب المطلق أو لا ؟</w:t>
      </w:r>
    </w:p>
    <w:p>
      <w:pPr>
        <w:pStyle w:val="BookText"/>
        <w:rPr/>
      </w:pPr>
      <w:r>
        <w:rPr>
          <w:rFonts w:ascii="Amiri" w:hAnsi="Amiri" w:eastAsia="Amiri" w:cs="Amiri"/>
          <w:color w:val="111111"/>
          <w:sz w:val="28"/>
          <w:sz w:val="28"/>
          <w:szCs w:val="28"/>
          <w:rtl w:val="true"/>
          <w:lang w:bidi="ar-SA"/>
        </w:rPr>
        <w:t xml:space="preserve">قد يقال بالتفصيل بين ما إذا قلنا في المشروط والموقّت بفعلية الوجوب وإن كان الواجب استقبالياً وبين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فيهما بمثل مقالة المشهور في الواجب المشروط من عدم الوجوب إلاّ عند تحقّق الشرط خصوصاً لو قلنا بأنّ وجوب الفحص غيري من باب وجوب المقدّمة ؛ لأنّ تبعية وجوب المقدّمة لوجوب ذيها كالنار على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العقوبة مطلقاً ؛ سواء قلنا بمقالة المشهور أو لم نقل ، وسواء قلنا بأنّ مناط وجوب الفحص هو المقدّمية أو لا ؛ فإنّا لو قلنا بمقالة المشهور في الواجب المشروط ، وقلنا بالوجوب المقدّمي أيضاً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حقّقنا في باب وجوب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وجوبها مترشّح من وجوب ذيها وعليه لا يعقل وجوبها قبل وجوبه ؛ للزوم كون المعلول قبل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 بل لوجوب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 ومقدّمات خاصّة بها ، إذا وجدت وجد الوجوب وإلاّ فلا؛</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مناهج الوصول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وجب ذو المقدّمة فعلاً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بوجوب المقدّمة وسلّمنا التلازم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إذا تصوّر توقّف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سيتحقّق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قبل مجيء الشرط ؛ بحيث لو تركه العبد في الحال يوجب سلب القدرة عنه في حال تحقّق الشرط ، فلا ريب في تعلّق إرادته بإيجاده بمناط المقدّمية ؛ لحصول مبادئ إرادتها من التصوّر والتصديق بالفائدة وغيرهما ، وعدم تحقّق الوجوب في الحال لا يوجب عدم حصول مبادئ إرادة المقدّمة وإيجابها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ما قيل من معلولية وجوب المقدّمة عن وجوب ذيها ، وترشّح وجوبها عن وجوبه ، تكون التبعية كالنار على المنار ، لكنّ التأ مّل في إرادة ذي المقدّمة ومبادئها وإرادة المقدّمة ومبادئها ، يرفع الريب عن عدم وجاهة ما ذكروا ، فحينئذٍ يكون ترك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لفوات الواجب في محلّه بلا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لاستحقاق 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نقل بوجوب المقدّمة أو كون وجوبها بمناطها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أيضاً في استحقاقه العقوبة ؛ لحكم العقل والعقلاء بأنّ تفويت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شرطه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عذر موجب للاستحقاق ، ولا عذر لمن يعلم أنّ شرط الواجب يحصل غداً أن يتساهل في مقدّماته الوجودية المفوّتة ولو صرّح المولى بأنّ الواجب المشروط قبل شرطه ليس بواجب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 للقاعدة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بالاختيار لا ينافي الاختيار كما توهّم بعض أهل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ذكرنا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تلك القاعدة العقلية غير مربوطة بمثل المقام ، بل هي مربوطة بمسألة عقلية فلسفية في قبال توهّم بعض المتكلّمين المنكر للإيجاب</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والامتناع</w:t>
      </w:r>
    </w:p>
    <w:p>
      <w:pPr>
        <w:pStyle w:val="BookText"/>
        <w:rPr/>
      </w:pPr>
      <w:r>
        <w:rPr>
          <w:rFonts w:ascii="Amiri" w:hAnsi="Amiri" w:eastAsia="Amiri" w:cs="Amiri"/>
          <w:color w:val="111111"/>
          <w:sz w:val="28"/>
          <w:sz w:val="28"/>
          <w:szCs w:val="28"/>
          <w:rtl w:val="true"/>
          <w:lang w:bidi="ar-SA"/>
        </w:rPr>
        <w:t xml:space="preserve">السابقين ، بتوهّم أنّ التزامه موجب لصيرورة الفاعل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على مثله أهل الفنّ بأنّ الوجوب بالاختيار وكذا الامتناع بالاختيار لا ينافيان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المقام فلا شبهة أنّ الامتناع بالاختيار ينافي الاختيار ، فمن ترك السير إلى أن ضاق الوقت خرج إتيان الحجّ عن اختياره ولو كان الامتناع باختياره ، لكن لا يكون هذا الامتناع عذراً عند العقل والعقلاء ، وهو قاعدة اُخرى غير القاعدة المشتهرة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من ذلك دفع ما قال المحقّق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مورد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الامتناع بسوء اختياره ، ولا يكون ذلك إلاّ بعد فعلية التكليف وتساهله في تحصيل المقدّمات حتّى عجز عن امتثاله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العقل لا يفرّق بين الواجب المشروط المعلوم تحقّق شرطه وبين الواجب المطلق في عدم معذورية العبد ، والعقلاء حاكمون بالاستحقاق ، فارجع إليهم حتّى يتّضح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الأردبيلي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بالوجوب النفسي التهيّئي واستحقاق العقوبة على تركه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فغير وجيه ، لا لما قال المحقّق المتقدّم من لزوم محذور وجوب المقدّمة قبل وجوب ذيها ، وأنّ تبعية وجوبها عن وجوبه كالنار على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ضرورة عدم مناط المقدّمية فيه ؛ لعدم التوقّف الوجودي ، لكن لمّا رأى المولى أنّ ترك الفحص موجب للوقوع في ترك المأمور به أو فعل المنهيّ عنه أحياناً ، ولا يكون في الفحص مناط المقدّمية حتّى يجب بناءً على الملازمة ، فلا محالة يأمر به لسدّ الاحتمال ، كالأمر بالاحتياط في الشبهة البدوية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دليل من عقل أو نقل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فواضح ، وأمّا</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مدارك الأحكام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النقل فسيأتي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مفاد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مخالفة الوجوب النفسي التهيّئي لا توجب عقوبة عقلاً ؛ لعدم المحبوبية الذاتية فيه ، ولا يكون تعلّق الأمر به لأجله حتّى يكون مولوياً ذاتياً موجباً لاستحقاق العقوبة ، بل يكون لأجل التحفّظ على الغير كالأمر بالاحتياط ، فالالتزام بما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بلا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إنكار استحقاق العقوبة على مخالفة نفس الواقع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حال حكم العقل مع قطع النظر عن الأدلّة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 الأدلّة فملخّص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التدبّر في الأخبار الكثيرة المتفرّقة في أبواب متفرّقة ، أنّ التفقّه وتحصيل مرتبة الفقاهة والاجتهاد في الأحكام ، مستحبّ نفسي أكيد أو واجب كفائي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المطلوبية النفسية أخبار كثيرة في فضل العلم والعلماء ، كقول أبي جعفر في مرسلة ربعي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 كلّ الكمال التفقّه في الدين ، والصبر على النائبة ، وتقدير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أبيعبداللّه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أمناء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يطلب فيه علماً سلك اللّه به طريقاً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وكأخبار فضل العالم على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ممّا لا تعدّ، ولا ريب في دلالتها على المطلوبية النفسية ، ولا يبعد استفادة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الوجوب الكفائي من طائفة منها بل من آية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طائفة منها تدلّ على أنّ ترك السؤال والفحص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عذراً ، كما يدلّ عليه مرسلة يونس عن بعض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عليه‌السلام هل يسع الناس ترك المسألة عمّا يحتاجون إليه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الفضلاء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لحمران بن أعين في شيء 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 نّهم لا يسألون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المجدور الذي غسّلوه ولم ييمّموه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عملت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تعلّمت حتّى 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غير ذلك ممّا هو ظاهر في أنّ العلم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إرشاد إلى حكم العقل من لزوم السؤال والتعلّم ؛ لتمامية الحجّة على العبد على فرض ورود البيان من المولى ، ولا تدلّ على الوجوب النفسي ، ولا النفسي التهيّئي ؛ لأنّ مفادها تابع لحكم المرشد إليه ، وهو حاكم بعدم وجوبه نفسياً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روايات كثيرة لا يسع المقام لإيرادها وتوضيح مقاصدها ، وفيما ذكرنا كفاية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الطهارة ، أبواب التيمّم ،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نور الثقلين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الحاصرتين أخذناه من تهذيب الاُصول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لتتميم السقط الموجود هنا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التبعة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نتيجة ما أصّلناه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المختار وآراء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على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جواب بعض الأعاظم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مناقشة الجواب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القاعدة على أدلّة الأحكام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تحمّل الضرر وفيما إذا اُكره على الإضرار بالغير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التصرّف في ملكه موجباً لتضرّر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2132_128160"/>
      <w:bookmarkStart w:id="412" w:name="pg12132_128160"/>
      <w:bookmarkEnd w:id="412"/>
    </w:p>
    <w:p>
      <w:pPr>
        <w:pStyle w:val="Heading2"/>
        <w:numPr>
          <w:ilvl w:val="1"/>
          <w:numId w:val="1"/>
        </w:numPr>
        <w:rPr/>
      </w:pPr>
      <w:bookmarkStart w:id="413" w:name="pg12132_128160"/>
      <w:bookmarkStart w:id="414" w:name="__RefHeading___Toc3352844_417432637"/>
      <w:bookmarkStart w:id="415" w:name="_Toc143"/>
      <w:bookmarkEnd w:id="413"/>
      <w:bookmarkEnd w:id="414"/>
      <w:r>
        <w:rPr>
          <w:rtl w:val="true"/>
        </w:rPr>
        <w:t>في بطلان عمل الجاهل إلاّ في موردين</w:t>
      </w:r>
      <w:bookmarkEnd w:id="415"/>
    </w:p>
    <w:p>
      <w:pPr>
        <w:pStyle w:val="BookText"/>
        <w:rPr/>
      </w:pPr>
      <w:r>
        <w:rPr>
          <w:rFonts w:ascii="Amiri" w:hAnsi="Amiri" w:eastAsia="Amiri" w:cs="Amiri"/>
          <w:color w:val="111111"/>
          <w:sz w:val="28"/>
          <w:sz w:val="28"/>
          <w:szCs w:val="28"/>
          <w:rtl w:val="true"/>
          <w:lang w:bidi="ar-SA"/>
        </w:rPr>
        <w:t>وأمّا حال الأحكام فلا إشكال في وجوب الإعادة في صورة المخالفة ، بل في صورة الموافقة في العبادات فيما لا يتأتّى منه قصد القربة ؛ وذلك لعدم الإتيان بالمأمور به ، مع عدم الدليل على الصحّة والإجزاء إلاّ في الإتمام في موضع القصر ، أو الإجهار والإخفات في موضع الآخر ؛ لورود الدليل</w:t>
      </w:r>
      <w:r>
        <w:rPr>
          <w:rStyle w:val="FootnoteAnchor"/>
          <w:rtl w:val="true"/>
        </w:rPr>
        <w:footnoteReference w:id="507"/>
      </w:r>
      <w:r>
        <w:rPr>
          <w:rFonts w:ascii="IRNazanin" w:hAnsi="IRNazanin" w:eastAsia="IRNazanin"/>
          <w:color w:val="111111"/>
          <w:sz w:val="28"/>
          <w:sz w:val="28"/>
          <w:szCs w:val="28"/>
          <w:rtl w:val="true"/>
          <w:lang w:bidi="fa-IR"/>
        </w:rPr>
        <w:t>وفتوى الأصحاب</w:t>
      </w:r>
      <w:r>
        <w:rPr>
          <w:rStyle w:val="FootnoteAnchor"/>
          <w:rtl w:val="true"/>
        </w:rPr>
        <w:footnoteReference w:id="508"/>
      </w:r>
      <w:r>
        <w:rPr>
          <w:rFonts w:ascii="Amiri" w:hAnsi="Amiri" w:eastAsia="Amiri" w:cs="Amiri"/>
          <w:color w:val="111111"/>
          <w:sz w:val="28"/>
          <w:sz w:val="28"/>
          <w:szCs w:val="28"/>
          <w:rtl w:val="true"/>
          <w:lang w:bidi="ar-SA"/>
        </w:rPr>
        <w:t xml:space="preserve">على صحّة الصلاة في الموردين وتماميتها مع الجهل ولو عن تقصير ، مع استحقاق العقوبة على ترك المأمور به على ما هو عليه ، فصار الموردان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منشأً للإشكال في المقام ؛ لأ نّه لو كان المأتيّ به هو المأمور به فلا وجه لاستحقاق العقاب ، وإلاّ فلا وجه للصحّة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الجهر والإخفات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القصر إن توقّف على العلم به فهو يستلزم الدور المعروف ، وإن كان غير متوقّف عليه فيلزم عدم صحّة الصلاة؛ لعدم الإتيان بالمأمور به، وإن كان من باب تقبّل العمل الناقص بعد وجوده بدلاً عن الكامل ، وسقوط ما كان واجباً من قبل ، فهو ممّا يأباه العقل من سقوط الواجب مع بقاء وقته مع المؤاخذة على تركه ، وإن قلنا بعدم استحقاقه العقوبة فهو يتنافى مع ما تسالموا عليه من عدم معذورية الجاهل واستحقاقه للعقوبة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كيف تجتمع الصحّة والعقوبة مع بقاء الوقت ؟ فإنّ الناقص لو كان وافياً بمصلحة التامّ لصحّ العمل ولا يستحقّ العقاب ، وإلاّ فلا وجه للصحّة إلاّ إذا كان الناقص مأموراً به ، وهو خلاف الواقع ؛ للإجماع على عدم وجوب صلاتين في يوم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أجاب عن هذه العويصة ثلّة من المحقّقين ، لا بأس بالإشارة إلى تلك الأجوبة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من احتمال كون الناقص واجداً لمصلحة ملزمة مضادّة في مقام الاستيفاء مع المصلحة القائمة بالتامّ ، والتامّ بما هو تامّ مشتمل على مصلحة ملزمة ، ويكون مأموراً به لا الناقص ، لكن مع الإتيان بالناقص يستوفى مقدار من المصلحة المضادّة لمصلحة التامّ ، فيسقط أمر التامّ لأجله ، وتكون الصلاة صحيحة لأجل استيفاء تلك المصلحة</w:t>
      </w:r>
      <w:r>
        <w:rPr>
          <w:rStyle w:val="FootnoteAnchor"/>
          <w:rtl w:val="true"/>
        </w:rPr>
        <w:footnoteReference w:id="50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الجواب يدفع الإشكال بحذافيره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صحّة الصلاة المأتيّ بها فلعدم توقّفها على الأمر واشتمالها على المصلحة الملزمة ، وأمّا العقاب فلأ نّه ترك المأمور به عن تقصير ، والإتيان بالناقص أوجب سقوط أمره قهراً ، وعدمَ إمكان استيفاء الفائت من المصلحة ؛ لأجل عدم اجتماعها مع المستوفاة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بعض أعاظم العصر بأنّ الخصوصية الزائدة من المصلحة القائمة بالفعل المأتيّ به في حال الجهل ؛ إن كان لها دخل في حصول الغرض من الواجب ، فلا يعقل سقوطه بالفاقد لها ، خصوصاً مع إمكان استيفائها في </w:t>
      </w:r>
    </w:p>
    <w:p>
      <w:pPr>
        <w:pStyle w:val="BookText"/>
        <w:rPr/>
      </w:pPr>
      <w:r>
        <w:rPr>
          <w:rFonts w:ascii="Amiri" w:hAnsi="Amiri" w:eastAsia="Amiri" w:cs="Amiri"/>
          <w:color w:val="111111"/>
          <w:sz w:val="28"/>
          <w:sz w:val="28"/>
          <w:szCs w:val="28"/>
          <w:rtl w:val="true"/>
          <w:lang w:bidi="ar-SA"/>
        </w:rPr>
        <w:t xml:space="preserve">الوقت ، كما لو علم بالحكم في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عدم إمكان اجتماع المصلحتين في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استيفاء أحدهما يوجب سلب القدرة عن استيفاء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الفساد ؛ لأنّ القدرة على الصلاة المقصورة القائمة بها المصلحة التامّة حاصلة ، ولا يعتبر في استيفاء المصلحة سوى القدرة على متعلّقها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لها دخل فاللازم هو الحكم بالتخيير بين القصر والإتمام ، غايته أن يكون القصر أفضل فردي التخيير</w:t>
      </w:r>
      <w:r>
        <w:rPr>
          <w:rStyle w:val="FootnoteAnchor"/>
          <w:rtl w:val="true"/>
        </w:rPr>
        <w:footnoteReference w:id="510"/>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الخصوصية الزائدة لازمة الاستيفاء ، لكن لا دخالة لها في حصول المصلحة القائمة بالناقص ، فالمصلحة القائمة به تستوفى مع الإتيان به فاقداً للخصوصية الزائدة اللازمة الاستيفاء بحسب الغرض الأكمل ، ومع الإتيان به تكون المصلحة القائمة بالخصوصية الزائدة غير ممكنة الاستيفاء ؛ للتضادّ الواقع بين المصلحتين ، أو لعدم إمكان استيفائها إلاّ في ضمن المجموع ، وإعادة الناقص بعد إتيانه ممّا لا مجال لها ؛ لاستيفاء المصلحة القائمة به ، فإعادته لغو ، ولا يمكن استيفاء المصلحة الزائدة بإتيانها مستقلاًّ أو في ضمن الناقص الغير القائم به المصلحة ، وهذا معنى عدم القدرة على استيفاء الخصوصية بعد الإتيان بالناقص ، فما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الدعوى واضحة الفساد ؛ لأنّ القدرة على إتيان الصلاة المقصورة 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بين القدرة على صورة الصلاة المقصورة وبين </w:t>
      </w:r>
    </w:p>
    <w:p>
      <w:pPr>
        <w:pStyle w:val="BookText"/>
        <w:rPr/>
      </w:pPr>
      <w:r>
        <w:rPr>
          <w:rFonts w:ascii="Amiri" w:hAnsi="Amiri" w:eastAsia="Amiri" w:cs="Amiri"/>
          <w:color w:val="111111"/>
          <w:sz w:val="28"/>
          <w:sz w:val="28"/>
          <w:szCs w:val="28"/>
          <w:rtl w:val="true"/>
          <w:lang w:bidi="ar-SA"/>
        </w:rPr>
        <w:t>القدرة على ما قامت به المصلحة ، والقدرة حاصلة بالنسبة إلى الاُولى لا الثانية</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وهذا إنّما يصحّ لو قلنا بكون المطلق والمقيّد عنوانين دافعين للتضادّ بين الأحكام ، وقد رجّحنا عدم كون المطلق والمقيّد العنواني داخلاً في محلّ النزاع في باب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عدم كون المطلق عنواناً مغايراً للمقيّد ، بل المقيّد هو هو مع قيد ، فلا يدفع التضادّ بين الأمر والنهي المتعلّقين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الأمر والنهي والأمرين ؛ بدعوى امتناع تعلّق إرادة البعث والزجر بالمطلق والمقيّد ، دون إرادة أمرين بهما مع تعدّد المطلوب ؛ لعدم التضادّ المتوهّم بين الأحكام ، وعدم إمكان تعلّق إرادة البعث والزجر ليس للتضادّ بل لأمر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شهادة الوجدان بإمكان تعلّق أمرين بهما ؛ ضرورة أنّ من كان مطلق الماء دافعاً لهلاكه يطلبه بنحو الإطلاق ، وكان مطلوبه الآخر الماء البارد يطلب المقيّد ، ولا تنافي بين مطلوبيتهما ، بخلاف المطلوبية والمبغوضية ، فإنّهما لا يجتمعان في نفس الماء والمقيّد منه مع بقاء الإطلاق على إطلاقه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تشخّص الإرادة بالمراد ؛ فمع وحدته لا يمكن تعلّق الإرادتين ، ومع كثرته لا فرق بين الأمرين والأمر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تشخّصهما اختلاف المتعلّق هوية ، ولا يكفي ذلك في جواز تعلّق البعث والزجر ؛ أي تعلّق الإرادتين المتضادّتين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الأجوبة عن الإشكال ما نقل</w:t>
      </w:r>
      <w:r>
        <w:rPr>
          <w:rStyle w:val="FootnoteAnchor"/>
          <w:rtl w:val="true"/>
        </w:rPr>
        <w:footnoteReference w:id="513"/>
      </w:r>
      <w:r>
        <w:rPr>
          <w:rFonts w:ascii="Amiri" w:hAnsi="Amiri" w:eastAsia="Amiri" w:cs="Amiri"/>
          <w:color w:val="111111"/>
          <w:sz w:val="28"/>
          <w:sz w:val="28"/>
          <w:szCs w:val="28"/>
          <w:rtl w:val="true"/>
          <w:lang w:bidi="ar-SA"/>
        </w:rPr>
        <w:t xml:space="preserve">عن كاشف الغطاء من الالتزام بالأمر الترتّبي ، وأنّ الواجب على المكلّف أوّلاً هو القصر ، وعند العصيان وترك الصلاة </w:t>
      </w:r>
    </w:p>
    <w:p>
      <w:pPr>
        <w:pStyle w:val="BookText"/>
        <w:rPr/>
      </w:pPr>
      <w:r>
        <w:rPr>
          <w:rFonts w:ascii="Amiri" w:hAnsi="Amiri" w:eastAsia="Amiri" w:cs="Amiri"/>
          <w:color w:val="111111"/>
          <w:sz w:val="28"/>
          <w:sz w:val="28"/>
          <w:szCs w:val="28"/>
          <w:rtl w:val="true"/>
          <w:lang w:bidi="ar-SA"/>
        </w:rPr>
        <w:t>المقصورة ولو لجهله بالحكم يجب عليه الإتمام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بعدم تعقّل الترتّب</w:t>
      </w:r>
      <w:r>
        <w:rPr>
          <w:rStyle w:val="FootnoteAnchor"/>
          <w:rtl w:val="true"/>
        </w:rPr>
        <w:footnoteReference w:id="515"/>
      </w:r>
      <w:r>
        <w:rPr>
          <w:rFonts w:ascii="Amiri" w:hAnsi="Amiri" w:eastAsia="Amiri" w:cs="Amiri"/>
          <w:color w:val="111111"/>
          <w:sz w:val="28"/>
          <w:sz w:val="28"/>
          <w:szCs w:val="28"/>
          <w:rtl w:val="true"/>
          <w:lang w:bidi="ar-SA"/>
        </w:rPr>
        <w:t xml:space="preserve">وتارةً مع تسليم إمكانه أنّ المقام أجنبيّ عنه ؛ لأ نّه يعتبر في الخطاب الترتّبي أن يكون كلّ من المتعلّقين واجداً لتمام ما هو ملاك الحكم ، ويكون المانع من تعلّق الأمر بكلّ منهما هو عدم القدرة على الجمع للتضادّ بينهما ، والمقام ليس كذلك ؛ لعدم ثبوت الملاك فيهما ، وإلاّ لتعلّق الأمر بكلّ منهما ؛ لإمكان الجمع بينهما وليسا كالضدّين ، فعدم تعلّق الأمر بهما يكشف عن عدم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 نّه يعتبر في الخطاب الترتّبي أن يكون خطاب المهمّ مشروطاً بعصيان الأهمّ ، وفي المقام لا يعقل أن يخاطب التارك للقصر بعنوان العاصي ؛ فإنّه لا يلتفت إليه ، وإلاّ يخرج عن عنوان الجاهل ، ولا تصحّ منه حينئذٍ الصلاة التامّة ، فلا يندرج المقام في صغرى الترتّب</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أ مّا عن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 نّه مبنيّ على إمكان الترتّب ، فالإشكال بنائي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 نّه لا يعتبر فيه أن يكون كلّ من المتعلّقين واجداً للملاك في عرض الآخر ومقارناً له ، بل لو حدث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الجهل بحكم القصر ، أو عند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يعتبر في الترتّب ، كفى في الخطاب الترتّبي ، ويمكن </w:t>
      </w:r>
    </w:p>
    <w:p>
      <w:pPr>
        <w:pStyle w:val="BookText"/>
        <w:rPr/>
      </w:pPr>
      <w:r>
        <w:rPr>
          <w:rFonts w:ascii="Amiri" w:hAnsi="Amiri" w:eastAsia="Amiri" w:cs="Amiri"/>
          <w:color w:val="111111"/>
          <w:sz w:val="28"/>
          <w:sz w:val="28"/>
          <w:szCs w:val="28"/>
          <w:rtl w:val="true"/>
          <w:lang w:bidi="ar-SA"/>
        </w:rPr>
        <w:t xml:space="preserve">أن يكون ما نحن فيه كذلك ، بل لا إشكال في واجديتهما للملاك ؛ لصحّة صلاة القصر لو فعل ، وصحّة التمام مع عدم إتيان القصر نصّاً وإجماعاً ، وقد تقدّم كونهما متضادّين ومعنى تضادّهما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بأ نّه لا يعقل أن يخاطب التارك بعنوان العاصي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يعتبر في صحّة توجّه الخطاب أن يكون المخاطب متوجّهاً إلى العنوان بما أ نّه هو ، بل لو كان الشرط حاصلاً بحسب الواقع يجوز توجّه الخطاب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كذلك ؛ فإنّ عنوان الجهل بحكم القصر أو العصيان للأمر القصري حاصل بحسب الواقع ، والمكلّف ينبعث باعتقاد الأمر التمامي ، فإذا توجّه إليه هذا الأمر يكون انبعاثه بهذا البعث المتوجّه إليه ولو لم يعلم بأ نّه عاصٍ للأمر القصري ، ولا يحتاج في البعث أن يتوجّه المبعوث إلى شرائط البعث لو كان الشرط حاصلاً بحسب الواقع ، فالتصحيح بالأمر الترتّبي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 ، تأ مّل</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وارد على كبرى صحّة الترتّب ،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هاهنا وجوهاً اُخر لدفع الإشكال بعضها تامّ وبعضها غير تامّ تركناها مخافة التطويل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البراءة العقلية </w:t>
      </w:r>
      <w:r>
        <w:rPr>
          <w:rFonts w:eastAsia="Amiri" w:cs="Amiri" w:ascii="Amiri" w:hAnsi="Amiri"/>
          <w:color w:val="111111"/>
          <w:sz w:val="28"/>
          <w:szCs w:val="28"/>
          <w:rtl w:val="true"/>
          <w:lang w:bidi="ar-SA"/>
        </w:rPr>
        <w:t xml:space="preserve">. </w:t>
      </w:r>
      <w:bookmarkStart w:id="416" w:name="pg12132_128166"/>
    </w:p>
    <w:p>
      <w:pPr>
        <w:pStyle w:val="Heading2"/>
        <w:numPr>
          <w:ilvl w:val="1"/>
          <w:numId w:val="1"/>
        </w:numPr>
        <w:rPr/>
      </w:pPr>
      <w:bookmarkStart w:id="417" w:name="__RefHeading___Toc3352846_417432637"/>
      <w:bookmarkStart w:id="418" w:name="_Toc144"/>
      <w:bookmarkEnd w:id="416"/>
      <w:bookmarkEnd w:id="417"/>
      <w:r>
        <w:rPr>
          <w:rtl w:val="true"/>
        </w:rPr>
        <w:t>شرائط جريان البراءة الشرعية</w:t>
      </w:r>
      <w:bookmarkEnd w:id="418"/>
    </w:p>
    <w:p>
      <w:pPr>
        <w:pStyle w:val="BookText"/>
        <w:rPr/>
      </w:pPr>
      <w:r>
        <w:rPr>
          <w:rFonts w:ascii="Amiri" w:hAnsi="Amiri" w:eastAsia="Amiri" w:cs="Amiri"/>
          <w:color w:val="111111"/>
          <w:sz w:val="28"/>
          <w:sz w:val="28"/>
          <w:szCs w:val="28"/>
          <w:rtl w:val="true"/>
          <w:lang w:bidi="ar-SA"/>
        </w:rPr>
        <w:t xml:space="preserve">وأمّا البراءة الشرعية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أدلّتها عدم وجوب الفحص ؛</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هو رفع ما لا يعلم والتوسعة فيه ، كان قبل الفحص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بقيام الإجماع على وجوب الفحص</w:t>
      </w:r>
      <w:r>
        <w:rPr>
          <w:rStyle w:val="FootnoteAnchor"/>
          <w:rtl w:val="true"/>
        </w:rPr>
        <w:footnoteReference w:id="520"/>
      </w:r>
      <w:r>
        <w:rPr>
          <w:rFonts w:ascii="Amiri" w:hAnsi="Amiri" w:eastAsia="Amiri" w:cs="Amiri"/>
          <w:color w:val="111111"/>
          <w:sz w:val="28"/>
          <w:sz w:val="28"/>
          <w:szCs w:val="28"/>
          <w:rtl w:val="true"/>
          <w:lang w:bidi="ar-SA"/>
        </w:rPr>
        <w:t>وبه تقيّد الإطلاقات ، وهو كما ترى ، كما أ نّه لا مجال للتمسّك بالعلم الإجمالي</w:t>
      </w:r>
      <w:r>
        <w:rPr>
          <w:rStyle w:val="FootnoteAnchor"/>
          <w:rtl w:val="true"/>
        </w:rPr>
        <w:footnoteReference w:id="521"/>
      </w:r>
      <w:r>
        <w:rPr>
          <w:rFonts w:ascii="IRNazanin" w:hAnsi="IRNazanin" w:eastAsia="IRNazanin"/>
          <w:color w:val="111111"/>
          <w:sz w:val="28"/>
          <w:sz w:val="28"/>
          <w:szCs w:val="28"/>
          <w:rtl w:val="true"/>
          <w:lang w:bidi="fa-IR"/>
        </w:rPr>
        <w:t>؛ لما عرفت</w:t>
      </w:r>
      <w:r>
        <w:rPr>
          <w:rStyle w:val="FootnoteAnchor"/>
          <w:rtl w:val="true"/>
        </w:rPr>
        <w:footnoteReference w:id="522"/>
      </w:r>
      <w:r>
        <w:rPr>
          <w:rFonts w:ascii="Amiri" w:hAnsi="Amiri" w:eastAsia="Amiri" w:cs="Amiri"/>
          <w:color w:val="111111"/>
          <w:sz w:val="28"/>
          <w:sz w:val="28"/>
          <w:szCs w:val="28"/>
          <w:rtl w:val="true"/>
          <w:lang w:bidi="ar-SA"/>
        </w:rPr>
        <w:t xml:space="preserve">أنّ الكلام في شرائط جريان أصل البراءة بعد تحقّق مجراه ، وهو مع فقد العلم الإجمالي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البراءة ممّا لا يمكن إطلاقها لما قبل الفحص ؛ ضرورة أنّ حكم العقل بوجوب اللطف على اللّه تعالى في بعث الرسل وإنزال الكتب لئلاّ يكون الناس كالبهائم والمجانين إنّما هو للانتفاع بأحكام اللّه في العاجل والآجل ، والعمل على طبقها صلاحاً لحال معاشهم ومعادهم ، وإنّما </w:t>
      </w:r>
    </w:p>
    <w:p>
      <w:pPr>
        <w:pStyle w:val="BookText"/>
        <w:rPr/>
      </w:pPr>
      <w:r>
        <w:rPr>
          <w:rFonts w:ascii="Amiri" w:hAnsi="Amiri" w:eastAsia="Amiri" w:cs="Amiri"/>
          <w:color w:val="111111"/>
          <w:sz w:val="28"/>
          <w:sz w:val="28"/>
          <w:szCs w:val="28"/>
          <w:rtl w:val="true"/>
          <w:lang w:bidi="ar-SA"/>
        </w:rPr>
        <w:t xml:space="preserve">أرسل اللّه تعالى رسله وأوحى إليهم لهذه الغاية ، فهل يجوز عند العقل بعد ذلك أن يكون من أحكامه تعالى رفع ما لا يعلم ، بمعنى أنّ قاطبة الناس يجوز لهم عدم سماع قول الأنبياء والعلماء ، وترك تعلّم أحكام اللّه ، وجعل أصابعهم في آذانهم ، والذهاب إلى أقطار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أحكامه شيئاً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إلاّ الإذن بأن يصير الناس كالبهائم والمجانين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التقييد العقلي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امتناع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كثير من الأحكام والعلم الإجمالي بكثير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تجري البراءة بالنسبة إلى البقيّة ، فلا أقلّ من انصراف أدلّة البراءة عمّا قبل الفحص</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ولو فرض الإطلاق فيقيّد بما في نفس أدلّة البراءة ،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مُعَذِّبينَ حَتَّى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بعث الرسول غاية لرفع التعذيب ، وبمناسبة الحكم والموضوع يكون المراد أنّ الرسول إذا بلّغ من اُرسل إليه بحسب المتعارف تتمّ الحجّة ووقع التعذيب على فرض المخالفة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التبليغ المتعارف تحقّق ، ووجود الأحكام في الكتاب والسنّة حجّة تامّة على الاُ مّة ، ولا يجوز لهم غضّ البصر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من الأدلّة ، ومثلهما الروايات التي بهذا المضمون أو قريبة منه،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يحتجّ على العباد بما آتاهم وعرّفهم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صالحة لتقييد الإطلاقات على فرضها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القضاء ، أبواب صفات القاضي ،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مع الغضّ عنها فلا إشكال في تقدّم أدلّة وجوب التعلّم والتفقّه عليها ؛ لحكومتها عليها ، كقوله رحمهما اللّه في المستفيضة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طلب العلم أوجب عليكم من طلب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والعلم مخزون عند أهله ، وقد اُمرتم بطلبه من أهله ، فاطلبوه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في الدين ، فإنّه من لم يتفقّه منكم في الدين فهو أعرابي</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 عن بعض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 الناس ترك المسألة عمّا يحتاجون إليه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لحمران بن أعين في شيء سأله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يهلك الناس لأ نّهم لا يسألون</w:t>
      </w:r>
      <w:r>
        <w:rPr>
          <w:rFonts w:eastAsia="IRNazanin" w:cs="IRNazanin"/>
          <w:color w:val="111111"/>
          <w:sz w:val="28"/>
          <w:szCs w:val="28"/>
          <w:rtl w:val="true"/>
          <w:lang w:bidi="fa-IR"/>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 نّها حاكمة على إطلاق أدلّة البراءة على فرضه ؛ فإنّ روايات البراءة بإطلاقها تدلّ على رفع ما لا يعلم حتّى قبل الفحص ، وهذه الروايات تحكم بوجوب التفقّه والتعلّم والفحص ، فهذه تتعرّض لموضوع أدلّة البراءة وتتقدّم عليها بالحكومة</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وفيه ما لا يخفى ، أمّا في دعوى ورودها عليها فلأ نّه على فرضه لا معنى لتعيير العبد على عدم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لهلاك العبد بعدم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للدعاء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يجمع بين ما ذكره وبين إطلاق أدلّة الرفع وورودها عليها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يكشف من ذلك أن لا إطلاق لها ، أو هي مقيّدة على فرضه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الاختصاص بالعلم الإجمالي فساقطة ؛ لعدم شاهد عليها ، بل إطلاقها يعمّ الشبهة البدوية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اختصاصها بصورة كون الفحص مؤدّياً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منع واضح ؛ لإطلاق الأدلّة لصورة الشكّ في الوصول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عدم وجوبه مع العلم بعدم الوصول ؛ لأنّ إيجاب التعلّم مقدّمة للعلم على فرض الواقع ، ومع العلم بعدم النتيجة لا وجه للتعلّم والسؤال ولا موضوعية له ، وأمّا مع الشكّ في الحكم واحتمال الوصول فالإطلاق محكّم كما لا يخفى ، فلا إشكال في تقديم الأدلّة على الإطلاقات لو سلّمت ، فتدبّر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لجريان أصل البراءة شرطان آخران</w:t>
      </w:r>
      <w:r>
        <w:rPr>
          <w:rStyle w:val="FootnoteAnchor"/>
          <w:rtl w:val="true"/>
        </w:rPr>
        <w:footnoteReference w:id="530"/>
      </w:r>
      <w:r>
        <w:rPr>
          <w:rFonts w:ascii="Amiri" w:hAnsi="Amiri" w:eastAsia="Amiri" w:cs="Amiri"/>
          <w:color w:val="111111"/>
          <w:sz w:val="28"/>
          <w:sz w:val="28"/>
          <w:szCs w:val="28"/>
          <w:rtl w:val="true"/>
          <w:lang w:bidi="ar-SA"/>
        </w:rPr>
        <w:t xml:space="preserve">،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الضعف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المحقّق الخراساني رحمه الله علیه </w:t>
      </w:r>
      <w:r>
        <w:rPr>
          <w:rStyle w:val="FootnoteAnchor"/>
          <w:rtl w:val="true"/>
        </w:rPr>
        <w:footnoteReference w:id="531"/>
      </w:r>
      <w:r>
        <w:rPr>
          <w:rFonts w:ascii="Amiri" w:hAnsi="Amiri" w:eastAsia="Amiri" w:cs="Amiri"/>
          <w:color w:val="111111"/>
          <w:sz w:val="28"/>
          <w:sz w:val="28"/>
          <w:szCs w:val="28"/>
          <w:rtl w:val="true"/>
          <w:lang w:bidi="ar-SA"/>
        </w:rPr>
        <w:t xml:space="preserve">تبع العلاّمة الأنصاري قدّس سرّه </w:t>
      </w:r>
      <w:r>
        <w:rPr>
          <w:rStyle w:val="FootnoteAnchor"/>
          <w:rtl w:val="true"/>
        </w:rPr>
        <w:footnoteReference w:id="532"/>
      </w:r>
      <w:r>
        <w:rPr>
          <w:rFonts w:ascii="Amiri" w:hAnsi="Amiri" w:eastAsia="Amiri" w:cs="Amiri"/>
          <w:color w:val="111111"/>
          <w:sz w:val="28"/>
          <w:sz w:val="28"/>
          <w:szCs w:val="28"/>
          <w:rtl w:val="true"/>
          <w:lang w:bidi="ar-SA"/>
        </w:rPr>
        <w:t xml:space="preserve">في الاستطراد بذكر قاعدة الضرر ، ولمّا كانت مباحثها كثيرة أفردنا لها رسالة مستقلّة كافلة لجميع مطالبها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مباحث البراءة والاشتغال</w:t>
      </w:r>
    </w:p>
    <w:p>
      <w:pPr>
        <w:pStyle w:val="BookText"/>
        <w:rPr/>
      </w:pPr>
      <w:r>
        <w:rPr>
          <w:rFonts w:ascii="Amiri" w:hAnsi="Amiri" w:eastAsia="Amiri" w:cs="Amiri"/>
          <w:color w:val="111111"/>
          <w:sz w:val="28"/>
          <w:sz w:val="28"/>
          <w:szCs w:val="28"/>
          <w:rtl w:val="true"/>
          <w:lang w:bidi="ar-SA"/>
        </w:rPr>
        <w:t>والحمد للّه أوّلاً وآخراً وظاهراً وباطناً</w:t>
      </w:r>
    </w:p>
    <w:p>
      <w:pPr>
        <w:pStyle w:val="BookText"/>
        <w:rPr/>
      </w:pPr>
      <w:r>
        <w:rPr>
          <w:rFonts w:ascii="Amiri" w:hAnsi="Amiri" w:eastAsia="Amiri" w:cs="Amiri"/>
          <w:color w:val="111111"/>
          <w:sz w:val="28"/>
          <w:sz w:val="28"/>
          <w:szCs w:val="28"/>
          <w:rtl w:val="true"/>
          <w:lang w:bidi="ar-SA"/>
        </w:rPr>
        <w:t>وقد فرغت من تبييضها صبيحة يوم الحادي عشر من شهر رمضان</w:t>
      </w:r>
    </w:p>
    <w:p>
      <w:pPr>
        <w:pStyle w:val="BookText"/>
        <w:rPr/>
      </w:pPr>
      <w:r>
        <w:rPr>
          <w:rFonts w:ascii="Amiri" w:hAnsi="Amiri" w:eastAsia="Amiri" w:cs="Amiri"/>
          <w:color w:val="111111"/>
          <w:sz w:val="28"/>
          <w:sz w:val="28"/>
          <w:szCs w:val="28"/>
          <w:rtl w:val="true"/>
          <w:lang w:bidi="ar-SA"/>
        </w:rPr>
        <w:t xml:space="preserve">المبارك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القمرية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محالّ شميران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2132_128172"/>
      <w:bookmarkStart w:id="420" w:name="pg12132_128172"/>
      <w:bookmarkEnd w:id="420"/>
    </w:p>
    <w:p>
      <w:pPr>
        <w:pStyle w:val="Heading2"/>
        <w:numPr>
          <w:ilvl w:val="1"/>
          <w:numId w:val="1"/>
        </w:numPr>
        <w:rPr/>
      </w:pPr>
      <w:bookmarkStart w:id="421" w:name="pg12132_128172"/>
      <w:bookmarkStart w:id="422" w:name="__RefHeading___Toc3352848_417432637"/>
      <w:bookmarkStart w:id="423" w:name="_Toc145"/>
      <w:bookmarkEnd w:id="421"/>
      <w:bookmarkEnd w:id="422"/>
      <w:r>
        <w:rPr>
          <w:rtl w:val="true"/>
        </w:rPr>
        <w:t>كفاية الاُصول</w:t>
      </w:r>
      <w:r>
        <w:rPr>
          <w:rtl w:val="true"/>
        </w:rPr>
        <w:t>(*)</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هذا الكتاب تعليقة على المباحث العقلية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ضممنا هذه المباحث منها هنا مع ترقيم التعليقات تتميماً للفائدة وتسهيلاً للمراجعين الأعزّاء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2132_128174"/>
      <w:bookmarkStart w:id="425" w:name="pg12132_128174"/>
      <w:bookmarkEnd w:id="425"/>
    </w:p>
    <w:p>
      <w:pPr>
        <w:pStyle w:val="Heading2"/>
        <w:numPr>
          <w:ilvl w:val="1"/>
          <w:numId w:val="1"/>
        </w:numPr>
        <w:rPr/>
      </w:pPr>
      <w:bookmarkStart w:id="426" w:name="pg12132_128174"/>
      <w:bookmarkStart w:id="427" w:name="__RefHeading___Toc3352850_417432637"/>
      <w:bookmarkStart w:id="428" w:name="_Toc146"/>
      <w:bookmarkEnd w:id="426"/>
      <w:bookmarkEnd w:id="427"/>
      <w:r>
        <w:rPr>
          <w:rtl w:val="true"/>
        </w:rPr>
        <w:t>كفاية الاُصول</w:t>
      </w:r>
      <w:bookmarkEnd w:id="428"/>
    </w:p>
    <w:p>
      <w:pPr>
        <w:pStyle w:val="Heading2"/>
        <w:numPr>
          <w:ilvl w:val="1"/>
          <w:numId w:val="1"/>
        </w:numPr>
        <w:rPr/>
      </w:pPr>
      <w:bookmarkStart w:id="429" w:name="__RefHeading___Toc3352852_417432637"/>
      <w:bookmarkStart w:id="430" w:name="_Toc147"/>
      <w:bookmarkEnd w:id="429"/>
      <w:r>
        <w:rPr>
          <w:rtl w:val="true"/>
        </w:rPr>
        <w:t xml:space="preserve">المقصد السابع </w:t>
      </w:r>
      <w:r>
        <w:rPr>
          <w:rtl w:val="true"/>
        </w:rPr>
        <w:t xml:space="preserve">: </w:t>
      </w:r>
      <w:r>
        <w:rPr>
          <w:rtl w:val="true"/>
        </w:rPr>
        <w:t>في الاُصول العملية</w:t>
      </w:r>
      <w:bookmarkEnd w:id="430"/>
    </w:p>
    <w:p>
      <w:pPr>
        <w:pStyle w:val="BookText"/>
        <w:rPr/>
      </w:pPr>
      <w:r>
        <w:rPr>
          <w:rFonts w:ascii="Amiri" w:hAnsi="Amiri" w:eastAsia="Amiri" w:cs="Amiri"/>
          <w:color w:val="111111"/>
          <w:sz w:val="28"/>
          <w:sz w:val="28"/>
          <w:szCs w:val="28"/>
          <w:rtl w:val="true"/>
          <w:lang w:bidi="ar-SA"/>
        </w:rPr>
        <w:t>في الاُصول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التي ينتهي إليها المجتهد بعد الفحص واليأس عن الظفر بدليل ممّا دلّ عليه حكم العقل أو عموم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منها أربعة ، فإنّ مثل قاعدة الطهارة فيما اشتبه طهارته بالشبهة الحكمية وإن كان ممّا ينتهي إليها فيما لا حجّة على طهارته ولا على نجاسته ، إلاّ أنّ البحث عنها ليس بمهمّ ؛ حيث إنّها ثابتة بلا كلام من دون حاجة إلى نقض وإبرام ؛ بخلاف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البراءة والاحتياط والتخيير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محلّ الخلاف بين الأصحاب ، ويحتاج تنقيح مجاريها وتوضيح ما هو حكم العقل أو مقتضى عموم النقل فيها إلى مزيد بحث وبيان ومؤونة حجّة وبرهان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مع جريانها في كلّ الأبواب واختصاص تلك القاعدة ببعضها ، فافهم </w:t>
      </w:r>
      <w:r>
        <w:rPr>
          <w:rFonts w:eastAsia="Amiri" w:cs="Amiri" w:ascii="Amiri" w:hAnsi="Amiri"/>
          <w:color w:val="111111"/>
          <w:sz w:val="28"/>
          <w:szCs w:val="28"/>
          <w:rtl w:val="true"/>
          <w:lang w:bidi="ar-SA"/>
        </w:rPr>
        <w:t xml:space="preserve">. </w:t>
      </w:r>
      <w:bookmarkStart w:id="431" w:name="pg12132_128175"/>
    </w:p>
    <w:p>
      <w:pPr>
        <w:pStyle w:val="Heading2"/>
        <w:numPr>
          <w:ilvl w:val="1"/>
          <w:numId w:val="1"/>
        </w:numPr>
        <w:rPr/>
      </w:pPr>
      <w:bookmarkStart w:id="432" w:name="__RefHeading___Toc3352854_417432637"/>
      <w:bookmarkStart w:id="433" w:name="_Toc148"/>
      <w:bookmarkEnd w:id="431"/>
      <w:bookmarkEnd w:id="432"/>
      <w:r>
        <w:rPr>
          <w:rtl w:val="true"/>
        </w:rPr>
        <w:t xml:space="preserve">فصل </w:t>
      </w:r>
      <w:r>
        <w:rPr>
          <w:rtl w:val="true"/>
        </w:rPr>
        <w:t>[</w:t>
      </w:r>
      <w:r>
        <w:rPr>
          <w:rtl w:val="true"/>
        </w:rPr>
        <w:t>في البراءة</w:t>
      </w:r>
      <w:r>
        <w:rPr>
          <w:rtl w:val="true"/>
        </w:rPr>
        <w:t>]</w:t>
      </w:r>
      <w:bookmarkEnd w:id="433"/>
    </w:p>
    <w:p>
      <w:pPr>
        <w:pStyle w:val="BookText"/>
        <w:rPr/>
      </w:pPr>
      <w:r>
        <w:rPr>
          <w:rFonts w:ascii="Amiri" w:hAnsi="Amiri" w:eastAsia="Amiri" w:cs="Amiri"/>
          <w:color w:val="111111"/>
          <w:sz w:val="28"/>
          <w:sz w:val="28"/>
          <w:szCs w:val="28"/>
          <w:rtl w:val="true"/>
          <w:lang w:bidi="ar-SA"/>
        </w:rPr>
        <w:t xml:space="preserve">لو شكّ في وجوب شيء أو حرمته ولم تنهض حجّة عليه ، جاز شرعاً وعقلاً ترك الأوّل وفعل الثاني ، وكان مأموناً من عقوبة مخالفته ، كان عدم نهوض الحجّة لأجل فقدان النصّ ، أو إجماله واحتماله الكراهة أو الاستحباب ، أو تعارضه فيما لم يثبت بينهما ترجيح بناء على التوقّف في مسألة تعارض النصّين فيما لم يكن ترجيح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التخيير ، كما هو المشهور ، فلا مجال لأصالة البراءة وغيرها ؛ لمكان وجود الحجّة المعتبرة وهو أحد النصّين فيها كما لا يخفى </w:t>
      </w:r>
      <w:r>
        <w:rPr>
          <w:rFonts w:eastAsia="Amiri" w:cs="Amiri" w:ascii="Amiri" w:hAnsi="Amiri"/>
          <w:color w:val="111111"/>
          <w:sz w:val="28"/>
          <w:szCs w:val="28"/>
          <w:rtl w:val="true"/>
          <w:lang w:bidi="ar-SA"/>
        </w:rPr>
        <w:t>.</w:t>
      </w:r>
    </w:p>
    <w:p>
      <w:pPr>
        <w:pStyle w:val="Heading2"/>
        <w:numPr>
          <w:ilvl w:val="1"/>
          <w:numId w:val="1"/>
        </w:numPr>
        <w:rPr/>
      </w:pPr>
      <w:bookmarkStart w:id="434" w:name="__RefHeading___Toc3352856_417432637"/>
      <w:bookmarkStart w:id="435" w:name="_Toc149"/>
      <w:bookmarkEnd w:id="434"/>
      <w:r>
        <w:rPr>
          <w:rtl w:val="true"/>
        </w:rPr>
        <w:t xml:space="preserve">وقد استدلّ على ذلك بالأدلّة الأربعة </w:t>
      </w:r>
      <w:r>
        <w:rPr>
          <w:rtl w:val="true"/>
        </w:rPr>
        <w:t>:</w:t>
      </w:r>
      <w:bookmarkEnd w:id="435"/>
    </w:p>
    <w:p>
      <w:pPr>
        <w:pStyle w:val="BookText"/>
        <w:rPr/>
      </w:pPr>
      <w:r>
        <w:rPr>
          <w:rFonts w:ascii="Amiri" w:hAnsi="Amiri" w:eastAsia="Amiri" w:cs="Amiri"/>
          <w:color w:val="111111"/>
          <w:sz w:val="28"/>
          <w:sz w:val="28"/>
          <w:szCs w:val="28"/>
          <w:rtl w:val="true"/>
          <w:lang w:bidi="ar-SA"/>
        </w:rPr>
        <w:t xml:space="preserve">أمّا الكتاب فبآيات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التعذيب قبل إتمام الحجّة ببعث الرسل لعلّه كان منّة منه تعالى على عباده مع استحقاقهم لذلك ؛ ولو سلّم اعتراف الخصم بالملازمة بين الاستحقاق والفعلية لما صحّ الاستدلال بها إلاّ جدلاً ، مع وضوح منعه ؛ ضرورة أنّ ما شكّ في وجوبه أو حرمته ليس عنده بأعظم ممّا علم بحكمه ، وليس حال الوعيد بالعذاب فيه إلاّ كالوعيد به فيه ، فافهم </w:t>
      </w:r>
      <w:r>
        <w:rPr>
          <w:rFonts w:eastAsia="Amiri" w:cs="Amiri" w:ascii="Amiri" w:hAnsi="Amiri"/>
          <w:color w:val="111111"/>
          <w:sz w:val="28"/>
          <w:szCs w:val="28"/>
          <w:rtl w:val="true"/>
          <w:lang w:bidi="ar-SA"/>
        </w:rPr>
        <w:t xml:space="preserve">. </w:t>
      </w:r>
      <w:bookmarkStart w:id="436" w:name="pg12132_128176"/>
    </w:p>
    <w:p>
      <w:pPr>
        <w:pStyle w:val="Heading2"/>
        <w:numPr>
          <w:ilvl w:val="1"/>
          <w:numId w:val="1"/>
        </w:numPr>
        <w:rPr/>
      </w:pPr>
      <w:bookmarkStart w:id="437" w:name="__RefHeading___Toc3352858_417432637"/>
      <w:bookmarkStart w:id="438" w:name="_Toc150"/>
      <w:bookmarkEnd w:id="436"/>
      <w:bookmarkEnd w:id="437"/>
      <w:r>
        <w:rPr>
          <w:rtl w:val="true"/>
        </w:rPr>
        <w:t xml:space="preserve">وأمّا السنّة فروايات </w:t>
      </w:r>
      <w:r>
        <w:rPr>
          <w:rtl w:val="true"/>
        </w:rPr>
        <w:t>:</w:t>
      </w:r>
      <w:bookmarkEnd w:id="438"/>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التسعة المرفوعة فيه ؛ فالإلزام المجهول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مرفوع فعلاً وإن كان ثابتاً واقعاً فلا مؤاخذة عليه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المؤاخذة من الآثار الشرعية ، كي ترتفع بارتفاع التكليف المجهول ظاهراً ، فلا دلالة له على ارتفاعها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لم تكن بنفسها أثراً شرعياً إلاّ أ نّها ممّا يترتّب عليه بتوسيط ما هو أثره وباقتضائه من إيجاب الاحتياط شرعاً ، فالدليل على رفعه دليل على عدم إيجابه المستتبع لعدم استحقاق العقوبة على مخالفته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إيجابه مستتبعاً لاستحقاقها على مخالفة التكليف المجهول ، بل على مخالفة نفسه ، كما هو قضيّة إيجاب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إيجابه طريقياً ، وإلاّ فهو موجب لاستحقاق العقوبة على المجهول ، كما هو الحال في غيره من الإيجاب والتحريم الطريقيين ؛ ضرورة أ نّه كما يصحّ أن يحتجّ بهما صحّ أن يحتجّ 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أقدمت مع إيجابه ؟ ويخرج به عن العقاب بلا بيان والمؤاخذة بلا برهان كما يخرج بهما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انقدح بذلك أنّ رفع التكليف المجهول كان منّةً على الاُمّة حيث </w:t>
      </w:r>
    </w:p>
    <w:p>
      <w:pPr>
        <w:pStyle w:val="BookText"/>
        <w:rPr/>
      </w:pPr>
      <w:r>
        <w:rPr>
          <w:rFonts w:ascii="Amiri" w:hAnsi="Amiri" w:eastAsia="Amiri" w:cs="Amiri"/>
          <w:color w:val="111111"/>
          <w:sz w:val="28"/>
          <w:sz w:val="28"/>
          <w:szCs w:val="28"/>
          <w:rtl w:val="true"/>
          <w:lang w:bidi="ar-SA"/>
        </w:rPr>
        <w:t xml:space="preserve">كان له تعالى وضعه بما هو قضيّته من إيجاب الاحتياط فرفعه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عدم الحاجة إلى تقدير المؤاخذة ولا غيرها من الآثار الشرعية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ما لا يعلم من التكليف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الشبهة الحكمية أو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قابل للرفع والوضع شرعاً وإن كان في غيره لا بدّ من تقدير الآثار ، أو المجاز في إسناد الرفع إليه ، فإنّه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اضطرّوا وما استكرهوا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التسعة بمرفوع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اشتبه حاله ولم يعلم عنوانه لكان أحد الأمرين ممّا لا بدّ منه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وجه لتقدير خصوص المؤاخذة بعد وضوح أنّ المقدّر في غير واحد غيرها ؛ فلا محيص عن أن يكون المقدّر هو الأثر الظاهر في كلّ منها ، أو تمام آثارها التي تقتضي المنّة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يكون بلحاظه الإسناد إليها مجازاً هو هذا كما لا يخفى ؛ فالخبر دلّ على رفع كلّ أثر تكليفي أو وضعي كان في رفعه منّة على الاُمّة ؛ كما استشهد الإمام عليه السلام بمثل هذا الخبر في رفع ما استكره عليه من الطلاق والصدقة والعتاق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 عليك أنّ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اُخذ بعنوانه الثانوي إنّما هو الآثار المترتّبة عليه بعنوانه الأوّلي ؛ ضرورة أنّ الظاهر أنّ هذه العناوين صارت موجبة للرفع ، والموضوع للأثر مستدعٍ </w:t>
      </w:r>
    </w:p>
    <w:p>
      <w:pPr>
        <w:pStyle w:val="BookText"/>
        <w:rPr/>
      </w:pPr>
      <w:r>
        <w:rPr>
          <w:rFonts w:ascii="Amiri" w:hAnsi="Amiri" w:eastAsia="Amiri" w:cs="Amiri"/>
          <w:color w:val="111111"/>
          <w:sz w:val="28"/>
          <w:sz w:val="28"/>
          <w:szCs w:val="28"/>
          <w:rtl w:val="true"/>
          <w:lang w:bidi="ar-SA"/>
        </w:rPr>
        <w:t xml:space="preserve">لوضعه ، فكيف يكون موجباً لرفعه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 الاحتياط فيما لا يعلم وإيجاب التحفّظ في الخطأ والنسيان يكون أثراً لهذه العناوين بعينها وباقتضاء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تكون باقتضاء الواقع في موردها ، ضرورة أنّ الاهتمام به يوجب إيجابهما ، لئلاّ يفوت على المكلّف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انقدح تقريب الاستدلال به ممّا ذكرنا في حديث الرفع ، إلاّ أ نّه ربما يشكل بمنع ظهوره في وضع ما لا يعلم من التكليف ، بدعوى ظهوره في خصوص ما تعلّقت عنايته تعالى بمنع اطّلاع العباد عليه لعدم أمر رسله بتبليغه ، حيث إنّه بدونه لما صحّ إسناد الحجب إليه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لك حلال حتّى تعرف أ نّه حرام بعينه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دلّ على حلّية ما لم يعلم حرمته مطلقاً ولو كان من جهة عدم الدليل على حرمته ؛ وبعدم الفصل قطعاً بين إباحته وعدم وجوب الاحتياط فيه وبين عدم وجوب الاحتياط في الشبهة الوجوبية يتمّ المطلوب ؛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احتمل وجوبه ممّا لم يعرف حرمته فهو حلال ، تأمّل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فهم في سعة ما لم يعلم أو ما دام لم يعلم وجوبه أو حرمته ؛ ومن الواضح أ نّه لو كان الاحتياط واجباً لما كانوا في سعةٍ أصلاً ، فيعارض به ما دلّ على وجوبه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به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الوجوب أو الحرمة بعد ، فكيف يقع في ضيق الاحتياط من أجله ؟ نعم لو كان الاحتياط واجباً نفسياً كان وقوعهم في ضيقه بعد العلم بوجوبه ؛ لكنّه عرفت أنّ وجوبه كان طريقياً لأجل أن لا يقعوا في مخالفة الواجب أو الحرام أحياناً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ودلالته تتوقّف على عدم صدق الورود إلاّ بعد العلم أو ما بحكمه بالنهي عنه وإن صدر عن الشارع ووصل إلى غير واحد ، مع أ نّه ممنوع ، لوضوح صدقه على صدوره عنه ، سيّما بعد بلوغه إلى غير واحد وقد خفي على من لم يعلم بصدوره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بضميمة أصالة العدم صحّ الاستدلال به وتمّ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 الاستدلال به بضميمتها ويحكم بإباحة مجهول الحرمة وإطلاقه ، إلاّ أ نّه لا بعنوان أ نّه مجهول الحرمة شرعاً ، بل بعنوان أ نّه ممّا لم يرد عنه النهي واقعاً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ولكنّه لا يتفاوت فيما هو المهمّ من الحكم بالإباحة في </w:t>
      </w:r>
    </w:p>
    <w:p>
      <w:pPr>
        <w:pStyle w:val="BookText"/>
        <w:rPr/>
      </w:pPr>
      <w:r>
        <w:rPr>
          <w:rFonts w:ascii="Amiri" w:hAnsi="Amiri" w:eastAsia="Amiri" w:cs="Amiri"/>
          <w:color w:val="111111"/>
          <w:sz w:val="28"/>
          <w:sz w:val="28"/>
          <w:szCs w:val="28"/>
          <w:rtl w:val="true"/>
          <w:lang w:bidi="ar-SA"/>
        </w:rPr>
        <w:t xml:space="preserve">مجهول الحرمة ، كان بهذا العنوان أو بذاك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بذاك العنوان لاختصّ بما لم يعلم ورود النهي عنه أصلاً ، ولا يكاد يعمّ ما إذا ورد النهي عنه في زمان وإباحته في آخر واشتبها من حيث التقدّم والتأخّر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لولا عدم الفصل بين أفراد ما اشتبهت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بينها الفصل ، إلاّ أ نّه إنّما يجدي فيما كان المثبت للحكم بالإباحة في بعضها الدليل لا الأصل ، فافهم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الإجماع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نقل على البراءة إلاّ أ نّه موهون ولو قيل باعتبار الإجماع المنقول في الجملة ، فإنّ تحصيله في 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للعقل إليه سبيل ومن واضح النقل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استقلّ بقبح العقوبة والمؤاخذة على مخالفة التكليف المجهول بعد الفحص واليأس عن الظفر بما كان حجّةً عليه ، فإنّهما بدونها عقاب بلا بيان ومؤاخذة بلا برهان ، وهما قبيحان بشهادة الوجدان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 نّه مع استقلاله بذلك لا احتمال لضرر العقوبة في مخالفته ، فلا يكون مجال هاهنا لقاعدة وجوب دفع الضرر المحتمل كي يتوهّم أ نّها تكون بياناً ، كما أ نّه مع احتماله لا حاجة إلى القاعدة ، بل في صورة </w:t>
      </w:r>
    </w:p>
    <w:p>
      <w:pPr>
        <w:pStyle w:val="BookText"/>
        <w:rPr/>
      </w:pPr>
      <w:r>
        <w:rPr>
          <w:rFonts w:ascii="Amiri" w:hAnsi="Amiri" w:eastAsia="Amiri" w:cs="Amiri"/>
          <w:color w:val="111111"/>
          <w:sz w:val="28"/>
          <w:sz w:val="28"/>
          <w:szCs w:val="28"/>
          <w:rtl w:val="true"/>
          <w:lang w:bidi="ar-SA"/>
        </w:rPr>
        <w:t xml:space="preserve">المصادفة استحقّ العقوبة على المخالفة ولو قيل بعدم وجوب دفع الضرر المحتمل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ضرر غير العقوبة فهو وإن كان محتملاً إلاّ أنّ المتيقّن منه ، فضلاً عن محتمله ، ليس بواجب الدفع شرعاً ولا عقلاً ؛ ضرورة عدم القبح في تحمّل بعض المضارّ ببعض الدواعي عقلاً وجوازه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احتمال الحرمة أو الوجوب لا يلازم احتمال المضرّة وإن كان ملازماً لاحتمال المفسدة أو ترك المصلحة ، لوضوح أنّ المصالح والمفاسد التي تكون مناطات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استقلّ العقل بحسن الأفعال التي تكون ذات المصالح وقبح ما كانت ذات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براجعة إلى المنافع والمضارّ ، وكثيراً ما يكون محتمل التكليف مأمون الضرر ؛ نعم ربما يكون المنفعة أو المضرّة مناطاً للحكم شرعاً وعقلاً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العقل يستقلّ بقبح الإقدام على ما لا تؤمن مفسدته ، وأ نّه كالإقدام على ما علم مفسدته ، كما استدلّ به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الأشياء على الحظر أو الوقف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 بذلك ممنوع ، والسند شهادة الوجدان ومراجعة ديدن العقلاء من أهل الملل والأديان ، حيث إنّهم لا يحترزون ممّا لا تؤمن مفسدته ولا يعاملون معه معاملة ما علم مفسدته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 الشارع بالإقدام عليه ولا يكاد يأذن بارتكاب القبيح فتأمّل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للقول بوجوب الاحتياط فيما لم تقم فيه حجّة بالأدلّة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فبالآيات الناهية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القول بغير العلم وعن الإلقاء في التهلكة والآمرة بالتقوى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بالإباحة شرعاً وبالأمن من العقوبة عقلاً ليس قولاً بغير علم ؛ لما دلّ على الإباحة من النقل وعلى البراءة من حكم العقل ، ومعهما لا مهلكة في اقتحام الشبهة أصلاً ، ولا فيه مخالفة التقوى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دلّ على وجوب التوقّف عند الشبهة معلّلاً في بعضها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الكثيرة الدالّة عليه مطابقةً أو التزاماً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دلّ على وجوب الاحتياط من الأخبار الواردة بألسنة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تهلكة في الشبهة البدوية مع دلالة النقل على الإباحة وحكم العقل بالبراءة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وجوب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وارداً على حكم العقل ، فإنّه كفى بياناً على العقوبة على مخالفة التكليف المجهول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يصغى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إيجاب الاحتياط إن كان مقدّمةً للتحرّز عن عقاب الواقع المجهول فهو قبيح ، وإن كان نفسياً فالعقاب على مخالفته لا على مخالفة 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لما عرفت ؛ من أنّ إيجابه يكون طريقياً وهو عقلاً ممّا يصحّ أن يحتجّ به على المؤاخذة في مخالفة الشبهة ، كما هو الحال في أوامر الطرق والأمارات والاُصول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 نّها تعارض بما هو أخصّ وأظهر ؛ ضرورة أنّ ما دلّ على حلّية المشتبه أخصّ ، بل هو في الدلالة على الحلّية نصّ ، وما دلّ على الاحتياط غايته أ نّه ظاهر في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هناك قرائن دالّة على أ نّه للإرشاد فيختلف إيجاباً واستحباباً حسب اختلاف ما يرشد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 نّه لو لم يكن للإرشاد لوجب تخصيصه لا محالة ببعض الشبهات إجماعاً مع أ نّه آب عن التخصيص قطعاً ؛ كيف لا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عند الشبهة فإنّ الوقوف عند الشبهة خير من الاقتحام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التهلكة ظاهر في العقوبة ، ولا عقوبة في الشبهة البدوية قبل إيجاب الوقوف والاحتياط ، فكيف يعلّل إيجابه بأ نّه خير من الاقتحام في التهلكة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ولكنّه يستكشف منه على نحو الإنّ إيجاب الاحتياط من قبل ، ليصحّ به العقوبة على المخالفة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إيجابه واقعاً ما لم يعلم لا يصحّح العقوبة ، ولا يخرجها عن أ نّها بلا بيان ولا برهان ، فلا محيص عن اختصاص مثله بما </w:t>
      </w:r>
    </w:p>
    <w:p>
      <w:pPr>
        <w:pStyle w:val="BookText"/>
        <w:rPr/>
      </w:pPr>
      <w:r>
        <w:rPr>
          <w:rFonts w:ascii="Amiri" w:hAnsi="Amiri" w:eastAsia="Amiri" w:cs="Amiri"/>
          <w:color w:val="111111"/>
          <w:sz w:val="28"/>
          <w:sz w:val="28"/>
          <w:szCs w:val="28"/>
          <w:rtl w:val="true"/>
          <w:lang w:bidi="ar-SA"/>
        </w:rPr>
        <w:t xml:space="preserve">يتنجّز فيه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كالشبهة قبل الفحص مطلقاً أو الشبهة المقرونة بالعلم الإجمالي ،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فلاستقلاله بلزوم فعل ما احتمل وجوبه وترك ما احتمل حرمته ، حيث علم إجمالاً بوجود واجبات ومحرّمات كثيرة فيما اشتبه وجوبه أو حرمته ممّا لم يكن هناك حجّة على حكمه ، تفريغاً للذمّة بعد اشتغالها ؛ ولا خلاف في لزوم الاحتياط في أطراف العلم الإجمالي إلاّ من بعض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وإن استقلّ بذلك ، إلاّ أ نّه إذا لم ينحلّ العلم الإجمالي إلى علم تفصيلي وشكّ بدوي ، وقد انحلّ هاهنا فإنّه كما علم بوجود تكاليف إجمالاً كذلك علم إجمالاً بثبوت طرق واُصول معتبرة مثبتة لتكاليف بمقدار تلك التكاليف المعلومة أو أزيد ، وحينئذٍ لا علم بتكاليف اُخر غير التكاليف الفعلية في موارد المثبتة من الطرق والاُصول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لكنّه إذا لم يكن العلم بها مسبوقاً بالعلم بالتكاليف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يضرّ السبق إذا كان المعلوم اللاحق حادثاً ، وأمّا إذا لم يكن كذلك بل ممّا ينطبق عليه ما علم أوّلاً ، فلا محالة قد انحلّ العلم الإجمالي إلى التفصيلي والشكّ البدوي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يوجب العلم بقيام الطرق المثبتة له بمقدار المعلوم بالإجمال ، ذلك إذا كان قضيّة قيام الطريق على تكليف موجباً لثبوته فعلاً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بناءً على أنّ قضيّة حجّيته واعتباره شرعاً ليس إلاّ ترتيب ما للطريق المعتبر عقلاً ، وهو تنجّز ما أصابه والعذر عمّا أخطأ عنه ، فلا انحلال لما علم بالإجمال أوّلاً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الاعتبار شرعاً على اختلاف ألسنة أدلّته وإن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قوّينا في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نهوض الحجّة على ما ينطبق عليه المعلوم بالإجمال في بعض الأطراف ، يكون عقلاً بحكم الانحلال وصرف تنجّزه إلى ما إذا كان في ذاك الطرف والعذر عمّا إذا كان في سائر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علم إجمالاً بحرمة إناء زيد بين الإناءين ، وقامت البيّنة على أنّ هذا إناؤه ، فلا ينبغي الشكّ في أ نّه كما إذا علم أ نّه إناؤه في عدم لزوم الاجتناب إلاّ عن خصوصه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لما كان يجدي القول بأنّ قضيّة اعتبار الأمارات هو كون المؤدّيات أحكاماً شرعية فعلية ، ضرورة أ نّها تكون كذلك بسبب حادث ، وهو كونها مؤدّيات الأمارات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يعلم بثبوت التكاليف الواقعية في موارد الطرق المثبتة بمقدار المعلوم بالإجمال ، وإلاّ فالانحلال إلى العلم بما في الموارد وانحصار أطرافه بموارد تلك الطرق بلا إشكال ، كما لا يخفى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استدلّ بما قيل من استقلال العقل بالحظر في الأفعال الغير الضرورية قبل الشرع ، ولا أقلّ من الوقف وعدم استقلاله ، لا به ولا بالإباحة ، ولم يثبت شرعاً إباحة ما اشتبه حرمته ، فإنّ ما دلّ على الإباحة </w:t>
      </w:r>
    </w:p>
    <w:p>
      <w:pPr>
        <w:pStyle w:val="BookText"/>
        <w:rPr/>
      </w:pPr>
      <w:r>
        <w:rPr>
          <w:rFonts w:ascii="Amiri" w:hAnsi="Amiri" w:eastAsia="Amiri" w:cs="Amiri"/>
          <w:color w:val="111111"/>
          <w:sz w:val="28"/>
          <w:sz w:val="28"/>
          <w:szCs w:val="28"/>
          <w:rtl w:val="true"/>
          <w:lang w:bidi="ar-SA"/>
        </w:rPr>
        <w:t xml:space="preserve">معارض بما دلّ على وجوب التوقّف أو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وجه للاستدلال بما هو محلّ الخلاف والإشكال ، وإلاّ لصحّ الاستدلال على البراءة بما قيل من كون تلك الأفعال على الإباحة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ثبتت الإباحة شرعاً ، لما عرفت من عدم صلاحية ما دلّ على التوقّف أو الاحتياط ، للمعارضة لما دلّ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يستلزم القول بالوقف في تلك المسألة للقول بالاحتياط في هذه المسألة ، لاحتمال أن يقال معه بالبراءة ، لقاعدة قبح العقاب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الإقدام على ما لا تؤمن المفسدة فيه كالإقدام على ما تعلم فيه المفسدة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ممنوع ولو قيل بوجوب دفع الضرر المحتمل ، فإنّ المفسدة المحتملة في المشتبه ليس بضرر غالباً ، ضرورة أنّ المصالح والمفاسد التي هي مناطات الأحكام ليست براجعة إلى المنافع والمضارّ ، بل ربما يكون المصلحة فيما فيه الضرر ، والمفسدة فيما فيه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في المشتبه ضرر ضعيف غالباً لا يعتنى به قطعاً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الضرر ليس دائماً ممّا يجب التحرّز عنه عقلاً ، بل يجب ارتكابه أحياناً فيما كان المترتّب عليه أهمّ في نظره ممّا في الاحتراز عن ضرره مع القطع به فضلاً عن احتماله </w:t>
      </w:r>
      <w:r>
        <w:rPr>
          <w:rFonts w:eastAsia="Amiri" w:cs="Amiri" w:ascii="Amiri" w:hAnsi="Amiri"/>
          <w:color w:val="111111"/>
          <w:sz w:val="28"/>
          <w:szCs w:val="28"/>
          <w:rtl w:val="true"/>
          <w:lang w:bidi="ar-SA"/>
        </w:rPr>
        <w:t xml:space="preserve">. </w:t>
      </w:r>
      <w:bookmarkStart w:id="439" w:name="pg12132_128187"/>
    </w:p>
    <w:p>
      <w:pPr>
        <w:pStyle w:val="Heading2"/>
        <w:numPr>
          <w:ilvl w:val="1"/>
          <w:numId w:val="1"/>
        </w:numPr>
        <w:rPr/>
      </w:pPr>
      <w:bookmarkStart w:id="440" w:name="__RefHeading___Toc3352860_417432637"/>
      <w:bookmarkStart w:id="441" w:name="_Toc151"/>
      <w:bookmarkEnd w:id="439"/>
      <w:bookmarkEnd w:id="440"/>
      <w:r>
        <w:rPr>
          <w:rtl w:val="true"/>
        </w:rPr>
        <w:t>[</w:t>
      </w:r>
      <w:r>
        <w:rPr>
          <w:rtl w:val="true"/>
        </w:rPr>
        <w:t>تنبيهات البراءة</w:t>
      </w:r>
      <w:r>
        <w:rPr>
          <w:rtl w:val="true"/>
        </w:rPr>
        <w:t>]</w:t>
      </w:r>
      <w:bookmarkEnd w:id="441"/>
    </w:p>
    <w:p>
      <w:pPr>
        <w:pStyle w:val="Heading2"/>
        <w:numPr>
          <w:ilvl w:val="1"/>
          <w:numId w:val="1"/>
        </w:numPr>
        <w:rPr/>
      </w:pPr>
      <w:bookmarkStart w:id="442" w:name="__RefHeading___Toc3352862_417432637"/>
      <w:bookmarkStart w:id="443" w:name="_Toc152"/>
      <w:bookmarkEnd w:id="442"/>
      <w:r>
        <w:rPr>
          <w:rtl w:val="true"/>
        </w:rPr>
        <w:t xml:space="preserve">بقي اُمور مهمّة لا بأس بالإشارة إليها </w:t>
      </w:r>
      <w:r>
        <w:rPr>
          <w:rtl w:val="true"/>
        </w:rPr>
        <w:t>:</w:t>
      </w:r>
      <w:bookmarkEnd w:id="44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إنّما تجري أصالة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وعقلاً فيما لم يكن هناك أصل موضوعي مطلقاً ولو كان موافقاً لها ، فإنّه معه لا مجال لها أصلاً ، لوروده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مثلاً أصالة الإباحة في حيوان شكّ في حلّيته مع الشكّ في قبوله التذكية ، فإنّه إذا ذبح مع سائر الشرائط المعتبرة في التذكية فأصالة عدم التذكية تدرجه فيما لم يذكّ وهو حرام إجماعاً كما إذا مات حتف أنفه ، فلا حاجة إلى إثبات أنّ الميتة تعمّ غير المذكّى شرعاً ؛ ضرورة كفاية كونه مثله حكماً ، وذلك بأنّ التذكية إنّما هي عبارة عن فري الأوداج الأربعة مع سائر شرائطها عن خصوصية في الحيوان التي بها يؤثّر فيه الطهارة وحدها أو مع الحلّية ؛ ومع الشكّ في تلك الخصوصية فالأصل عدم تحقّق التذكية بمجرّد الفري بسائر شرائطها كما لا يخفى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علم بقبوله التذكية وشكّ في الحلّية فأصالة الإباحة فيه محكّمة ، فإنّه حينئذٍ إنّما يشكّ في أنّ هذا الحيوان المذكّى حلال أو حرام ، ولا أصل فيه إلاّ أصالة الإباحة ، كسائر ما شكّ في أ نّه من الحلال أو الحرام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إذا لم يكن هناك أصل موضوعي آخر مثبت لقبوله التذكية ، كما إذا شكّ مثلاً في أنّ الجلل في الحيوان هل يوجب ارتفاع قابليته لها أم لا ؟ فأصالة قبوله لها معه محكّمة ، ومعها لا مجال لأصالة عدم تحقّقها ؛ فهو قبل الجلل كان يطهر ويحلّ بالفري بسائر شرائطها فالأصل أ نّه كذلك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الحال فيما اشتبهت حلّيته وحرمته بالشبهة الموضوعية من الحيوان ، وأنّ أصالة عدم التذكية محكّمة فيما شكّ فيها لأجل الشكّ في تحقّق ما اعتبر في التذكية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أصالة قبول التذكية محكّمة إذا شكّ في طروّ ما يمنع عنه ، فيحكم بها فيما اُحرز الفري بسائر شرائطها عداه كما لا يخفى ،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شبهة في حسن الاحتياط شرعاً وعقلاً في الشبهة الوجوبية أو التحريمية ، في العبادات وغيرها ، كما لا ينبغي الارتياب في استحقاق الثواب فيما إذا احتاط وأتى أو ترك بداعي احتمال الأمر أو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في جريان الاحتياط في العبادات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دوران الأمر بين الوجوب وغير الاستحباب من جهة أنّ العبادة لا بدّ فيها من نيّة القربة المتوقّفة على العلم بأمر الشارع تفصيلاً أو إجمالاً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 الاحتياط عقلاً لا يكاد يجدي في رفع الإشكال ولو قيل بكونه موجباً لتعلّق الأمر به شرعاً ، بداهة توقّفه على ثبوته توقّف العارض على </w:t>
      </w:r>
    </w:p>
    <w:p>
      <w:pPr>
        <w:pStyle w:val="BookText"/>
        <w:rPr/>
      </w:pPr>
      <w:r>
        <w:rPr>
          <w:rFonts w:ascii="Amiri" w:hAnsi="Amiri" w:eastAsia="Amiri" w:cs="Amiri"/>
          <w:color w:val="111111"/>
          <w:sz w:val="28"/>
          <w:sz w:val="28"/>
          <w:szCs w:val="28"/>
          <w:rtl w:val="true"/>
          <w:lang w:bidi="ar-SA"/>
        </w:rPr>
        <w:t>معروضه ، فكيف يعقل أن يكون من مبادئ ثبوته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وانقدح بذلك أ نّه لا يكاد يجدي في رفعه أيضاً القول بتعلّق الأمر به من جهة ترتّب الثواب عليه ، ضرورة أ نّه فرع إمكانه ، فكيف يكون من مبادئ جريانه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حسن الاحتياط لا يكون بكاشف عن تعلّق الأمر به بنحو اللمّ ، ولا ترتّب الثواب عليه بكاشف عنه بنحو الإنّ ، بل يكون حاله في ذلك حال الإطاعة ، فإنّه نحو من الانقياد والطاعة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المراد بالاحتياط في العبادات هو مجرّد الفعل المطابق للعبادة من جميع الجهات عدا نيّة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مساعدة دليل حينئذٍ على حسنه بهذا المعنى فيها ، بداهة أ نّه ليس باحتياط حقيقة ، بل هو أمر لو دلّ عليه دليل كان مطلوباً مولوياً نفسياً عبادياً ؛ والعقل لا يستقلّ إلاّ بحسن الاحتياط ، والنقل لا يكاد يرشد إلاّ إليه ، نعم لو كان هناك دليل على الترغيب في الاحتياط في خصوص العبادة لما كان محيص عن دلالته اقتضاءً على أنّ المراد به ذاك المعنى بناءً على عدم إمكانه فيها بمعناه حقيقةً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التزام بالإشكال وعدم جريانه فيها ، وهو كما ترى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منشأ الإشكال هو تخيّل كون القربة المعتبرة في العبادة مثل سائر الشروط المعتبرة فيها ممّا يتعلّق بها الأمر المتعلّق بها ، </w:t>
      </w:r>
    </w:p>
    <w:p>
      <w:pPr>
        <w:pStyle w:val="BookText"/>
        <w:rPr/>
      </w:pPr>
      <w:r>
        <w:rPr>
          <w:rFonts w:ascii="Amiri" w:hAnsi="Amiri" w:eastAsia="Amiri" w:cs="Amiri"/>
          <w:color w:val="111111"/>
          <w:sz w:val="28"/>
          <w:sz w:val="28"/>
          <w:szCs w:val="28"/>
          <w:rtl w:val="true"/>
          <w:lang w:bidi="ar-SA"/>
        </w:rPr>
        <w:t xml:space="preserve">فيشكل جريانه حينئذٍ ؛ لعدم التمكّن من قصد القربة المعتبر فيها ، وقد عرفت أ نّه فاسد ؛ وإنّما اعتبر قصد القربة فيها عقلاً لأجل أنّ الغرض منها لا يكاد يحصل بدونه ، وعليه كان جريان الاحتياط فيه بمكان من الإمكان ، ضرورة التمكّن من الإتيان بما احتمل وجوبه بتمامه وكماله ؛ غاية الأمر أ نّه لا بدّ أن يؤتى به على نحو لو كان مأموراً به لكان مقرّباً ؛ بأن يؤتى به بداعي احتمال الأمر أو احتمال كونه محبوباً له تعالى ، فيقع حينئذٍ على تقدير الأمر به امتثالاً لأمره تعالى وعلى تقدير عدمه انقياداً لجنابه تبارك وتعالى ويستحقّ الثواب على كلّ حال إمّا على الطاعة أو الانقياد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انقدح بذلك أ نّه لا حاجة في جريانه في العبادات إلى تعلّق أمر بها ، بل لو فرض تعلّقه بها لما كان من الاحتياط بشيء ، بل كسائر ما علم وجوبه أو استحبابه منها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 نّه لو قيل بدلالة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بلغه ثواب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استحباب العمل الذي بلغ عليه الثواب ولو بخبر ضعيف لما كان يجدي في جريانه في خصوص ما دلّ على وجوبه أو استحبابه خبر ضعيف ، بل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 كسائر ما دلّ الدليل على استحبابه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قيل بدلالتها على استحباب نفس العمل الذي بلغ عليه الثواب بعنوانه ، وأمّا لو دلّ على استحبابه لا بهذا العنوان ، بل بعنوان أ نّه محتمل الثواب ، لكانت دالّة على استحباب الإتيان به بعنوان الاحتياط ، </w:t>
      </w:r>
    </w:p>
    <w:p>
      <w:pPr>
        <w:pStyle w:val="BookText"/>
        <w:rPr/>
      </w:pPr>
      <w:r>
        <w:rPr>
          <w:rFonts w:ascii="Amiri" w:hAnsi="Amiri" w:eastAsia="Amiri" w:cs="Amiri"/>
          <w:color w:val="111111"/>
          <w:sz w:val="28"/>
          <w:sz w:val="28"/>
          <w:szCs w:val="28"/>
          <w:rtl w:val="true"/>
          <w:lang w:bidi="ar-SA"/>
        </w:rPr>
        <w:t xml:space="preserve">كأوامر الاحتياط لو قيل بأ نّها للطلب المولوي لا الإرشادي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بعنوان الاحتياط ولو كان مولوياً لكان توصّلياً ، مع أ نّه لو كان عبادياً لما كان مصحّحاً للاحتياط ومجدياً في جريانه في العبادات ، كما أشرنا إليه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يبعد دلالة بعض تلك الأخبار على استحباب ما بلغ عليه الثواب ، فإنّ صحيحة هشام بن سالم المحكيّة عن المحاسن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صلى اللّه عليه وآله وسلّم شيء من الثواب فعمله كان أجر ذلك له وإن كان رسول اللّه صلى اللّه عليه وآله وسلّم 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أنّ الأجر كان مترتّباً على نفس العمل الذي بلغه عنه صلى اللّه عليه وآله وسلّم أ نّه ذو ثواب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العمل متفرّعاً على البلوغ وكونه الداعي إلى العمل ، غير موجب لأن يكون الثواب إنّما يكون مترتّباً عليه فيما إذا أتى برجاء أ نّه مأمور به وبعنوان الاحتياط ، بداهة أنّ الداعي إلى العمل لا يوجب له وجهاً وعنواناً يؤتى به بذاك الوجه والعنوان ؛ وإتيان العمل بداعي طلب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به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انقياداً إلاّ أنّ الثواب في الصحيحة إنّما رتّب على نفس العمل ، ولا موجب لتقييدها به لعدم المنافاة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أتى به كذلك أو التماساً للثواب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به 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لاُوتي الأجر والثواب على نفس العمل ، لا بما هو احتياط وانقياد ، فيكشف </w:t>
      </w:r>
    </w:p>
    <w:p>
      <w:pPr>
        <w:pStyle w:val="BookText"/>
        <w:rPr/>
      </w:pPr>
      <w:r>
        <w:rPr>
          <w:rFonts w:ascii="Amiri" w:hAnsi="Amiri" w:eastAsia="Amiri" w:cs="Amiri"/>
          <w:color w:val="111111"/>
          <w:sz w:val="28"/>
          <w:sz w:val="28"/>
          <w:szCs w:val="28"/>
          <w:rtl w:val="true"/>
          <w:lang w:bidi="ar-SA"/>
        </w:rPr>
        <w:t xml:space="preserve">عن كونه بنفسه مطلوباً وإطاعةً ، فيكون وزانه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سرح لحيته ؛ أو من صلّى أو صام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لذلك أفتى المشهور بالاستحباب ، فافهم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يخفى أنّ النهي عن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بمعنى طلب تركه في زمان أو مكان بحيث لو وجد في ذاك الزمان أو المكان ولو دفعة لما امتثل أصلاً كان اللازم على المكلّف إحراز أ نّه تركه بالمرّة ولو بالأصل ، فلا يجوز الإتيان بشيء يشكّ معه في تركه إلاّ إذا كان مسبوقاً به ليستصحب مع الإتيان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بمعنى طلب ترك كلّ فرد منه على حدة لما وجب إلاّ ترك ما علم أ نّه فرد ، وحيث لم يعلم تعلّق النهي إلاّ بما علم أ نّه مصداقه ، فأصالة البراءة في المصاديق المشتبهة محكّمة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أنّ مجرّد العلم بتحريم شيء لا يوجب لزوم الاجتناب عن أفراده المشتبهة فيما كان المطلوب بالنهي طلب ترك كلّ فرد على حدة ، أو كان الشيء مسبوقاً بالترك وإلاّ لوجب الاجتناب عنها عقلاً لتحصيل الفراغ قطعاً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يجب فيما علم وجوب شيء إحراز إتيانه إطاعة لأمره ، فكذلك يجب فيما علم حرمته إحراز تركه وعدم إتيانه امتثالاً لنهيه ، غاية الأمر كما يحرز وجود الواجب بالأصل كذلك يحرز ترك الحرام به </w:t>
      </w:r>
      <w:r>
        <w:rPr>
          <w:rFonts w:eastAsia="Amiri" w:cs="Amiri" w:ascii="Amiri" w:hAnsi="Amiri"/>
          <w:color w:val="111111"/>
          <w:sz w:val="28"/>
          <w:szCs w:val="28"/>
          <w:rtl w:val="true"/>
          <w:lang w:bidi="ar-SA"/>
        </w:rPr>
        <w:t xml:space="preserve">. </w:t>
      </w:r>
      <w:bookmarkStart w:id="444" w:name="pg12132_128193"/>
    </w:p>
    <w:p>
      <w:pPr>
        <w:pStyle w:val="BookText"/>
        <w:rPr/>
      </w:pPr>
      <w:bookmarkEnd w:id="444"/>
      <w:r>
        <w:rPr>
          <w:rFonts w:ascii="Amiri" w:hAnsi="Amiri" w:eastAsia="Amiri" w:cs="Amiri"/>
          <w:color w:val="111111"/>
          <w:sz w:val="28"/>
          <w:sz w:val="28"/>
          <w:szCs w:val="28"/>
          <w:rtl w:val="true"/>
          <w:lang w:bidi="ar-SA"/>
        </w:rPr>
        <w:t xml:space="preserve">والفرد المشتبه وإن كان مقتضى أصالة البراءة جواز الاقتحام فيه ، إلاّ أنّ قضيّة لزوم إحراز الترك اللازم ، وجوب التحرّز عنه ، ولا يكاد يحرز إلاّ بترك المشتبه أيضاً ، فتفطّن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عرفت حسن الاحتياط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 نّه مطلقاً كذلك حتّى فيما كان هناك حجّة على عدم الوجوب أو الحرمة ، أو أمارة معتبرة على أ نّه ليس فرداً للواجب أو الحرام ما لم يخلّ بالنظام فعلاً ؛ فالاحتياط قبل ذلك مطلقاً يقع حسناً ، كان في الاُمور المهمّة كالدماء والفروج ، أو غيرها ، وكان احتمال التكليف قويّاً أو ضعيفاً كانت الحجّة على خلافه أو لا ، كما أنّ الاحتياط الموجب لذلك لا يكون حسناً كذلك وإن كان الراجح لمن التفت إلى ذلك من أوّل الأمر ترجيح بعض الاحتياطات احتمالاً أو محتملاً ، فافهم </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3352864_417432637"/>
      <w:bookmarkStart w:id="446" w:name="_Toc153"/>
      <w:bookmarkEnd w:id="445"/>
      <w:r>
        <w:rPr>
          <w:rtl w:val="true"/>
        </w:rPr>
        <w:t xml:space="preserve">فصل </w:t>
      </w:r>
      <w:r>
        <w:rPr>
          <w:rtl w:val="true"/>
        </w:rPr>
        <w:t>[</w:t>
      </w:r>
      <w:r>
        <w:rPr>
          <w:rtl w:val="true"/>
        </w:rPr>
        <w:t>في التخيير</w:t>
      </w:r>
      <w:r>
        <w:rPr>
          <w:rtl w:val="true"/>
        </w:rPr>
        <w:t>]</w:t>
      </w:r>
      <w:bookmarkEnd w:id="44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دار الأمر 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شيء وحرمته ، لعدم نهوض حجّة على أحدهما تفصيلاً بعد نهوضها عليه إجمالاً ، ففيه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بالبراءة عقلاً ونقلاً لعموم النقل وحكم العقل بقبح المؤاخذة على خصوص الوجوب أو الحرمة للجهل به ، ووجوب الأخذ بأحدهما تعييناً أو تخييراً ، والتخيير </w:t>
      </w:r>
    </w:p>
    <w:p>
      <w:pPr>
        <w:pStyle w:val="BookText"/>
        <w:rPr/>
      </w:pPr>
      <w:r>
        <w:rPr>
          <w:rFonts w:ascii="Amiri" w:hAnsi="Amiri" w:eastAsia="Amiri" w:cs="Amiri"/>
          <w:color w:val="111111"/>
          <w:sz w:val="28"/>
          <w:sz w:val="28"/>
          <w:szCs w:val="28"/>
          <w:rtl w:val="true"/>
          <w:lang w:bidi="ar-SA"/>
        </w:rPr>
        <w:t xml:space="preserve">بين الترك والفعل عقلاً مع التوقّف عن الحكم به رأساً ، أو مع الحكم عليه بالإباحة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أوجهها الأخير ؛ لعدم الترجيح بين الفعل والترك وشمول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 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ولا مانع عنه عقلاً ولا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 نّه لا يجب موافقة الأحكام التزاماً ولو وجب لكان الالتزام إجمالاً بما هو الواقع معه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التفصيلي بأحدهما لو لم يكن تشريعاً محرّماً لما نهض على وجوبه دليل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وقياسه بتعارض الخبرين الدالّ أحدهما على الحرمة والآخر على الوجوب باطل ، فإنّ التخيير بينهما على تقدير كون الأخبار حجّةً من باب السببية يكون على القاعدة ومن جهة التخيير بين الواجبين المتزاحمين ، وعلى تقدير أ نّها من باب الطريقية فإنّه وإن كان على خلاف القاعدة إلاّ أنّ أحدهما تعييناً أو تخييراً حيث كان واجداً لما هو المناط للطريقية من احتمال الإصابة مع اجتماع سائر الشرائط جعل حجّة في هذه الصورة بأدلّة الترجيح تعييناً أو التخيير تخييراً ؛ وأين ذلك ممّا إذا لم يكن المطلوب إلاّ الأخذ بخصوص ما صدر واقعاً وهو حاصل ، والأخذ بخصوص أحدهما ربما لا يكون إليه بموصل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التخيير بين الخبرين لأجل إبدائهما احتمال الوجوب والحرمة وإحداثهما الترديد بينهما ، لكان القياس في محلّه ؛ لدلالة الدليل </w:t>
      </w:r>
    </w:p>
    <w:p>
      <w:pPr>
        <w:pStyle w:val="BookText"/>
        <w:rPr/>
      </w:pPr>
      <w:r>
        <w:rPr>
          <w:rFonts w:ascii="Amiri" w:hAnsi="Amiri" w:eastAsia="Amiri" w:cs="Amiri"/>
          <w:color w:val="111111"/>
          <w:sz w:val="28"/>
          <w:sz w:val="28"/>
          <w:szCs w:val="28"/>
          <w:rtl w:val="true"/>
          <w:lang w:bidi="ar-SA"/>
        </w:rPr>
        <w:t xml:space="preserve">على التخيير بينهما على التخيير هاهنا ،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هاهنا لقاعدة قبح العقاب بلا بيان ، فإنّه لا قصور فيه هاهنا ، وإنّما يكون عدم تنجّز التكليف لعدم التمكّن من الموافقة القطعية كمخالفتها ، والموافقة الاحتمالية حاصلة لا محالة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مورد هذه الوجوه وإن كان ما إذا لم يكن واحد من الوجوب والحرمة على التعيين تعبّدياً ؛ إذ لو كانا تعبّديين أو كان أحدهما المعيّن كذلك لم يكن إشكال في عدم جواز طرحهما والرجوع إلى الإباحة ؛ لأ نّها مخالفة عملية قطعية على ما أفاد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الحكم أيضاً فيهما إذا كانا كذلك هو التخيير عقلاً بين إتيانه على وجه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يؤتى به بداعي احتمال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كذلك ؛ لعدم الترجيح ، وقبحه بلا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أ نّه لا وجه لتخصيص المورد بالتوصّليين بالنسبة إلى ما هو المهمّ في المقام وإن اختصّ بعض الوجوه بهما كما لا يخفى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استقلال العقل بالتخيير إنّما هو فيما لا يحتمل الترجيح في أحدهما على التعيين ، ومع احتماله لا يبعد دعوى استقلاله بتعيّنه ، كما هو الحال في دوران الأمر بين التخيير والتعيين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الترجيح إنّما يكون لشدّة الطلب في أحدهما وزيادته على الطلب في الآخر بما لا يجوز الإخلال بها في صورة </w:t>
      </w:r>
      <w:bookmarkStart w:id="447" w:name="pg12132_128196"/>
    </w:p>
    <w:p>
      <w:pPr>
        <w:pStyle w:val="BookText"/>
        <w:rPr/>
      </w:pPr>
      <w:bookmarkEnd w:id="447"/>
      <w:r>
        <w:rPr>
          <w:rFonts w:ascii="Amiri" w:hAnsi="Amiri" w:eastAsia="Amiri" w:cs="Amiri"/>
          <w:color w:val="111111"/>
          <w:sz w:val="28"/>
          <w:sz w:val="28"/>
          <w:szCs w:val="28"/>
          <w:rtl w:val="true"/>
          <w:lang w:bidi="ar-SA"/>
        </w:rPr>
        <w:t xml:space="preserve">المزاحمة ، ووجب الترجيح بها ، وكذا وجب ترجيح احتمال ذي المزيّة في صورة الدوران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لترجيح احتمال الحرمة مطلقاً ، لأجل أنّ دفع المفسدة أولى من ترك المصلحة ، ضرورة أ نّه رُبّ واجب يكون مقدّماً على الحرام في صورة المزاحمة بلا كلام ، فكيف يقدّم على احتماله احتمالُه في صورة الدوران بين مثليهما ، فافهم </w:t>
      </w:r>
      <w:r>
        <w:rPr>
          <w:rFonts w:eastAsia="Amiri" w:cs="Amiri" w:ascii="Amiri" w:hAnsi="Amiri"/>
          <w:color w:val="111111"/>
          <w:sz w:val="28"/>
          <w:szCs w:val="28"/>
          <w:rtl w:val="true"/>
          <w:lang w:bidi="ar-SA"/>
        </w:rPr>
        <w:t>.</w:t>
      </w:r>
    </w:p>
    <w:p>
      <w:pPr>
        <w:pStyle w:val="Heading2"/>
        <w:numPr>
          <w:ilvl w:val="1"/>
          <w:numId w:val="1"/>
        </w:numPr>
        <w:rPr/>
      </w:pPr>
      <w:bookmarkStart w:id="448" w:name="__RefHeading___Toc3352866_417432637"/>
      <w:bookmarkStart w:id="449" w:name="_Toc154"/>
      <w:bookmarkEnd w:id="448"/>
      <w:r>
        <w:rPr>
          <w:rtl w:val="true"/>
        </w:rPr>
        <w:t xml:space="preserve">فصل </w:t>
      </w:r>
      <w:r>
        <w:rPr>
          <w:rtl w:val="true"/>
        </w:rPr>
        <w:t>[</w:t>
      </w:r>
      <w:r>
        <w:rPr>
          <w:rtl w:val="true"/>
        </w:rPr>
        <w:t>في الاشتغال</w:t>
      </w:r>
      <w:r>
        <w:rPr>
          <w:rtl w:val="true"/>
        </w:rPr>
        <w:t>]</w:t>
      </w:r>
      <w:bookmarkEnd w:id="449"/>
    </w:p>
    <w:p>
      <w:pPr>
        <w:pStyle w:val="BookText"/>
        <w:rPr/>
      </w:pPr>
      <w:r>
        <w:rPr>
          <w:rFonts w:ascii="Amiri" w:hAnsi="Amiri" w:eastAsia="Amiri" w:cs="Amiri"/>
          <w:color w:val="111111"/>
          <w:sz w:val="28"/>
          <w:sz w:val="28"/>
          <w:szCs w:val="28"/>
          <w:rtl w:val="true"/>
          <w:lang w:bidi="ar-SA"/>
        </w:rPr>
        <w:t xml:space="preserve">لو شكّ في المكلّف به مع العلم بالتكليف من الإيجاب أو التحريم ، فتارةً لتردّده بين المتباينين واُخرى بين الأقلّ والأكثر الارتباطيين ، فيقع الكلام في مقامين </w:t>
      </w:r>
      <w:r>
        <w:rPr>
          <w:rFonts w:eastAsia="Amiri" w:cs="Amiri" w:ascii="Amiri" w:hAnsi="Amiri"/>
          <w:color w:val="111111"/>
          <w:sz w:val="28"/>
          <w:szCs w:val="28"/>
          <w:rtl w:val="true"/>
          <w:lang w:bidi="ar-SA"/>
        </w:rPr>
        <w:t>:</w:t>
      </w:r>
    </w:p>
    <w:p>
      <w:pPr>
        <w:pStyle w:val="Heading2"/>
        <w:numPr>
          <w:ilvl w:val="1"/>
          <w:numId w:val="1"/>
        </w:numPr>
        <w:rPr/>
      </w:pPr>
      <w:bookmarkStart w:id="450" w:name="__RefHeading___Toc3352868_417432637"/>
      <w:bookmarkStart w:id="451" w:name="_Toc155"/>
      <w:bookmarkEnd w:id="450"/>
      <w:r>
        <w:rPr>
          <w:rtl w:val="true"/>
        </w:rPr>
        <w:t xml:space="preserve">المقام الأوّل </w:t>
      </w:r>
      <w:r>
        <w:rPr>
          <w:rtl w:val="true"/>
        </w:rPr>
        <w:t xml:space="preserve">: </w:t>
      </w:r>
      <w:r>
        <w:rPr>
          <w:rtl w:val="true"/>
        </w:rPr>
        <w:t>في دوران الأمر بين المتباينين</w:t>
      </w:r>
      <w:r>
        <w:rPr>
          <w:rtl w:val="true"/>
        </w:rPr>
        <w:t>(</w:t>
      </w:r>
      <w:r>
        <w:rPr/>
        <w:t>10</w:t>
      </w:r>
      <w:r>
        <w:rPr>
          <w:rtl w:val="true"/>
        </w:rPr>
        <w:t>)</w:t>
      </w:r>
      <w:bookmarkEnd w:id="45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المعلوم بينهما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كانا فعل أمر وترك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فعلياً من جميع الجهات بأن يكون واجداً لما هو العلّة التامّة للبعث أو الزجر الفعلي مع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الإجمال والتردّد والاحتمال ، فلا محيص عن تنجّزه وصحّة العقوبة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محالة </w:t>
      </w:r>
    </w:p>
    <w:p>
      <w:pPr>
        <w:pStyle w:val="BookText"/>
        <w:rPr/>
      </w:pPr>
      <w:r>
        <w:rPr>
          <w:rFonts w:ascii="Amiri" w:hAnsi="Amiri" w:eastAsia="Amiri" w:cs="Amiri"/>
          <w:color w:val="111111"/>
          <w:sz w:val="28"/>
          <w:sz w:val="28"/>
          <w:szCs w:val="28"/>
          <w:rtl w:val="true"/>
          <w:lang w:bidi="ar-SA"/>
        </w:rPr>
        <w:t xml:space="preserve">يكون ما دلّ بعمومه على الرفع أو الوضع أو السعة أو الإباحة ممّا يعمّ أطراف العلم مخصّصاً عقلاً لأجل مناقضتها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فعلياً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بحيث لو علم تفصيلاً لوجب امتثاله وصحّ العقاب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هناك مانع عقلاً ولا شرعاً عن شمول أدلّة البراءة الشرعية للأطراف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انقدح أ نّه لا فرق بين العلم التفصيلي والإجمالي ، إلاّ أ نّه لا مجال للحكم الظاهري مع التفصيلي ؛ فإذا كان الحكم الواقعي فعلياً من سائر الجهات لا محالة يصير فعلياً معه من جميع الجهات ، وله مجال مع الإجمالي ، فيمكن أن لا يصير فعلياً معه ، لإمكان جعل الظاهري في أطرافه وإن كان فعلياً من غير هذه الجهة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 نّه لو فرض أنّ المعلوم بالإجمال كان فعلياً من جميع الجهات لوجب عقلاً موافقته مطلقاً ولو كانت أطرافه غير 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التفاوت بين المحصورة وغيرها هو أنّ عدم الحصر ربما يلازم ما يمنع عن فعلية المعلوم مع كونه فعلياً لولاه من سائر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يرى العقل تفاوتاً بين المحصورة وغيرها في التنجّز وعدمه فيما كان المعلوم إجمالاً فعلياً يبعث المولى نحوه فعلاً أو يزجر عنه كذلك مع ما هو عليه من كثرة أطرافه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الأطراف في الحصر وعدمه لا يوجب تفاوتاً في </w:t>
      </w:r>
    </w:p>
    <w:p>
      <w:pPr>
        <w:pStyle w:val="BookText"/>
        <w:rPr/>
      </w:pPr>
      <w:r>
        <w:rPr>
          <w:rFonts w:ascii="Amiri" w:hAnsi="Amiri" w:eastAsia="Amiri" w:cs="Amiri"/>
          <w:color w:val="111111"/>
          <w:sz w:val="28"/>
          <w:sz w:val="28"/>
          <w:szCs w:val="28"/>
          <w:rtl w:val="true"/>
          <w:lang w:bidi="ar-SA"/>
        </w:rPr>
        <w:t xml:space="preserve">ناحية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أوجب تفاوتاً فإنّما هو في ناحية المعلوم في فعلية البعث أو الزجر مع الحصر وعدمها مع عدمه ، فلا يكاد يختلف العلم الإجمالي باختلاف الأطراف قلّةً وكثرةً في التنجيز وعدمه ما لم يختلف المعلوم في الفعلية وعدمها بذلك ؛ وقد عرفت آنفاً أ نّه لا تفاوت بين التفصيلي والإجمالي في ذلك ما لم يكن تفاوت في طرف المعلوم أيضاً ، فتأمّل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انقدح أ نّه لا وجه لاحتمال عدم وجوب الموافقة القطعية مع حرمة مخالفتها ، ضرورة أنّ التكليف المعلوم إجمالاً لو كان فعلياً لوجب موافقته قطعاً ، وإلاّ لم يحرم مخالفته كذلك أيضاً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ظهر أ نّه لو لم يعلم فعلية التكليف مع العلم به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عدم الابتلاء ببعض أطرافه ، أو من جهة الاضطرار إلى بعضها معيّناً أو مردّداً ، أو من جهة تعلّقه بموضوع يقطع بتحقّقه إجمالاً في هذا الشهر ، كأيّام حيض المستحاضة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وجب موافقته بل جاز مخالفته ؛ وأ نّه لو علم فعليته ولو كان بين أطراف تدريجية لكان منجّزاً ووجب موافقته ، فإنّ التدرّج لا يمنع عن الفعلية ، ضرورة أ نّه كما يصحّ التكليف بأمر حالي كذلك يصحّ بأمر استقبالي ، كالحجّ في الموسم للمستطيع ، فافهم </w:t>
      </w:r>
      <w:r>
        <w:rPr>
          <w:rFonts w:eastAsia="Amiri" w:cs="Amiri" w:ascii="Amiri" w:hAnsi="Amiri"/>
          <w:color w:val="111111"/>
          <w:sz w:val="28"/>
          <w:szCs w:val="28"/>
          <w:rtl w:val="true"/>
          <w:lang w:bidi="ar-SA"/>
        </w:rPr>
        <w:t xml:space="preserve">. </w:t>
      </w:r>
      <w:bookmarkStart w:id="452" w:name="pg12132_128199"/>
    </w:p>
    <w:p>
      <w:pPr>
        <w:pStyle w:val="Heading2"/>
        <w:numPr>
          <w:ilvl w:val="1"/>
          <w:numId w:val="1"/>
        </w:numPr>
        <w:rPr/>
      </w:pPr>
      <w:bookmarkStart w:id="453" w:name="__RefHeading___Toc3352870_417432637"/>
      <w:bookmarkStart w:id="454" w:name="_Toc156"/>
      <w:bookmarkEnd w:id="452"/>
      <w:bookmarkEnd w:id="453"/>
      <w:r>
        <w:rPr>
          <w:rtl w:val="true"/>
        </w:rPr>
        <w:t>تنبيهات</w:t>
      </w:r>
      <w:bookmarkEnd w:id="45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مانعاً عن العلم بفعلية التكليف لو كان إلى واحد معيّن ، كذلك يكون مانعاً لو كان إلى غير معيّن ، ضرورة أ نّه مطلقاً موجب لجواز ارتكاب أحد الأطراف أو تركه تعييناً أو تخييراً ، وهو ينافي العلم بحرمة المعلوم أو بوجوبه بينها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فرق بين أن يكون الاضطرار كذلك سابقاً على حدوث العلم أو لاحقاً ، وذلك لأنّ التكليف المعلوم بينها من أوّل الأمر كان محدوداً بعدم عروض الاضطرار إلى متعلّقه ؛ فلو عرض على بعض أطرافه لما كان التكليف به معلوماً ، لاحتمال أن يكون هو المضطرّ إليه فيما كان الاضطرار إلى المعيّن أو يكون هو المختار فيما كان إلى بعض الأطراف بلا 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إلى بعض الأطراف ليس إلاّ كفقد بعضها ؛ فكما لا إشكال في لزوم رعاية الاحتياط في الباقي مع الفقدان ، كذلك لا ينبغي الإشكال في لزوم رعايته مع الاضطرار ، فيجب الاجتناب عن الباقي أو ارتكابه خروجاً عن عهدة ما تنجّز عليه قبل عروضه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فقد المكلّف به ليس من حدود التكليف به وقيوده ، كان التكليف المتعلّق به مطلقاً ، فإذا اشتغلت الذمّة به كان قضيّة الاشتغال به يقيناً الفراغ عنه كذلك ، وهذا بخلاف الاضطرار إلى تركه ، فإنّه من حدود التكليف به وقيوده ، ولا يكون الاشتغال به من الأوّل إلاّ مقيّداً بعدم </w:t>
      </w:r>
    </w:p>
    <w:p>
      <w:pPr>
        <w:pStyle w:val="BookText"/>
        <w:rPr/>
      </w:pPr>
      <w:r>
        <w:rPr>
          <w:rFonts w:ascii="Amiri" w:hAnsi="Amiri" w:eastAsia="Amiri" w:cs="Amiri"/>
          <w:color w:val="111111"/>
          <w:sz w:val="28"/>
          <w:sz w:val="28"/>
          <w:szCs w:val="28"/>
          <w:rtl w:val="true"/>
          <w:lang w:bidi="ar-SA"/>
        </w:rPr>
        <w:t xml:space="preserve">عروضه ، فلا يقين باشتغال الذمّة بالتكليف به إلاّ إلى هذا الحدّ ، فلا يجب رعايته فيما بعده ولا يكون إلاّ من باب الاحتياط في الشبهة البدوية ، فافهم وتأمّل ، فإنّه دقيق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لمّا كان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الشيء إنّما هو لأجل أن يصير داعياً للمكلّف نحو تركه لو لم يكن له داع آخر ، ولا يكاد يكون ذلك إلاّ فيما يمكن عادةً ابتلاؤه به ؛ وأمّا ما لا ابتلاء به بحسبها ، فليس للنهي عنه موقع أصلاً ، ضرورة أ نّه بلا فائدة ولا طائل ، بل يكون من قبيل طلب الحاصل كان الابتلاء بجميع الأطراف ممّا لا بدّ منه في تأثير العلم ، فإنّه بدونه لا علم بتكليف فعلي لاحتمال تعلّق الخطاب بما لا ابتلاء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قد انقدح أنّ الملاك في الابتلاء المصحّح لفعلية الزجر وانقداح طلب تركه في نفس المولى فعلاً ، هو ما إذا صحّ انقداح الداعي إلى فعله في نفس العبد مع اطّلاعه على ما هو عليه من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ذلك كان المرجع هو البراءة لعدم القطع بالاشتغال ، لا إطلاق الخطاب ؛ ضرورة أ نّه لا مجال للتشبّث به إلاّ فيما إذا شكّ في التقييد بشيء بعد الفراغ عن صحّة الإطلاق بدونه ، لا فيما شكّ في اعتباره في صحّته ، تأمّل لعلّك تعرف إن شاء اللّه تعالى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عرفت أ نّه مع فعلية التكليف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تفاوت بين أن تكون أطرافه محصورة وأن تكون غير محصورة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يكون كثرة الأطراف في مورد موجبة لعسر موافقته القطعية باجتناب كلّها أو ارتكابه أو ضرر فيها أو غيرهما ممّا لا يكون معه التكليف فعلياً بعثاً أو زجراً فعلاً ، وليس بموجبة لذلك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نفسها ربما تكون موجبة لذلك ولو كانت قليلة في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ملاحظة ذاك الموجب لرفع فعلية التكليف المعلوم بالإجمال أ نّه يكون ، أو لا يكون في هذا المورد ، أو يكون مع كثرة أطرافه ، وملاحظة أ نّه مع أيّة مرتبة من كثرتها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عروض الموجب ، فالمتّبع هو إطلاق دليل التكليف لو كان ، وإلاّ فالبراءة لأجل الشكّ في التكليف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حقّ القول في المقام ، وما قيل في ضبط المحصور وغيره لا يخلو من الجزاف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إنّما يجب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الاحتياط في خصوص الأطراف ممّا يتوقّف على اجتنابه أو ارتكابه حصول العلم بإتيان الواجب أو ترك الحرام المعلومين في البين دون غيرها وإن كان حاله حال بعضها في كونه محكوماً بحكمه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ينقدح الحال في مسألة ملاقاة شيء مع أحد أطراف النجس المعلوم بالإجمال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 نّه تارةً يجب الاجتناب عن الملاقى دون ملاقيه فيما كانت الملاقاة </w:t>
      </w:r>
    </w:p>
    <w:p>
      <w:pPr>
        <w:pStyle w:val="BookText"/>
        <w:rPr/>
      </w:pPr>
      <w:r>
        <w:rPr>
          <w:rFonts w:ascii="Amiri" w:hAnsi="Amiri" w:eastAsia="Amiri" w:cs="Amiri"/>
          <w:color w:val="111111"/>
          <w:sz w:val="28"/>
          <w:sz w:val="28"/>
          <w:szCs w:val="28"/>
          <w:rtl w:val="true"/>
          <w:lang w:bidi="ar-SA"/>
        </w:rPr>
        <w:t xml:space="preserve">بعد العلم إجمالاً بالنجس بينها ، فإنّه إذا اجتنب عنه وطرفه اجتنب عن النجس في البين قطعاً ولو لم يجتنب عمّا يلاقيه ، فإنّه على تقدير نجاسته لنجاسته كان فرداً آخر من النجس قد شكّ في وجوده ، كشيء آخر شكّ في نجاسته بسبب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ظهر أ نّه لا مجال لتوهّم أنّ قضيّة تنجّز الاجتناب عن المعلوم هو الاجتناب عنه أيضاً ، ضرورة أنّ العلم به إنّما يوجب تنجّز الاجتناب عنه ، لا تنجّز الاجتناب عن فرد آخر لم يعلم حدوثه وإن احتمل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يجب الاجتناب عمّا لاقاه دونه فيما لو علم إجمالاً بنجاسته أو نجاسة شيء آخر ، ثمّ حدث العلم بالملاقاة والعلم بنجاسة الملاقى أو ذاك الشيء أيضاً ، فإنّ حال الملاقى في هذه الصورة بعينها حال ما لاقاه في الصورة السابقة في عدم كونه طرفاً للعلم الإجمالي وأ نّه فرد آخر على تقدير نجاسته واقعاً غير معلوم النجاسة أصلاً ، لا إجمالاً ولا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علم بالملاقاة ثمّ حدث العلم الإجمالي ، ولكن كان الملاقى خارجاً عن محلّ الابتلاء في حال حدوثه وصار مبتلى به بعده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يجب الاجتناب عنهما فيما لو حصل العلم الإجمالي بعد العلم بالملاقاة ، ضرورة أ نّه حينئذٍ نعلم إجمالاً إمّا بنجاسة الملاقي والملاقى أو بنجاسة الآخر كما لا يخفى ، فيتنجّز التكليف بالاجتناب عن النجس في البين وهو الواحد أو الاثنان </w:t>
      </w:r>
      <w:r>
        <w:rPr>
          <w:rFonts w:eastAsia="Amiri" w:cs="Amiri" w:ascii="Amiri" w:hAnsi="Amiri"/>
          <w:color w:val="111111"/>
          <w:sz w:val="28"/>
          <w:szCs w:val="28"/>
          <w:rtl w:val="true"/>
          <w:lang w:bidi="ar-SA"/>
        </w:rPr>
        <w:t xml:space="preserve">. </w:t>
      </w:r>
      <w:bookmarkStart w:id="455" w:name="pg12132_128203"/>
    </w:p>
    <w:p>
      <w:pPr>
        <w:pStyle w:val="Heading2"/>
        <w:numPr>
          <w:ilvl w:val="1"/>
          <w:numId w:val="1"/>
        </w:numPr>
        <w:rPr/>
      </w:pPr>
      <w:bookmarkStart w:id="456" w:name="__RefHeading___Toc3352872_417432637"/>
      <w:bookmarkStart w:id="457" w:name="_Toc157"/>
      <w:bookmarkEnd w:id="455"/>
      <w:bookmarkEnd w:id="456"/>
      <w:r>
        <w:rPr>
          <w:rtl w:val="true"/>
        </w:rPr>
        <w:t xml:space="preserve">المقام الثاني </w:t>
      </w:r>
      <w:r>
        <w:rPr>
          <w:rtl w:val="true"/>
        </w:rPr>
        <w:t xml:space="preserve">: </w:t>
      </w:r>
      <w:r>
        <w:rPr>
          <w:rtl w:val="true"/>
        </w:rPr>
        <w:t>في دوران الأمر بين الأقلّ والأكثر الارتباطيين</w:t>
      </w:r>
      <w:r>
        <w:rPr>
          <w:rtl w:val="true"/>
        </w:rPr>
        <w:t>(</w:t>
      </w:r>
      <w:r>
        <w:rPr/>
        <w:t>15</w:t>
      </w:r>
      <w:r>
        <w:rPr>
          <w:rtl w:val="true"/>
        </w:rPr>
        <w:t>)</w:t>
      </w:r>
      <w:bookmarkEnd w:id="457"/>
    </w:p>
    <w:p>
      <w:pPr>
        <w:pStyle w:val="BookText"/>
        <w:rPr/>
      </w:pPr>
      <w:r>
        <w:rPr>
          <w:rFonts w:ascii="Amiri" w:hAnsi="Amiri" w:eastAsia="Amiri" w:cs="Amiri"/>
          <w:color w:val="111111"/>
          <w:sz w:val="28"/>
          <w:sz w:val="28"/>
          <w:szCs w:val="28"/>
          <w:rtl w:val="true"/>
          <w:lang w:bidi="ar-SA"/>
        </w:rPr>
        <w:t xml:space="preserve">والحقّ أنّ العلم الإجمالي بثبوت التكليف بينهما أيضاً يوجب الاحتياط عقلا ً بإتيان الأكثر لتنجّزه به حيث تعلّق بثبوته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انحلاله إلى العلم بوجوب الأقلّ تفصيلاً والشكّ في وجوب الأكثر بدواً ، ضرورة لزوم الإتيان بالأقلّ لنفسه شرعاً أو لغيره كذلك أو عقلاً ، ومعه لا يوجب تنجّزه لو كان متعلّقاً بالأكثر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 قطعاً ، لاستلزام الانحلال المحال ، بداهة توقّف لزوم الأقلّ فعلاً إمّا لنفسه أو لغيره على تنجّز التكليف مطلقاً ولو كان متعلّقاً بالأكثر ، فلو كان لزومه كذلك مستلزماً لعدم تنجّزه إلاّ إذا كان متعلّقاً بالأقلّ كان خلفاً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يلزم من وجوده عدمه ، لاستلزامه عدم تنجّز التكليف على كلّ حال المستلزم لعدم لزوم الأقلّ مطلقاً المستلزم لعدم الانحلال ، وما يلزم من وجوده عدمه محال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ينحلّ إذا كان الأقلّ ذا مصلحة ملزمة ، فإنّ وجوبه حينئذٍ يكون معلوماً له ، وإنّما كان الترديد لاحتمال أن يكون الأكثر ذا مصلحتين أو مصلحة أقوى من مصلحة الأقلّ ، فالعقل في مثله وإن استقلّ بالبراءة بلا كلام إلاّ أ نّه خارج عمّا هو محلّ النقض والإبرام في المقام ،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الغرض الداعي إلى الأمر لا يكاد يحرز إلاّ بالأكثر بناءً على ما ذهب إليه المشهور من العدلية من تبعية الأوامر والنواهي للمصالح والمفاسد في المأمور بها والمنهيّ عنها ، وكون الواجبات الشرعية ألطافاً في الواجبات العقلية ، وقد مرّ اعتبار موافقة الغرض وحصوله عقلاً في إطاعة الأمر وسقوطه ، فلا بدّ من إحرازه في إحرازها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للتفصّي عنه تارةً بعدم ابتناء مسألة البراءة والاحتياط على ما ذهب إليه مشهور العدلية ، وجريانها على ما ذهب إليه الأشاعرة المنكرين لذلك ، أو بعض العدلية المكتفين بكون المصلحة في نفس الأمر دون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بأنّ حصول المصلحة واللطف في العبادات لا يكاد يكون إلاّ بإتيانها على وجه الامتثال ، وحينئذٍ كان لاحتمال اعتبار معرفة أجزائها تفصيلاً ليؤتى بها مع قصد الوجه مجال ، ومعه لا يكاد يقطع بحصول اللطف والمصلحة الداعية إلى الأمر ، فلم يبق إلاّ التخلّص عن تبعة مخالفته بإتيان ما علم تعلّقه به ، فإنّه واجب عقلاً وإن لم يكن في المأمور به مصلحة ولطف رأساً ، لتنجّزه بالعلم به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تبعة على مخالفته من جهته ، فإنّ العقوبة عليه بلا بيان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ضرورة أنّ حكم العقل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من ذهب إلى ما عليه المشهور من العدلية ، بل من ذهب إلى ما </w:t>
      </w:r>
    </w:p>
    <w:p>
      <w:pPr>
        <w:pStyle w:val="BookText"/>
        <w:rPr/>
      </w:pPr>
      <w:r>
        <w:rPr>
          <w:rFonts w:ascii="Amiri" w:hAnsi="Amiri" w:eastAsia="Amiri" w:cs="Amiri"/>
          <w:color w:val="111111"/>
          <w:sz w:val="28"/>
          <w:sz w:val="28"/>
          <w:szCs w:val="28"/>
          <w:rtl w:val="true"/>
          <w:lang w:bidi="ar-SA"/>
        </w:rPr>
        <w:t xml:space="preserve">عليه غير المشهور ، لاحتمال أن يكون الداعي إلى الأمر ومصلحته على هذا المذهب أيضاً هو ما في الواجبات من المصلحة وكونها ألطافاً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اللطف والمصلحة في العبادة وإن كان يتوقّف على الإتيان بها على وجه الامتثال ، إلاّ أ نّه لا مجال لاحتمال اعتبار معرفة الأجزاء وإتيانها على وجهها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إمكان الاحتياط هاهنا كما في المتباينين ، ولا يكاد يمكن مع اعتباره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وضوح بطلان احتمال اعتبار قصد الوجه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بالوجه في كلام من صرّح بوجوب إيقاع الواجب على وجهه ووجوب اقترانه به هو وجه نفسه من وجوبه النفسي ، لا وجه أجزائه من وجوبها الغيري أو وجوبها الغرضي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وإتيان الواجب مقترناً بوجهه غايةً ووصفاً بإتيان الأكثر بمكان من الإمكان ، لانطباق الواجب عليه ولو كان هو الأقلّ ، فيتأتّى من المكلّف معه قصد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اشتماله على ما ليس من أجزائه ليس بضائر إذا قصد وجوب المأتيّ على إجماله بلا تمييز ما له دخل في الواجب من أجزائه ، لا سيّما إذا دار الزائد بين كونه جزءاً لماهيته وجزءاً لفرده حيث ينطبق الواجب على المأتيّ حينئذٍ بتمامه وكماله ، لأنّ الطبيعي يصدق على الفرد بمشخّصاته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دار بين كونه جزءاً أو مقارناً ، لما كان منطبقاً عليه بتمامه لو لم يكن جزءاً ، لكنّه غير ضائر ، لانطباقه عليه أيضاً فيما لم يكن ذاك الزائد </w:t>
      </w:r>
    </w:p>
    <w:p>
      <w:pPr>
        <w:pStyle w:val="BookText"/>
        <w:rPr/>
      </w:pPr>
      <w:r>
        <w:rPr>
          <w:rFonts w:ascii="Amiri" w:hAnsi="Amiri" w:eastAsia="Amiri" w:cs="Amiri"/>
          <w:color w:val="111111"/>
          <w:sz w:val="28"/>
          <w:sz w:val="28"/>
          <w:szCs w:val="28"/>
          <w:rtl w:val="true"/>
          <w:lang w:bidi="ar-SA"/>
        </w:rPr>
        <w:t xml:space="preserve">جزءاً ، غايته لا بتمامه بل بسائر أجزائه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اعتبار قصد الوجه من رأس ممّا يقطع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الكلام في هذه المسألة لا يختصّ بما لا بدّ أن يؤتى به على وجه الامتثال من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لو قيل باعتبار قصد الوجه في الامتثال فيها على وجه ينافيه التردّد والاحتمال فلا وجه معه للزوم مراعاة الأمر المعلوم أصلاً ولو بإتيان الأقلّ لو لم يحصل الغرض ، وللزم الاحتياط بإتيان الأكثر مع حصوله ليحصل القطع بالفراغ بعد القطع بالاشتغال ، لاحتمال بقائه مع الأقلّ بسبب بقاء غرضه ، 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عموم مثل حديث الرفع قاضٍ برفع جزئية ما شكّ في جزئيته ؛ فبمثله يرتفع الإجمال والتردّد عمّا تردّد أمره بين الأقلّ والأكثر ، ويعيّنه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جزئية السورة المجهولة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بمجعولة ، وليس لها أثر مجعول ، والمرفوع بحديث الرفع إنّما هو المجعول بنفسه أو أثره ، ووجوب الإعادة إنّما هو أثر بقاء الأمر الأوّل بعد العلم ، مع أ نّه عقلي ، وليس إلاّ من باب وجوب الإطاعة عقلاً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 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الجزئية وإن كانت غير مجعولة بنفسها ، إلاّ أ نّها مجعولة بمنشأ انتزاعها ، وهذا كافٍ في صحّة رفعها </w:t>
      </w:r>
      <w:r>
        <w:rPr>
          <w:rFonts w:eastAsia="Amiri" w:cs="Amiri" w:ascii="Amiri" w:hAnsi="Amiri"/>
          <w:color w:val="111111"/>
          <w:sz w:val="28"/>
          <w:szCs w:val="28"/>
          <w:rtl w:val="true"/>
          <w:lang w:bidi="ar-SA"/>
        </w:rPr>
        <w:t xml:space="preserve">. </w:t>
      </w:r>
      <w:bookmarkStart w:id="458" w:name="pg12132_128207"/>
    </w:p>
    <w:p>
      <w:pPr>
        <w:pStyle w:val="BookText"/>
        <w:rPr/>
      </w:pPr>
      <w:bookmarkEnd w:id="458"/>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ارتفاع الأمر الانتزاعي برفع منشأ انتزاعه ، وهو الأمر الأوّل ، ولا دليل آخر على أمر آخر بالخالي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 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 ارتفاعه بارتفاع منشأ انتزاعه ، إلاّ أنّ نسبة حديث الرفع الناظر إلى الأدلّة الدالّة على بيان الأجزاء إليها نسبة الاستثناء ، وهو معها تكون دالّة على جزئيتها إلاّ مع الجهل بها كما لا يخفى ، فتدبّر جيّداً </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3352874_417432637"/>
      <w:bookmarkStart w:id="460" w:name="_Toc158"/>
      <w:bookmarkEnd w:id="459"/>
      <w:r>
        <w:rPr>
          <w:rtl w:val="true"/>
        </w:rPr>
        <w:t xml:space="preserve">وينبغي التنبيه على اُمور </w:t>
      </w:r>
      <w:r>
        <w:rPr>
          <w:rtl w:val="true"/>
        </w:rPr>
        <w:t>:</w:t>
      </w:r>
      <w:bookmarkEnd w:id="46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نّه ظهر ممّا مرّ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المشروط بشيء ومطلقه ، وبين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 لا مجال هاهنا للبراءة عقلاً ، بل كان الأمر فيهما أظهر ، فإنّ الانحلال المتوهّم في الأقلّ والأكثر لا يكاد يتوهّم هاهنا ، بداهة أنّ الأجزاء التحليلية لا تكاد تتّصف باللزوم من باب المقدّمة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مثلاً في ضمن الصلاة المشروطة أو الخاصّة موجودة بعين وجودها وفي ضمن صلاة اُخرى فاقدة لشرطها أو خصوصيتها تكون متباينة للمأمور بها ، كما لا يخفى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بأس بجريان البراءة النقلية في خصوص دوران الأمر بين المشروط وغيره ، دون الدوران بين الخاصّ وغيره ، لدلالة مثل حديث الرفع على عدم شرطية ما شكّ في شرطيته ؛ وليس كذلك خصوصية </w:t>
      </w:r>
    </w:p>
    <w:p>
      <w:pPr>
        <w:pStyle w:val="BookText"/>
        <w:rPr/>
      </w:pPr>
      <w:r>
        <w:rPr>
          <w:rFonts w:ascii="Amiri" w:hAnsi="Amiri" w:eastAsia="Amiri" w:cs="Amiri"/>
          <w:color w:val="111111"/>
          <w:sz w:val="28"/>
          <w:sz w:val="28"/>
          <w:szCs w:val="28"/>
          <w:rtl w:val="true"/>
          <w:lang w:bidi="ar-SA"/>
        </w:rPr>
        <w:t xml:space="preserve">الخاصّ ، فإنّها إنّما تكون منتزعة عن نفس الخاصّ ، فيكون الدوران بينه وغيره من قبيل الدوران بين المتباينين ،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يخفى أنّ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جزئية شيء أو شرطيته في حال نسيانه عقلاً ونقلاً ما ذكر في الشكّ في أصل الجزئية أو الشرطية ؛ فلو لا مثل حديث الرفع مطلقاً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لحكم عقلاً بلزوم إعادة ما أخلّ بجزئه أو شرطه نسياناً ، كما هو الحال فيما ثبت شرعاً جزئيته أو شرطيته مطلقاً ، نصّاً أو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أ نّه كما يمكن رفع الجزئية أو الشرطية في هذا الحال بمثل حديث الرفع ، كذلك يمكن تخصيصهما بهذا الحال بحسب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وجّه الخطاب على نحو يعمّ الذاكر والناسي بالخالي عمّا شكّ في دخله مطلقاً ، وقد دلّ دليل آخر على دخله في حقّ الذاكر ، أو وجّه إلى الناسي خطاب يخصّه بوجوب الخالي بعنوان آخر عامّ أو خاصّ ، لا بعنوان الناسي كي يلزم استحالة إيجاب ذلك عليه بهذا العنوان ، لخروجه عنه بتوجيه الخطاب إليه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لذلك استحالة تخصيص الجزئية أو الشرطية بحال الذكر وإيجاب العمل الخالي عن المنسيّ على الناسي ، فلا تغفل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نّه ظهر ممّا مرّ حال زيادة الجزء إذا شكّ في اعتبار عدمها شرطاً أو شطراً في الواجب مع عدم اعتباره في جزئيته وإلاّ لم يكن من </w:t>
      </w:r>
    </w:p>
    <w:p>
      <w:pPr>
        <w:pStyle w:val="BookText"/>
        <w:rPr/>
      </w:pPr>
      <w:r>
        <w:rPr>
          <w:rFonts w:ascii="Amiri" w:hAnsi="Amiri" w:eastAsia="Amiri" w:cs="Amiri"/>
          <w:color w:val="111111"/>
          <w:sz w:val="28"/>
          <w:sz w:val="28"/>
          <w:szCs w:val="28"/>
          <w:rtl w:val="true"/>
          <w:lang w:bidi="ar-SA"/>
        </w:rPr>
        <w:t xml:space="preserve">زيادته بل من نقصانه ، وذلك لاندراجه في الشكّ في دخل شيء فيه جزءاً أو شرطاً ، فيصحّ لو أتى به مع الزيادة عمداً تشريعاً ، أو جهلاً قصوراً ، أو تقصيراً ، أو سهواً وإن استقلّ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النقل بلزوم الاحتياط لقاعدة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عبادة وأتى به كذلك على نحو لو لم يكن للزائد دخل فيه لما يدعو إليه وجوبه ، لكان باطلاً مطلقاً ، أو في صورة عدم دخله فيه ، لعدم قصد الامتثال في هذه الصورة مع استقلال العقل بلزوم الإعادة مع اشتباه الحال لقاعدة الاشتغال ، وأمّا لو أتى به على نحو يدعوه إليه على أيّ حال ، كان صحيحاً ولو كان مشرّعاً في دخله الزائد فيه بنحو مع عدم علمه بدخله ، فإنّ تشريعه في تطبيق المأتيّ مع المأمور به ، وهو لا ينافي قصده الامتثال والتقرّب به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تمسّك لصحّة ما أتى به مع الزيادة باستصحاب الصحّة ، وهو لا يخلو من كلام ونقض وإبرام خارج عمّا هو المهمّ في المقام ، ويأتي تحقيقه في مبحث الاستصحاب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علم بجزئية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شرطيته في الجملة ودار بين أن يكون جزءاً أو شرطاً مطلقاً ولو في حال العجز عنه ، وبين أن يكون جزءاً أو شرطاً في خصوص حال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الأمر بالعجز عنه على الأوّل لعدم القدرة حينئذٍ على المأمور به ، لا على الثاني فيبقى متعلّقاً بالباقي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يكن هناك ما يعيّن أحد الأمرين من إطلاق دليل اعتباره جزءاً أو شرطاً ، أو إطلاق دليل المأمور به مع إجمال دليل اعتباره أو إهماله ، لاستقلّ العقل بالبراءة عن الباقي ، فإنّ العقاب على تركه بلا بيان والمؤاخذة عليه بلا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قضيّة مثل حديث الرفع عدم الجزئية أو الشرطية إلاّ في حال التمكّن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مجال هاهنا لمثله ، بداهة أ نّه ورد في مقام الامتنان ، فيختصّ بما يوجب نفي التكليف ، لا إثباته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الاستصحاب في بعض الصور وجوب الباقي في حال التعذّر أيضاً ، ولكنّه لا يكاد يصحّ إلاّ بناءً على صحّة القسم الثالث من استصحاب الكلّي ، أو على المسامحة في تعيين الموضوع في الاستصحاب وكان ما تعذّر ممّا يسامح به عرفاً بحيث يصدق مع تعذّره بقاء الوجوب لو قيل بوجوب الباقي ، وارتفاعه لو قيل بعدم وجوبه ، ويأتي تحقيق الكلام فيه في غير المقام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وجوب الباقي في الجملة ربما قيل بكونه مقتضى ما يستفاد من قوله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ودلالة الأوّل مبنيّة على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 لا بيانية ولا بمعنى الباء ، وظهورها في التبعيض وإن كان ممّا لا يكاد يخفى ، إلاّ أنّ كونه بحسب الأجزاء غير واضح ، لاحتمال أن يكون بلحاظ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فلا محيص عن أ نّه هاهنا بهذا اللحاظ يراد ، حيث ورد جواباً عن السؤال عن تكرار الحجّ بعد أمره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 نّه خطب رسول اللّه صلّى اللّه عليه وآله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كتب عليكم الحجّ ،فقام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سراقة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كلّ عام يا رسول اللّه؟ فأعرض عنه ، حتّى أعاد مرّتين أو ثلاثاً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يؤمنك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لوجب ، ولو وجب ما استطعتم ، ولو تركتم لكفرتم ، فاتركوني ما تركتم ، وإنّما هلك من كان قبلكم بكثرة سؤالهم واختلافهم إلى أنبيائهم ، فإذا أمرتكم بشيء فأتوا منه ما استطعتم ، وإذا نهيتكم عن شيء فاجتنبوه</w:t>
      </w:r>
      <w:r>
        <w:rPr>
          <w:rFonts w:eastAsia="Amiri" w:cs="Amiri" w:ascii="Amiri" w:hAnsi="Amiri"/>
          <w:color w:val="111111"/>
          <w:sz w:val="28"/>
          <w:szCs w:val="28"/>
          <w:rtl w:val="true"/>
          <w:lang w:bidi="ar-SA"/>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ظهر الإشكال في دلالة الثاني أيضاً ، حيث لم يظهر في عدم سقوط الميسور من الأجزاء بمعسورها ، لاحتمال إرادة عدم سقوط الميسور من أفراد العامّ بالمعسور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مضافاً إلى عدم دلالته على عدم السقوط لزوماً ؛ لعدم اختصاصه بالواجب ، ولا مجال معه لتوهّم دلالته على أ نّه بنحو اللزوم ، إلاّ أن يكون المراد عدم سقوطه بما له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كان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سقوطه عن المعسور بأن </w:t>
      </w:r>
    </w:p>
    <w:p>
      <w:pPr>
        <w:pStyle w:val="BookText"/>
        <w:rPr/>
      </w:pPr>
      <w:r>
        <w:rPr>
          <w:rFonts w:ascii="Amiri" w:hAnsi="Amiri" w:eastAsia="Amiri" w:cs="Amiri"/>
          <w:color w:val="111111"/>
          <w:sz w:val="28"/>
          <w:sz w:val="28"/>
          <w:szCs w:val="28"/>
          <w:rtl w:val="true"/>
          <w:lang w:bidi="ar-SA"/>
        </w:rPr>
        <w:t xml:space="preserve">يكون قضيّة الميسور كناية عن عدم سقوطه بحكمه ؛ حيث إنّ الظاهر من مثله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ما له من تكليف أو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 نّها عبارة عن عدم سقوطه بنفسه وبقائه على عهدة المكلّف ، كي لا يكون له دلالة على جريان القاعدة في المستحبّات على وجه ، أو لا يكون له دلالة على وجوب الميسور في الواجبات على آخر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فبعد تسليم ظهور الكلّ في المجموعي لا الأفرادي ، لا دلالة له إلاّ على رجحان الإتيان بباقي الفعل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 بعض أجزائه ، لظهور الموصول فيما يعمّهما ؛ وليس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لو سلّم موجباً لتخصيصه بالواجب لو لم يكن ظهوره في الأعمّ قرينة على إرادة خصوص الكراهة أو مطلق المرجوحية من النفي ؛ وكيف كان فليس ظاهراً في اللزوم هاهنا ولو قيل بظهوره فيه في غير المقام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حيث كان الملاك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الميسور هو صدق الميسور على الباقي عرفاً ، كانت القاعدة جارية مع تعذّر الشرط أيضاً لصدقه حقيقة عليه مع تعذّره عرفاً ، كصدقه عليه كذلك مع تعذّر الجزء في الجملة وإن كان فاقد الشرط مبايناً للواجد عقلاً ؛ ولأجل ذلك ربما لا يكون الباقي الفاقد لمعظم الأجزاء أو لركنها مورداً لها فيما إذا لم يصدق عليه الميسور </w:t>
      </w:r>
      <w:bookmarkStart w:id="461" w:name="pg12132_128213"/>
    </w:p>
    <w:p>
      <w:pPr>
        <w:pStyle w:val="BookText"/>
        <w:rPr/>
      </w:pPr>
      <w:bookmarkEnd w:id="461"/>
      <w:r>
        <w:rPr>
          <w:rFonts w:ascii="Amiri" w:hAnsi="Amiri" w:eastAsia="Amiri" w:cs="Amiri"/>
          <w:color w:val="111111"/>
          <w:sz w:val="28"/>
          <w:sz w:val="28"/>
          <w:szCs w:val="28"/>
          <w:rtl w:val="true"/>
          <w:lang w:bidi="ar-SA"/>
        </w:rPr>
        <w:t xml:space="preserve">عرفاً وإن كان غير مباين للواجد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يلحق به شرعاً ما لا يعدّ بميسور عرفاً تخطئةً للعرف ، وأنّ عدم العدّ كان لعدم الاطّلاع على ما هو عليه الفاقد من قيامه في هذا الحال بتمام ما قام عليه الواجد أو بمعظمه في غير الحال ، وإلاّ عدّ أ نّه ميسوره ، كما ربما يقوم الدليل على سقوط ميسور عرفي لذلك ، أي للتخطئة ، وأ نّه لا يقوم بشيء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ما لم يكن دليل على الإخراج أو الإلحاق كان المرجع هو الإطلاق ويستكشف منه أنّ الباقي قائم بما يكون المأمور به قائماً بتمامه أو بمقدار يوجب إيجابه في الواجب واستحبابه في المستحبّ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قام دليل على أحدهما فيخرج أو يدرج تخطئة أو تخصيصاً في الأوّل، وتشريكاً في الحكم من دون الاندراج في الموضوع في الثاني ، فافهم </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3352876_417432637"/>
      <w:bookmarkStart w:id="463" w:name="_Toc159"/>
      <w:bookmarkEnd w:id="462"/>
      <w:r>
        <w:rPr>
          <w:rtl w:val="true"/>
        </w:rPr>
        <w:t>تذنيب</w:t>
      </w:r>
      <w:bookmarkEnd w:id="46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 نّه إذا دار الأمر بين جزئية شيء أو شرطيته وبين مانعيته أو قاطعيته ، لكان من قبيل المتباينين ، ولا يكاد يكون من الدوران بين المحذورين ، لإمكان الاحتياط بإتيان العمل مرّتين ، مع ذاك الشيء مرّةً وبدونه اُخرى ، كما هو أوضح من أن يخفى </w:t>
      </w:r>
      <w:r>
        <w:rPr>
          <w:rFonts w:eastAsia="Amiri" w:cs="Amiri" w:ascii="Amiri" w:hAnsi="Amiri"/>
          <w:color w:val="111111"/>
          <w:sz w:val="28"/>
          <w:szCs w:val="28"/>
          <w:rtl w:val="true"/>
          <w:lang w:bidi="ar-SA"/>
        </w:rPr>
        <w:t xml:space="preserve">. </w:t>
      </w:r>
      <w:bookmarkStart w:id="464" w:name="pg12132_128214"/>
    </w:p>
    <w:p>
      <w:pPr>
        <w:pStyle w:val="Heading2"/>
        <w:numPr>
          <w:ilvl w:val="1"/>
          <w:numId w:val="1"/>
        </w:numPr>
        <w:rPr/>
      </w:pPr>
      <w:bookmarkStart w:id="465" w:name="__RefHeading___Toc3352878_417432637"/>
      <w:bookmarkStart w:id="466" w:name="_Toc160"/>
      <w:bookmarkEnd w:id="464"/>
      <w:bookmarkEnd w:id="465"/>
      <w:r>
        <w:rPr>
          <w:rtl w:val="true"/>
        </w:rPr>
        <w:t>خاتمة في شرائط الاُصول</w:t>
      </w:r>
      <w:bookmarkEnd w:id="466"/>
    </w:p>
    <w:p>
      <w:pPr>
        <w:pStyle w:val="BookText"/>
        <w:rPr/>
      </w:pPr>
      <w:r>
        <w:rPr>
          <w:rFonts w:ascii="Amiri" w:hAnsi="Amiri" w:eastAsia="Amiri" w:cs="Amiri"/>
          <w:color w:val="111111"/>
          <w:sz w:val="28"/>
          <w:sz w:val="28"/>
          <w:szCs w:val="28"/>
          <w:rtl w:val="true"/>
          <w:lang w:bidi="ar-SA"/>
        </w:rPr>
        <w:t>أمّا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يعتبر في حسنه شيء أصلاً ، بل يحسن على كلّ حال إلاّ إذا كان موجباً لاختلال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تفاوت فيه بين المعاملات والعبادات مطلقاً ولو كان موجباً للتكرار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 التكرار عبثاً ولعباً بأمر المولى وهو ينافي قصد الامتثال المعتبر في العبادة ، فاسد ؛ لوضوح أنّ التكرار ربما يكون بداعٍ صحيح عقلائي ؛ مع أ نّه لو لم يكن بهذا الداعي ، وكان أصل إتيانه بداعي أمر مولاه بلا داعٍ له سواه ، لما ينافي قصد الامتثال وإن كان لاغياً في كيفية امتثاله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يحسن أيضاً فيما قامت الحجّة على البراءة عن التكليف ، لئلاّ يقع فيما كان في مخالفته على تقدير ثبوته من المفسدة وفوت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يجوز إجراؤها إلاّ بعد الفحص واليأس عن الظفر بالحجّة على التكليف ، لما مرّت الإشارة إليه من عدم استقلال العقل بها إلاّ بعدهما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البراءة النقلية ، فقضيّة إطلاق أدلّتها ، وإن كان هو عدم اعتبار الفحص في جريانها ، كما هو حالها في الشبهات الموضوعية ، إلاّ أ نّه استدلّ على اعتباره بالإجماع ، وبالعقل ، فإنّه لا مجال لها بدونه </w:t>
      </w:r>
    </w:p>
    <w:p>
      <w:pPr>
        <w:pStyle w:val="BookText"/>
        <w:rPr/>
      </w:pPr>
      <w:r>
        <w:rPr>
          <w:rFonts w:ascii="Amiri" w:hAnsi="Amiri" w:eastAsia="Amiri" w:cs="Amiri"/>
          <w:color w:val="111111"/>
          <w:sz w:val="28"/>
          <w:sz w:val="28"/>
          <w:szCs w:val="28"/>
          <w:rtl w:val="true"/>
          <w:lang w:bidi="ar-SA"/>
        </w:rPr>
        <w:t xml:space="preserve">حيث يعلم إجمالاً بثبوت التكليف بين موارد الشبهات بحيث لو تفحّص عنه لظفر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الإجماع هاهنا غير حاصل ، ونقله لوهنه بلا طائل ، فإنّ تحصيله في مثل هذه المسألة ممّا للعقل إليه سبيل صعب لو لم يكن عادة بمستحيل ، لقوّة احتمال أن يكون المستند للجلّ لولا الكلّ هو ما ذكر من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الكلام في البراءة فيما لم يكن هناك علم موجب للتنجّز ، إمّا لانحلال العلم الإجمالي بالظفر بالمقدار المعلوم بالإجمال ، أو لعدم الابتلاء إلاّ بما لا يكون بينها علم بالتكليف من موارد الشبهات ولو لعدم الالتفات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الاستدلال للوجوب بما دلّ من الآيات والأخبار على وجوب التفقّه والتعلّم والمؤاخذة على ترك التعلّم في مقام الاعتذار عن عدم العمل بعدم العلم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فيقيّد بها أخبار البراءة ، لقوّة ظهورها في أنّ المؤاخذة والاحتجاج بترك التعلّم فيما لم يعلم ، لا بترك العمل فيما علم وجوبه ولو إجمالاً ، فلا مجال للتوفيق بحمل هذه الأخبار على ما إذا علم إجمالاً ، فافهم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اعتبار الفحص في التخيير العقلي أيضاً بعين ما ذكر في البراءة فلا تغفل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بصرف الكلام في بيان بعض ما للعمل بالبراءة قبل الفحص من التبعة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التبعة ، فلا شبهة في استحقاق العقوبة على المخالفة فيما إذا كان ترك التعلّم والفحص مؤدّياً إليها ، فإنّها وإن كانت مغفولة حينها وبلا اختيار إلاّ أ نّها منتهية إلى الاختيار ، وهو كافٍ في صحّة العقوبة ، بل مجرّد تركهما كافٍ في صحّتها وإن لم يكن مؤدّياً إلى المخالفة مع احتماله ، لأجل التجرّي وعدم المبالاة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يشكل في الواجب المشروط والموقّت لو أدّى تركهما قبل الشرط والوقت إلى المخالفة بعدهما ، فضلاً عمّا إذا لم يؤدّ إليها ، حيث لا يكون حينئذٍ تكليف فعلي أصلاً ، لا قبلهما وهو واضح ولا بعدهما وهو كذلك ؛ لعدم التمكّن منه بسبب الغفلة ولذا التجأ المحقّق الأردبيلي وصاحب المدارك قدّس سرّهما إلى الالتزام بوجوب التفقّه والتعلّم نفسياً تهيّؤياً فتكون العقوبة على ترك التعلّم نفسه ، لا على ما أدّى إليه من المخالفة ، فلا إشكال حينئذٍ في المشروط والموقّت ، ويسهل بذلك الأمر في غيرهما لو صعب على أحد ولم تصدّق كفاية الانتهاء إلى الاختيار في استحقاق العقوبة على ما كان فعلاً مغفولاً عنه وليس بالاختيار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 نّه لا يكاد ينحلّ هذا الإشكال إلاّ بذلك أو الالتزام بكون المشروط أو الموقّت مطلقاً معلّقاً ، لكنّه قد اعتبر على نحو لا يتّصف </w:t>
      </w:r>
    </w:p>
    <w:p>
      <w:pPr>
        <w:pStyle w:val="BookText"/>
        <w:rPr/>
      </w:pPr>
      <w:r>
        <w:rPr>
          <w:rFonts w:ascii="Amiri" w:hAnsi="Amiri" w:eastAsia="Amiri" w:cs="Amiri"/>
          <w:color w:val="111111"/>
          <w:sz w:val="28"/>
          <w:sz w:val="28"/>
          <w:szCs w:val="28"/>
          <w:rtl w:val="true"/>
          <w:lang w:bidi="ar-SA"/>
        </w:rPr>
        <w:t xml:space="preserve">مقدّماته الوجودية عقلاً بالوجوب قبل الشرط أو الوقت غير التعلّم ، فيكون الإيجاب حالياً وإن كان الواجب استقبالياً قد اُخذ على نحو لا يكاد يتّصف بالوجوب شرطه ولا غير التعلّم من مقدّماته قبل شرطه أو 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قيل بعدم الإيجاب إلاّ بعد الشرط والوقت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الأدلّة وفتاوى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الالتزام بكون وجوب التعلّم نفسياً ، لتكون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تركه ، لا على ما أدّى إليه من المخالفة ، ولا بأس به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ما يظهر من الأخبار من كون وجوب التعلّم إنّما هو لغيره لا لنفسه ، حيث إنّ وجوبه لغيره لا يوجب كونه واجباً غيرياً يترشّح وجوبه من وجوب غيره ، فيكون مقدّمياً ، بل للتهيّؤ لإيجابه ، فافهم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الأحكام ، فلا إشكال في وجوب الإعادة في صورة المخالفة بل في صورة الموافقة أيضاً في العبادة فيما لا يتأتّى منه قصد القربة ، وذلك لعدم الإتيان بالمأمور به ، مع عدم دليل على الصحّة والإجزاء إلاّ في الإتمام في موضع القصر أو الإجهار أو الإخفات في موضع الآخر ، فورد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أفتى 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الصلاة وتماميتها في الموضعين مع الجهل مطلقاً ، ولو كان عن تقصير موجب لاستحقاق العقوبة على ترك الصلاة المأمور بها ، لأنّ ما اُتي بها وإن </w:t>
      </w:r>
    </w:p>
    <w:p>
      <w:pPr>
        <w:pStyle w:val="BookText"/>
        <w:rPr/>
      </w:pPr>
      <w:r>
        <w:rPr>
          <w:rFonts w:ascii="Amiri" w:hAnsi="Amiri" w:eastAsia="Amiri" w:cs="Amiri"/>
          <w:color w:val="111111"/>
          <w:sz w:val="28"/>
          <w:sz w:val="28"/>
          <w:szCs w:val="28"/>
          <w:rtl w:val="true"/>
          <w:lang w:bidi="ar-SA"/>
        </w:rPr>
        <w:t xml:space="preserve">صحّت وتمّت إلاّ أ نّها ليست بمأمور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بصحّتها مع عدم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يصحّ الحكم باستحقاق العقوبة على ترك الصلاة التي اُمر بها حتّى فيما إذا تمكّن ممّا اُمر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إطلاقاتهم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بوجوب القصر أو الجهر بعد الإتمام والإخفات وقد بقي من الوقت مقدار إعادتها قصراً أو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 نّه لا تقصير هاهنا يوجب استحقاق 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كيف يحكم بالصحّة بدون الأمر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يحكم باستحقاق العقوبة مع التمكّن من الإعادة لولا الحكم شرعاً بسقوطها وصحّة ما اُتي بها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حكم بالصحّة لأجل اشتمالها على مصلحة تامّة لازمة الاستيفاء في نفسها مهمّة في حدّ ذاتها وإن كانت دون مصلحة الجهر والقصر ، وإنّما لم يؤمر بها لأجل أ نّه اُمر بما كانت واجدة لتلك المصلحة على النحو الأكمل والأتمّ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باستحقاق العقوبة مع التمكّن من الإعادة ، فإنّها بلا فائدة ، إذ مع استيفاء تلك المصلحة لا يبقى مجال لاستيفاء المصلحة التي كانت في المأمور بها ، ولذا لو أتى بها في موضع الآخر جهلاً مع تمكّنه من التعلّم فقد قصّر ولو علم بعده وقد وسع الوقت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فانقدح أ نّه لا يتمكّن من صلاة القصر صحيحة بعد فعل صلاة الإتمام ، </w:t>
      </w:r>
    </w:p>
    <w:p>
      <w:pPr>
        <w:pStyle w:val="BookText"/>
        <w:rPr/>
      </w:pPr>
      <w:r>
        <w:rPr>
          <w:rFonts w:ascii="Amiri" w:hAnsi="Amiri" w:eastAsia="Amiri" w:cs="Amiri"/>
          <w:color w:val="111111"/>
          <w:sz w:val="28"/>
          <w:sz w:val="28"/>
          <w:szCs w:val="28"/>
          <w:rtl w:val="true"/>
          <w:lang w:bidi="ar-SA"/>
        </w:rPr>
        <w:t xml:space="preserve">ولا من الجهر كذلك بعد فعل صلاة الإخفات وإن كان الوقت باقياً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يكون كلّ منهما في موضع الآخر سبباً لتفويت الواجب فعلاً ، وما هو السبب لتفويت الواجب كذلك حرام ، وحرمة العبادة موجبة لفسادها بلا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سبباً لذلك ، غايته أ نّه يكون مضادّاً له ، وقد حقّقنا في محلّه أنّ الضدّ وعدم ضدّه متلازمان ليس بينهما توقّف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فلو صلّى تماماً أو صلّى إخفاتاً في موضع القصر والجهر مع العلم بوجوبهما في موضعهما لكانت صلاته صحيحة وإن عوقب على مخالفة الأمر بالقصر أو الجهر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بالقول به لو دلّ دليل على أ نّها تكون مشتملة على المصلحة ولو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اختصاص أن يكون كذلك في صورة الجهل ، ولا بعد أصلاً في اختلاف الحال فيها باختلاف حالتي العلم بوجوب شيء والجهل به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صار بعض الفحول بصدد بيان إمكان كون المأتيّ في غير موضعه مأموراً به بنحو 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حقّقنا في مبحث الضدّ امتناع الأمر بالضدّين مطلقاً ولو بنحو الترتّب بما لا مزيد عليه ، فلا نعيد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ذكر لأصل البراءة شرطان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لا يكون موجباً </w:t>
      </w:r>
    </w:p>
    <w:p>
      <w:pPr>
        <w:pStyle w:val="BookText"/>
        <w:rPr/>
      </w:pPr>
      <w:r>
        <w:rPr>
          <w:rFonts w:ascii="Amiri" w:hAnsi="Amiri" w:eastAsia="Amiri" w:cs="Amiri"/>
          <w:color w:val="111111"/>
          <w:sz w:val="28"/>
          <w:sz w:val="28"/>
          <w:szCs w:val="28"/>
          <w:rtl w:val="true"/>
          <w:lang w:bidi="ar-SA"/>
        </w:rPr>
        <w:t xml:space="preserve">لثبوت حكم شرعي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أن لا يكون موجباً للضرر على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أصالة البراءة عقلاً ونقلاً في الشبهة البدوية بعد الفحص لا محالة تكون جاريةً ، وعدم استحقاق العقوبة الثابت بالبراءة العقلية والإباحة أو رفع التكليف الثابت بالبراءة النقلية لو كان موضوعاً لحكم شرعي أو ملازماً له فلا محيص عن ترتّبه عليه بعد إحرازه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مترتّباً عليه بل على نفي التكليف واقعاً فهي وإن كانت جارية إلاّ أنّ ذاك الحكم لا يترتّب ، لعدم ثبوت ما يترتّب عليه بها ؛ وهذا ليس بالاشتراط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أن لا يكون موجباً للضرر ، فكلّ مقام تعمّه قاعدة نفي الضرر وإن لم يكن مجال فيه لأصالة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حالها مع سائر القواعد الثابتة بالأدلّة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 نّه حقيقةً لا يبقى لها موردٌ بداهة أنّ الدليل</w:t>
      </w:r>
    </w:p>
    <w:p>
      <w:pPr>
        <w:pStyle w:val="BookText"/>
        <w:rPr/>
      </w:pPr>
      <w:r>
        <w:rPr>
          <w:rFonts w:ascii="Amiri" w:hAnsi="Amiri" w:eastAsia="Amiri" w:cs="Amiri"/>
          <w:color w:val="111111"/>
          <w:sz w:val="28"/>
          <w:sz w:val="28"/>
          <w:szCs w:val="28"/>
          <w:rtl w:val="true"/>
          <w:lang w:bidi="ar-SA"/>
        </w:rPr>
        <w:t xml:space="preserve">الاجتهادي يكون بياناً وموجباً للعلم بالتكليف ولو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من الاشتراط ذلك فلا بدّ من اشتراط أن لا يكون على خلافها دليل اجتهادي ، لا خصوص قاعدة الضرر ، فتدبّر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على كلّ حال </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الكريمة</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w:t>
      </w:r>
    </w:p>
    <w:p>
      <w:pPr>
        <w:pStyle w:val="BookText"/>
        <w:rPr/>
      </w:pPr>
      <w:r>
        <w:rPr>
          <w:rFonts w:ascii="Amiri" w:hAnsi="Amiri" w:eastAsia="Amiri" w:cs="Amiri"/>
          <w:color w:val="111111"/>
          <w:sz w:val="28"/>
          <w:sz w:val="28"/>
          <w:szCs w:val="28"/>
          <w:rtl w:val="true"/>
          <w:lang w:bidi="ar-SA"/>
        </w:rPr>
        <w:t>اسْتَطَاعَ إِلَيْهِ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بِرُؤوسِكُمْ وَأَرْجُلَكُمْ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أَيْدِيَهُما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w:t>
      </w:r>
    </w:p>
    <w:p>
      <w:pPr>
        <w:pStyle w:val="BookText"/>
        <w:rPr/>
      </w:pP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w:t>
      </w:r>
    </w:p>
    <w:p>
      <w:pPr>
        <w:pStyle w:val="BookText"/>
        <w:rPr/>
      </w:pP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مُعَذِّبِينَ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لِدُلُوكِ الشَّمْسِ إِلَى</w:t>
      </w:r>
    </w:p>
    <w:p>
      <w:pPr>
        <w:pStyle w:val="BookText"/>
        <w:rPr/>
      </w:pPr>
      <w:r>
        <w:rPr>
          <w:rFonts w:ascii="Amiri" w:hAnsi="Amiri" w:eastAsia="Amiri" w:cs="Amiri"/>
          <w:color w:val="111111"/>
          <w:sz w:val="28"/>
          <w:sz w:val="28"/>
          <w:szCs w:val="28"/>
          <w:rtl w:val="true"/>
          <w:lang w:bidi="ar-SA"/>
        </w:rPr>
        <w:t>غَسَقِ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فِى اللّه‌ِ حَقَّ جِهادِهِ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فِى الدِّينِ مِنْ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وَالزَّانِى فَاجْلِدُوا كُلَّ وَاحِدٍ</w:t>
      </w:r>
    </w:p>
    <w:p>
      <w:pPr>
        <w:pStyle w:val="BookText"/>
        <w:rPr/>
      </w:pPr>
      <w:r>
        <w:rPr>
          <w:rFonts w:ascii="Amiri" w:hAnsi="Amiri" w:eastAsia="Amiri" w:cs="Amiri"/>
          <w:color w:val="111111"/>
          <w:sz w:val="28"/>
          <w:sz w:val="28"/>
          <w:szCs w:val="28"/>
          <w:rtl w:val="true"/>
          <w:lang w:bidi="ar-SA"/>
        </w:rPr>
        <w:t>مِنْهُمَا مِائَةَ جَلْدَةٍ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بِنَبَأٍ فَتَبَيَّنُوا أَنْ</w:t>
      </w:r>
    </w:p>
    <w:p>
      <w:pPr>
        <w:pStyle w:val="BookText"/>
        <w:rPr/>
      </w:pPr>
      <w:r>
        <w:rPr>
          <w:rFonts w:ascii="Amiri" w:hAnsi="Amiri" w:eastAsia="Amiri" w:cs="Amiri"/>
          <w:color w:val="111111"/>
          <w:sz w:val="28"/>
          <w:sz w:val="28"/>
          <w:szCs w:val="28"/>
          <w:rtl w:val="true"/>
          <w:lang w:bidi="ar-SA"/>
        </w:rPr>
        <w:t>تُصِيبُوا قَوْماً بِجَهَالَةٍ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ذُوسَعَةٍ مِنْ سَعَتِهِ وَمَنْ قُدِرَ</w:t>
      </w:r>
    </w:p>
    <w:p>
      <w:pPr>
        <w:pStyle w:val="BookText"/>
        <w:rPr/>
      </w:pPr>
      <w:r>
        <w:rPr>
          <w:rFonts w:ascii="Amiri" w:hAnsi="Amiri" w:eastAsia="Amiri" w:cs="Amiri"/>
          <w:color w:val="111111"/>
          <w:sz w:val="28"/>
          <w:sz w:val="28"/>
          <w:szCs w:val="28"/>
          <w:rtl w:val="true"/>
          <w:lang w:bidi="ar-SA"/>
        </w:rPr>
        <w:t>عَلَيْهِ رِزْقُهُ فَلْيُنْفِقْ مِمَّا آتَاهُ اللّه‌ُ لاَ</w:t>
      </w:r>
    </w:p>
    <w:p>
      <w:pPr>
        <w:pStyle w:val="BookText"/>
        <w:rPr/>
      </w:pPr>
      <w:r>
        <w:rPr>
          <w:rFonts w:ascii="Amiri" w:hAnsi="Amiri" w:eastAsia="Amiri" w:cs="Amiri"/>
          <w:color w:val="111111"/>
          <w:sz w:val="28"/>
          <w:sz w:val="28"/>
          <w:szCs w:val="28"/>
          <w:rtl w:val="true"/>
          <w:lang w:bidi="ar-SA"/>
        </w:rPr>
        <w:t>يُكَلِّفُ اللّه‌ُ نَفْساً إِلاَّ مَا آتَاهَا سَيَجْعَلُ</w:t>
      </w:r>
    </w:p>
    <w:p>
      <w:pPr>
        <w:pStyle w:val="BookText"/>
        <w:rPr/>
      </w:pPr>
      <w:r>
        <w:rPr>
          <w:rFonts w:ascii="Amiri" w:hAnsi="Amiri" w:eastAsia="Amiri" w:cs="Amiri"/>
          <w:color w:val="111111"/>
          <w:sz w:val="28"/>
          <w:sz w:val="28"/>
          <w:szCs w:val="28"/>
          <w:rtl w:val="true"/>
          <w:lang w:bidi="ar-SA"/>
        </w:rPr>
        <w:t>اللّه‌ُ بَعْدَ عُسْرٍ 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فَليُنْفِقْ مِمَّا آتَاهُ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الشريفة</w:t>
      </w:r>
    </w:p>
    <w:p>
      <w:pPr>
        <w:pStyle w:val="BookText"/>
        <w:rPr/>
      </w:pPr>
      <w:r>
        <w:rPr>
          <w:rFonts w:ascii="Amiri" w:hAnsi="Amiri" w:eastAsia="Amiri" w:cs="Amiri"/>
          <w:color w:val="111111"/>
          <w:sz w:val="28"/>
          <w:sz w:val="28"/>
          <w:szCs w:val="28"/>
          <w:rtl w:val="true"/>
          <w:lang w:bidi="ar-SA"/>
        </w:rPr>
        <w:t xml:space="preserve">أخوك دينك فاحتطْ لدينك بما شئت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إذا استيقن أ نّه زاد في صلاته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إذا استيقن أ نّه زاد في صلاته المكتوبة لم يعتدّ بها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إذا أمرتكم بشيء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إذا بلغ الماء قدر كُرّ لا ينجّسه شيء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إذا بلغ الماء قدر كرّ لم يحمل خبثاً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اغسل ثوبك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ألا وإنّ طلب العلم أوجب عليكم من طلب المال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الالتفات إذا كان بكلّه يقطع الصلاة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أنّ الغصب كلّه مردود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إنّ الفأرة أهون عليّ من أن أترك طعامي لأجلها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إنّ اللّه تعالى سكت عن أشياء لم يسكت عنها نسياناً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إنّ اللّه حرّم الميتة من كلّ شيءٍ </w:t>
      </w:r>
      <w:r>
        <w:rPr>
          <w:rFonts w:eastAsia="Amiri" w:cs="Amiri" w:ascii="Amiri" w:hAnsi="Amiri"/>
          <w:color w:val="111111"/>
          <w:sz w:val="28"/>
          <w:szCs w:val="28"/>
          <w:lang w:bidi="ar-SA"/>
        </w:rPr>
        <w:t>240</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أمير المؤمنين علیه السلام سئل عن سُفرة وجدت في الطريق مطروحة </w:t>
      </w:r>
      <w:r>
        <w:rPr>
          <w:rFonts w:eastAsia="IRNazanin" w:cs="IRNazanin"/>
          <w:color w:val="111111"/>
          <w:sz w:val="28"/>
          <w:szCs w:val="28"/>
          <w:rtl w:val="true"/>
          <w:lang w:bidi="fa-IR"/>
        </w:rPr>
        <w:t xml:space="preserve">. .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كان خلط الحلال بالحرام ، فاختلطا جميعاً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إنّما يهلك الناس لأ نّهم لا يسألون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إنّها زيادة في المكتوبة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تفقّهوا في الدين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تفقّهوا في الدين ، فإنّه من لم يتفقّه منكم في الدين فهو أعرابي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خذ معالم دينك من فلان ، وأنّ ما يؤدّي عنّي فعنّي يؤدّي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رفع عن اُمّتي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النسيان ، وما استكرهوا عليه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رُفع عن اُمّتي تسعة أشياء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رفع عن اُمّتي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السجدة زيادة في المكتوبة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السجود زيادة في المكتوبة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السنّة لا تنقض الفريضة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الصلاة لا تُترك بحال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فشكُّك ليس بشيء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فهو موضوع عنهم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القراءة سنّة ، والتشهّد سنّة ، ولا تنقض السنّة الفريضة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كلّ شيء طاهر حتّى تعلم أ نّه قذر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كلّ شيء فيه حلال وحرام فهو لك حلال </w:t>
      </w:r>
      <w:r>
        <w:rPr>
          <w:rFonts w:eastAsia="Amiri" w:cs="Amiri" w:ascii="Amiri" w:hAnsi="Amiri"/>
          <w:color w:val="111111"/>
          <w:sz w:val="28"/>
          <w:szCs w:val="28"/>
          <w:lang w:bidi="ar-SA"/>
        </w:rPr>
        <w:t>165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شيء فيه حلال وحرام فهو لك حلال ، حتّى تعرف الحرام بعينه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كلّ شيء لك حلال حتّى تعرف الحرام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كلّ شيء لك حلال حتّى تعرف الحرام بعينه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كلّ شيء لك حلال حتّى تعرف أ نّه حرام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كلّ شيء لك حلال حتّى تعرف أنّه حرام بعينه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كلّ شيء مطلق حتّى يرد فيه نهي أو أمر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كلّ ما حجب اللّه‌ُ علمَه عن العباد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لا بأس به حتّى يعرف الحرام بعينه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لا تُصلِّ فيما لا يؤكل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لا تصلّ في وَبَر ما لا يُؤكل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 والوقت ، والقبلة ، والركوع ، والسجود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لا يترك كلّه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لا يحلّ لأحدٍ أن يتصرّف في مال غيره بغير إذنه </w:t>
      </w:r>
      <w:r>
        <w:rPr>
          <w:rFonts w:eastAsia="Amiri" w:cs="Amiri" w:ascii="Amiri" w:hAnsi="Amiri"/>
          <w:color w:val="111111"/>
          <w:sz w:val="28"/>
          <w:szCs w:val="28"/>
          <w:lang w:bidi="ar-SA"/>
        </w:rPr>
        <w:t>253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يحِلّ مال إلاّ من حيثُ ما أحلّه اللّه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يحِلُّ مالُ امرِئ إلاّ بطيب نفسه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لا يدرك كلّه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لا يقطع الصلاة إلاّ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الخلاء ، والبول ، والريح ، والصوت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لا ينقض اليقين بالشكّ ، ولكن ينقضه بيقين مثله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لم ينجّسه شيء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الماء كلّه طاهر حتّى تعلم أ نّه قذر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ما استطعتم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ما استكرهوا عليه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ما حجب اللّه علمه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ما لا يدرك كلّه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من بلغ </w:t>
      </w:r>
      <w:r>
        <w:rPr>
          <w:rFonts w:eastAsia="IRNazanin" w:cs="IRNazanin"/>
          <w:color w:val="111111"/>
          <w:sz w:val="28"/>
          <w:szCs w:val="28"/>
          <w:rtl w:val="true"/>
          <w:lang w:bidi="fa-IR"/>
        </w:rPr>
        <w:t xml:space="preserve">. .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 xml:space="preserve">. . .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من زاد في صلاته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من زاد في صلاته فعليه الإعادة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في سعة ما لا يعلمون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يكن المؤدّى عنّي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ولكنّه ينقض الشكّ باليقين ، ويتمّ على اليقين ، فيبني عليه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ويحك ، ما يؤمنك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لوجب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هذا وأشباهه يعرف من كتاب اللّه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هو موضوع عنهم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يعرف هذا وأشباهه من كتاب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امسح على المرارة </w:t>
      </w:r>
      <w:r>
        <w:rPr>
          <w:rFonts w:eastAsia="Amiri" w:cs="Amiri" w:ascii="Amiri" w:hAnsi="Amiri"/>
          <w:color w:val="111111"/>
          <w:sz w:val="28"/>
          <w:szCs w:val="28"/>
          <w:lang w:bidi="ar-SA"/>
        </w:rPr>
        <w:t>291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عملت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أسماء المعصومين علیهم السلام</w:t>
      </w:r>
    </w:p>
    <w:p>
      <w:pPr>
        <w:pStyle w:val="BookText"/>
        <w:rPr/>
      </w:pPr>
      <w:r>
        <w:rPr>
          <w:rFonts w:ascii="Amiri" w:hAnsi="Amiri" w:eastAsia="Amiri" w:cs="Amiri"/>
          <w:color w:val="111111"/>
          <w:sz w:val="28"/>
          <w:sz w:val="28"/>
          <w:szCs w:val="28"/>
          <w:rtl w:val="true"/>
          <w:lang w:bidi="ar-SA"/>
        </w:rPr>
        <w:t xml:space="preserve">النبي، محمّد،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رحمهما اللّه ، نبي الإسلام</w:t>
      </w:r>
    </w:p>
    <w:p>
      <w:pPr>
        <w:pStyle w:val="BookText"/>
        <w:rPr/>
      </w:pPr>
      <w:r>
        <w:rPr>
          <w:rFonts w:ascii="Amiri" w:hAnsi="Amiri" w:eastAsia="Amiri" w:cs="Amiri"/>
          <w:color w:val="111111"/>
          <w:sz w:val="28"/>
          <w:sz w:val="28"/>
          <w:szCs w:val="28"/>
          <w:rtl w:val="true"/>
          <w:lang w:bidi="ar-SA"/>
        </w:rPr>
        <w:t xml:space="preserve">محمّد بن عبداللّه رحمهما اللّه ، نبي الإسلام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أبو عبداللّه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علیه السلام ، الإمام الثالث</w:t>
      </w:r>
    </w:p>
    <w:p>
      <w:pPr>
        <w:pStyle w:val="BookText"/>
        <w:rPr/>
      </w:pPr>
      <w:r>
        <w:rPr>
          <w:rFonts w:ascii="IRNazanin" w:hAnsi="IRNazanin" w:eastAsia="IRNazanin"/>
          <w:color w:val="111111"/>
          <w:sz w:val="28"/>
          <w:sz w:val="28"/>
          <w:szCs w:val="28"/>
          <w:rtl w:val="true"/>
          <w:lang w:bidi="fa-IR"/>
        </w:rPr>
        <w:t xml:space="preserve">الحسين بن علي علیه السلام ، الإمام الثالث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الصادق،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 الإمام السابع</w:t>
      </w:r>
    </w:p>
    <w:p>
      <w:pPr>
        <w:pStyle w:val="BookText"/>
        <w:rPr/>
      </w:pPr>
      <w:r>
        <w:rPr>
          <w:rFonts w:ascii="IRNazanin" w:hAnsi="IRNazanin" w:eastAsia="IRNazanin"/>
          <w:color w:val="111111"/>
          <w:sz w:val="28"/>
          <w:sz w:val="28"/>
          <w:szCs w:val="28"/>
          <w:rtl w:val="true"/>
          <w:lang w:bidi="fa-IR"/>
        </w:rPr>
        <w:t xml:space="preserve">موسى بن جعفر علیه السلام ، الإمام السابع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موسى علیه السلام ، الإمام الثامن</w:t>
      </w:r>
    </w:p>
    <w:p>
      <w:pPr>
        <w:pStyle w:val="BookText"/>
        <w:rPr/>
      </w:pPr>
      <w:r>
        <w:rPr>
          <w:rFonts w:ascii="IRNazanin" w:hAnsi="IRNazanin" w:eastAsia="IRNazanin"/>
          <w:color w:val="111111"/>
          <w:sz w:val="28"/>
          <w:sz w:val="28"/>
          <w:szCs w:val="28"/>
          <w:rtl w:val="true"/>
          <w:lang w:bidi="fa-IR"/>
        </w:rPr>
        <w:t xml:space="preserve">علي بن موسى علیه السلام ، الإمام الثامن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وليّ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الثاني عشر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أبان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ابن إدريس، محمّد بن أحمد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ابن الطيّار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ابن زهرة، حمزة بن علي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p>
    <w:p>
      <w:pPr>
        <w:pStyle w:val="BookText"/>
        <w:rPr/>
      </w:pPr>
      <w:r>
        <w:rPr>
          <w:rFonts w:ascii="Amiri" w:hAnsi="Amiri" w:eastAsia="Amiri" w:cs="Amiri"/>
          <w:color w:val="111111"/>
          <w:sz w:val="28"/>
          <w:sz w:val="28"/>
          <w:szCs w:val="28"/>
          <w:rtl w:val="true"/>
          <w:lang w:bidi="ar-SA"/>
        </w:rPr>
        <w:t xml:space="preserve">ابن سينا، الحسين بن عبداللّه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أبو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المثنّى</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343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الأردبيلي، أحمد بن محمّد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الأصفهاني، محمّد تقي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الأصفهاني، محمّد حسين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البهبهاني، محمّد باقر بن محمّد أكمل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 علي</w:t>
      </w:r>
    </w:p>
    <w:p>
      <w:pPr>
        <w:pStyle w:val="BookText"/>
        <w:rPr/>
      </w:pPr>
      <w:r>
        <w:rPr>
          <w:rFonts w:ascii="Amiri" w:hAnsi="Amiri" w:eastAsia="Amiri" w:cs="Amiri"/>
          <w:color w:val="111111"/>
          <w:sz w:val="28"/>
          <w:sz w:val="28"/>
          <w:szCs w:val="28"/>
          <w:rtl w:val="true"/>
          <w:lang w:bidi="ar-SA"/>
        </w:rPr>
        <w:t xml:space="preserve">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 xml:space="preserve">بعض أعاظم فنّ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 هادي بن مهدي</w:t>
      </w:r>
    </w:p>
    <w:p>
      <w:pPr>
        <w:pStyle w:val="BookText"/>
        <w:rPr/>
      </w:pPr>
      <w:r>
        <w:rPr>
          <w:rFonts w:ascii="Amiri" w:hAnsi="Amiri" w:eastAsia="Amiri" w:cs="Amiri"/>
          <w:color w:val="111111"/>
          <w:sz w:val="28"/>
          <w:sz w:val="28"/>
          <w:szCs w:val="28"/>
          <w:rtl w:val="true"/>
          <w:lang w:bidi="ar-SA"/>
        </w:rPr>
        <w:t xml:space="preserve">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 xml:space="preserve">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 xml:space="preserve">بعض علماء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 xml:space="preserve">بعض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محمّد تقي </w:t>
      </w:r>
    </w:p>
    <w:p>
      <w:pPr>
        <w:pStyle w:val="BookText"/>
        <w:rPr/>
      </w:pPr>
      <w:r>
        <w:rPr>
          <w:rFonts w:ascii="Amiri" w:hAnsi="Amiri" w:eastAsia="Amiri" w:cs="Amiri"/>
          <w:color w:val="111111"/>
          <w:sz w:val="28"/>
          <w:sz w:val="28"/>
          <w:szCs w:val="28"/>
          <w:rtl w:val="true"/>
          <w:lang w:bidi="ar-SA"/>
        </w:rPr>
        <w:t xml:space="preserve">بعض محقّقي محشّي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 xml:space="preserve">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 xml:space="preserve">بعض محقّقي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جابر بن يزيد</w:t>
      </w:r>
    </w:p>
    <w:p>
      <w:pPr>
        <w:pStyle w:val="BookText"/>
        <w:rPr/>
      </w:pPr>
      <w:r>
        <w:rPr>
          <w:rFonts w:ascii="Amiri" w:hAnsi="Amiri" w:eastAsia="Amiri" w:cs="Amiri"/>
          <w:color w:val="111111"/>
          <w:sz w:val="28"/>
          <w:sz w:val="28"/>
          <w:szCs w:val="28"/>
          <w:rtl w:val="true"/>
          <w:lang w:bidi="ar-SA"/>
        </w:rPr>
        <w:t xml:space="preserve">الجعفي، جابر بن يزيد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ascii="Amiri" w:hAnsi="Amiri" w:eastAsia="Amiri" w:cs="Amiri"/>
          <w:color w:val="111111"/>
          <w:sz w:val="28"/>
          <w:sz w:val="28"/>
          <w:szCs w:val="28"/>
          <w:rtl w:val="true"/>
          <w:lang w:bidi="ar-SA"/>
        </w:rPr>
        <w:t xml:space="preserve">الحذّاء، زياد بن عيسى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محمّد بن أحمد</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حمزة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الطيّار</w:t>
      </w:r>
    </w:p>
    <w:p>
      <w:pPr>
        <w:pStyle w:val="BookText"/>
        <w:rPr/>
      </w:pPr>
      <w:r>
        <w:rPr>
          <w:rFonts w:ascii="Amiri" w:hAnsi="Amiri" w:eastAsia="Amiri" w:cs="Amiri"/>
          <w:color w:val="111111"/>
          <w:sz w:val="28"/>
          <w:sz w:val="28"/>
          <w:szCs w:val="28"/>
          <w:rtl w:val="true"/>
          <w:lang w:bidi="ar-SA"/>
        </w:rPr>
        <w:t xml:space="preserve">حميد بن المثنّى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 xml:space="preserve">ربعي بن عبداللّه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الساباطي، عمّار بن موسى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السبزواري، هادي بن مهدي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سراقة بن مالك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محمّد بن الحسين</w:t>
      </w:r>
    </w:p>
    <w:p>
      <w:pPr>
        <w:pStyle w:val="BookText"/>
        <w:rPr/>
      </w:pP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 xml:space="preserve">شارح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الهندي، محمّد بن الحسن</w:t>
      </w:r>
    </w:p>
    <w:p>
      <w:pPr>
        <w:pStyle w:val="BookText"/>
        <w:rPr/>
      </w:pP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الشهيد الثاني، زين الدين بن علي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الحسين بن عبداللّه</w:t>
      </w:r>
    </w:p>
    <w:p>
      <w:pPr>
        <w:pStyle w:val="BookText"/>
        <w:rPr/>
      </w:pP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عبدالأعلى بن أعين مولى آل سام</w:t>
      </w:r>
    </w:p>
    <w:p>
      <w:pPr>
        <w:pStyle w:val="BookText"/>
        <w:rPr/>
      </w:pPr>
      <w:r>
        <w:rPr>
          <w:rFonts w:ascii="Amiri" w:hAnsi="Amiri" w:eastAsia="Amiri" w:cs="Amiri"/>
          <w:color w:val="111111"/>
          <w:sz w:val="28"/>
          <w:sz w:val="28"/>
          <w:szCs w:val="28"/>
          <w:rtl w:val="true"/>
          <w:lang w:bidi="ar-SA"/>
        </w:rPr>
        <w:t xml:space="preserve">عبدالأعلى بن أعين مولى آل سام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بن حجّاج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عبدالصمد بن بشير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عبداللّه بن سليمان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عبداللّه بن وضّاح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العراقي، ضياء الدين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عكاشة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العلاّمة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الساباطي، عمّار بن موسى</w:t>
      </w:r>
    </w:p>
    <w:p>
      <w:pPr>
        <w:pStyle w:val="BookText"/>
        <w:rPr/>
      </w:pPr>
      <w:r>
        <w:rPr>
          <w:rFonts w:ascii="Amiri" w:hAnsi="Amiri" w:eastAsia="Amiri" w:cs="Amiri"/>
          <w:color w:val="111111"/>
          <w:sz w:val="28"/>
          <w:sz w:val="28"/>
          <w:szCs w:val="28"/>
          <w:rtl w:val="true"/>
          <w:lang w:bidi="ar-SA"/>
        </w:rPr>
        <w:t xml:space="preserve">الفاضل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 محمّد علي</w:t>
      </w:r>
    </w:p>
    <w:p>
      <w:pPr>
        <w:pStyle w:val="BookText"/>
        <w:rPr/>
      </w:pPr>
      <w:r>
        <w:rPr>
          <w:rFonts w:ascii="Amiri" w:hAnsi="Amiri" w:eastAsia="Amiri" w:cs="Amiri"/>
          <w:color w:val="111111"/>
          <w:sz w:val="28"/>
          <w:sz w:val="28"/>
          <w:szCs w:val="28"/>
          <w:rtl w:val="true"/>
          <w:lang w:bidi="ar-SA"/>
        </w:rPr>
        <w:t xml:space="preserve">الفاضل الهندي، محمّد بن الحسن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القمّي، أبو القاسم بن محمّد حسن</w:t>
      </w:r>
    </w:p>
    <w:p>
      <w:pPr>
        <w:pStyle w:val="BookText"/>
        <w:rPr/>
      </w:pPr>
      <w:r>
        <w:rPr>
          <w:rFonts w:ascii="Amiri" w:hAnsi="Amiri" w:eastAsia="Amiri" w:cs="Amiri"/>
          <w:color w:val="111111"/>
          <w:sz w:val="28"/>
          <w:sz w:val="28"/>
          <w:szCs w:val="28"/>
          <w:rtl w:val="true"/>
          <w:lang w:bidi="ar-SA"/>
        </w:rPr>
        <w:t xml:space="preserve">كاشف الغطاء، جعفر بن خضر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الكاظمي، محمّد علي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الطوسي، محمّد بن محمّد</w:t>
      </w:r>
    </w:p>
    <w:p>
      <w:pPr>
        <w:pStyle w:val="BookText"/>
        <w:rPr/>
      </w:pP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الميرزا القمّي، أبو القاسم بن محمّد حسن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 محمّد باقر بن محمّد أكمل</w:t>
      </w:r>
    </w:p>
    <w:p>
      <w:pPr>
        <w:pStyle w:val="BookText"/>
        <w:rPr/>
      </w:pPr>
      <w:r>
        <w:rPr>
          <w:rFonts w:ascii="Amiri" w:hAnsi="Amiri" w:eastAsia="Amiri" w:cs="Amiri"/>
          <w:color w:val="111111"/>
          <w:sz w:val="28"/>
          <w:sz w:val="28"/>
          <w:szCs w:val="28"/>
          <w:rtl w:val="true"/>
          <w:lang w:bidi="ar-SA"/>
        </w:rPr>
        <w:t xml:space="preserve">اليزدي، محمّد كاظم بن عبدالعظيم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اليماني، إبراهيم بن عمر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يونس بن عبدالرحمان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عبدالرحمان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الكتب الواردة في المتن</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الاجتهاد والتقليد 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الاستصحاب 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بدائع الدرر في قاعدة نفي الضرر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تقريرات بحث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الأفكار</w:t>
      </w:r>
    </w:p>
    <w:p>
      <w:pPr>
        <w:pStyle w:val="BookText"/>
        <w:rPr/>
      </w:pPr>
      <w:r>
        <w:rPr>
          <w:rFonts w:ascii="Amiri" w:hAnsi="Amiri" w:eastAsia="Amiri" w:cs="Amiri"/>
          <w:color w:val="111111"/>
          <w:sz w:val="28"/>
          <w:sz w:val="28"/>
          <w:szCs w:val="28"/>
          <w:rtl w:val="true"/>
          <w:lang w:bidi="ar-SA"/>
        </w:rPr>
        <w:t xml:space="preserve">تقريرات بحث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الاُصول</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حاشية المكاسب للمحقّق اليزدي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رسالة التقيّة 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رسالة في التسامح في أدلّة السنن للشيخ الأنصاري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رسالة الصلاة في المشكوك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رسالة لا ضرر 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بدائع الدرر في قاعدة نفي الضرر</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258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p>
    <w:p>
      <w:pPr>
        <w:pStyle w:val="BookText"/>
        <w:rPr/>
      </w:pP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المكاسب للشيخ الأنصاري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مصادر التحقيق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والتقليد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مطبعة ستارة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إبراهيم البهادري ومحمّد هادي به ، الطبعة الاُولى ، مجلّدان ، قم ، منشورات اُسوة ،</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الفضائل محمّد بن الشيخ حسين الجبعي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الفوائد في شرح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حسن الآشتياني ، الطبعة الحجرية ، مكتبة آية اللّه المرعشي ، قم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محمّد بن الحسن نصير الدين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جواد الحسيني الجلالي ، الطبعة الاُولى ، قم ، مكتب الإعلام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الحسن بن يوسف بن المطهّر ، 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صدر منه حتّى الآن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 xml:space="preserve">السيّد هاشم الرسولي المحلاّتي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التقوي الاشتهاردي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تنظيم ونشر آثار الإمام الخميني قدّس سرّه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تنظيم ونشر آثار الإمام الخميني قدّس سرّه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السبحاني التبريزي ، تحقيق مؤسّسة تنظيم ونشر آثار الإمام الخميني قدّس سرّه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تنظيم ونشر آثار الإمام الخميني قدّس سرّه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الشتات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بن الحسن الجيلاني المحقّق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علي بن الحسين بن عبدالعالي الكركي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جزءان في مجلّد واحد ، 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عبدالكريم الحائري اليزدي ، تعليق آية اللّه الشيخ محمّد علي الأراكي والمؤلّف ، تحقيق الشيخ محمّد المؤمن القمّي ، الطبعة الخامسة ، جزءان في مجلّد واحد ، قم ، مؤسّسة النشر الإسلامي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محمّد كاظم الهروي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شمس الدين ، الطبعة الاُولى ، طهران ، مؤسّسة الطبع والنشر التابعة لوزارة الثقافة والإرشاد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ذخيرة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السبزواري محمّد باقر بن محمّد مؤمن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 قم ، مؤسّسة آل البيت علیهم السلام لإحياء التراث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شمس الدين محمّد بن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نشر مكتبة البيدار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الرسالات الفقهية والاُصولية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فقهية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تحقيق تراث الشيخ الأعظم ، الطبعة الاُولى ، قم ، مكتبة الفقهية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الصلاة في المشكوك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حسين الغروي النائيني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جعفر الغروي النائيني ، الطبعة الاُولى ، قم ، مؤسّسة آل البيت علیهم السلام لإحياء التراث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والآثار الإسلامية ، الطبعة الاُولى ، مجلّدان ، قم ، 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مجمع الفكر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بيان أحكام الشرع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w:t>
      </w:r>
    </w:p>
    <w:p>
      <w:pPr>
        <w:pStyle w:val="BookText"/>
        <w:rPr/>
      </w:pP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عبدالرحمان أحمد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محمود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طهران ، انتشارات علميه إسلامية ،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بن عبداللّه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عبدالرحمان عميرة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منشورات الشريف الرضيّ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وتحقيق حسن حسن‌زاده الآملي ومسعود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محمّد بدرالدين النسعاني ، 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انتشارات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مصر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عزّ 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 الإعلام الإسلامي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قم ، مكتب الإعلام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 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المكارم السيّد حمزة بن علي بن زهرة الحلبي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مجلّدان ، قم ، مؤسّسة الإمام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في الاُصول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 دار إحياء العلوم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بالاُفست عن الطبعة الحجرية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مهديّ شمس الدين ، الطبعة الاُولى ، طهران ، مؤسّسة الطبع </w:t>
      </w:r>
    </w:p>
    <w:p>
      <w:pPr>
        <w:pStyle w:val="BookText"/>
        <w:rPr/>
      </w:pPr>
      <w:r>
        <w:rPr>
          <w:rFonts w:ascii="Amiri" w:hAnsi="Amiri" w:eastAsia="Amiri" w:cs="Amiri"/>
          <w:color w:val="111111"/>
          <w:sz w:val="28"/>
          <w:sz w:val="28"/>
          <w:szCs w:val="28"/>
          <w:rtl w:val="true"/>
          <w:lang w:bidi="ar-SA"/>
        </w:rPr>
        <w:t xml:space="preserve">والنشر من وزارة الإرشاد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الحائرية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أكمل المشتهر بالوحيد البهبهاني ، تحقيق لجنة تحقيق مجمع الفكر الإسلامي ، الطبعة الاُولى ، قم ، مجمع الفكر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الطوسية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الأكبر محمّد 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السيّد مهديّ اللاجوردي والشيخ محمّد درودي ، قم ، المطبعة العلمية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قوامع الفضول في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بن جعفر الميثمي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طهران ،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الطبعة الحجرية ، المجلّد الأوّل ، طهران ، المكتبة العلمية الإسلامية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والمجلّد الثاني ، طهران ، المستنسخة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القمّي ، الشيخ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خضر المعروف بكاشف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 الطبعة </w:t>
      </w:r>
    </w:p>
    <w:p>
      <w:pPr>
        <w:pStyle w:val="BookText"/>
        <w:rPr/>
      </w:pPr>
      <w:r>
        <w:rPr>
          <w:rFonts w:ascii="Amiri" w:hAnsi="Amiri" w:eastAsia="Amiri" w:cs="Amiri"/>
          <w:color w:val="111111"/>
          <w:sz w:val="28"/>
          <w:sz w:val="28"/>
          <w:szCs w:val="28"/>
          <w:rtl w:val="true"/>
          <w:lang w:bidi="ar-SA"/>
        </w:rPr>
        <w:t xml:space="preserve">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مركز النشر التابع لمكتب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قم ، مؤسّسة النشر الإسلامي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لمحات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في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مجتبى العراقي وعلي پناه الاشتهاردي وحسين اليزدي ، 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النشر الإسلامي ،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في علم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بن الحسين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عادل أحمد عبدالموجود وعلي محمّد معوض ، الطبعة الثانية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المكتبة العصرية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البحوث والدراسات العلمية ، قم ، مؤسّسة الهدى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المعارف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المعارف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المستصفى من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مجلّدان ، قم ، انتشارات دار الذخائر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الشيخ الأعظم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 القاسم الكلانتري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مجمع الفكر الإسلامي ، الطبعة الاُولى ، مجلّدان ، قم ، مجمع</w:t>
      </w:r>
    </w:p>
    <w:p>
      <w:pPr>
        <w:pStyle w:val="BookText"/>
        <w:rPr/>
      </w:pPr>
      <w:r>
        <w:rPr>
          <w:rFonts w:ascii="Amiri" w:hAnsi="Amiri" w:eastAsia="Amiri" w:cs="Amiri"/>
          <w:color w:val="111111"/>
          <w:sz w:val="28"/>
          <w:sz w:val="28"/>
          <w:szCs w:val="28"/>
          <w:rtl w:val="true"/>
          <w:lang w:bidi="ar-SA"/>
        </w:rPr>
        <w:t xml:space="preserve">الفكر الإسلامي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جمال الدين الحسن بن زين‌الدين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الحادي عشر ، 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الأفاضل ، الطبعة الاُولى ، مجلّدان ، قم ، </w:t>
      </w:r>
    </w:p>
    <w:p>
      <w:pPr>
        <w:pStyle w:val="BookText"/>
        <w:rPr/>
      </w:pPr>
      <w:r>
        <w:rPr>
          <w:rFonts w:ascii="IRNazanin" w:hAnsi="IRNazanin" w:eastAsia="IRNazanin"/>
          <w:color w:val="111111"/>
          <w:sz w:val="28"/>
          <w:sz w:val="28"/>
          <w:szCs w:val="28"/>
          <w:rtl w:val="true"/>
          <w:lang w:bidi="fa-IR"/>
        </w:rPr>
        <w:t xml:space="preserve">مؤسّسة سيّد الشهداء علیه السلام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محسن العراقي والسيّد منذر الحكيم والشيخ مجتبى المحمودي ، الطبعة الاُولى ، مجلّدان ، قم ، مجمع الفكر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لجنة التحقيق التابعة لمؤسّسة الإمام الهادي علیه السلام ، قم ، مؤسّسة الإمام الهادي علیه 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المناهج السوية في شرح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 من مخطوطات مكتبة آستان قدس رضوي ، المحفوظ في مكتبة ملي ملك ، طهران ، تحت الرقم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الطبعة الثانية ، مجلّدان ، قم ، مؤسّسة إسماعيليان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حسينعلي المنتظري ، الطبعة الاُولى ، قم ، نشر تفكّر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في شرح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المعروف بالفيض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ضياء الدين الحسيني ، الطبعة الاُولى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أصفهان ، مكتبة الإمام أمير المؤمنين علیه 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عبداللّه بن محمّد البُشروي الخراساني المعروف بالفاضل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حسين الرضوي الكشميري ، الطبعة الاُولى ، قم ، مجمع الفكر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المسترشدين في شرح اُصول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الرازي النجفي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الموضوعات</w:t>
      </w:r>
    </w:p>
    <w:p>
      <w:pPr>
        <w:pStyle w:val="BookText"/>
        <w:rPr/>
      </w:pPr>
      <w:r>
        <w:rPr>
          <w:rFonts w:ascii="IRNazanin" w:hAnsi="IRNazanin" w:eastAsia="IRNazanin"/>
          <w:color w:val="111111"/>
          <w:sz w:val="28"/>
          <w:sz w:val="28"/>
          <w:szCs w:val="28"/>
          <w:rtl w:val="true"/>
          <w:lang w:bidi="fa-IR"/>
        </w:rPr>
        <w:t>المقصد السابع</w:t>
      </w:r>
    </w:p>
    <w:p>
      <w:pPr>
        <w:pStyle w:val="BookText"/>
        <w:rPr/>
      </w:pPr>
      <w:r>
        <w:rPr>
          <w:rFonts w:ascii="Amiri" w:hAnsi="Amiri" w:eastAsia="Amiri" w:cs="Amiri"/>
          <w:color w:val="111111"/>
          <w:sz w:val="28"/>
          <w:sz w:val="28"/>
          <w:szCs w:val="28"/>
          <w:rtl w:val="true"/>
          <w:lang w:bidi="ar-SA"/>
        </w:rPr>
        <w:t>في الاُصول العملية</w:t>
      </w:r>
    </w:p>
    <w:p>
      <w:pPr>
        <w:pStyle w:val="BookText"/>
        <w:rPr/>
      </w:pPr>
      <w:r>
        <w:rPr>
          <w:rFonts w:ascii="Amiri" w:hAnsi="Amiri" w:eastAsia="Amiri" w:cs="Amiri"/>
          <w:color w:val="111111"/>
          <w:sz w:val="28"/>
          <w:sz w:val="28"/>
          <w:szCs w:val="28"/>
          <w:rtl w:val="true"/>
          <w:lang w:bidi="ar-SA"/>
        </w:rPr>
        <w:t xml:space="preserve">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حالات المكلّف وذكر مجاري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تقديم الأمارات على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وحدة مناط البحث في جميع أقسام 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القول في أصل البراءة</w:t>
      </w:r>
    </w:p>
    <w:p>
      <w:pPr>
        <w:pStyle w:val="BookText"/>
        <w:rPr/>
      </w:pPr>
      <w:r>
        <w:rPr>
          <w:rFonts w:ascii="Amiri" w:hAnsi="Amiri" w:eastAsia="Amiri" w:cs="Amiri"/>
          <w:color w:val="111111"/>
          <w:sz w:val="28"/>
          <w:sz w:val="28"/>
          <w:szCs w:val="28"/>
          <w:rtl w:val="true"/>
          <w:lang w:bidi="ar-SA"/>
        </w:rPr>
        <w:t xml:space="preserve">حول استدلال الاُصوليّين على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الاستدلال بالكتاب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كلام المحقّق النائيني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الاستدلال بالسنّة على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اُمور يتمّ بها ما يستفاد من 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الحديث للشبهات الحكمية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الرفع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حكومة حديث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نسبة الرفع إلى العناوين المأخوذة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الحديث للاُمور العدمية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العبادة المنسيّ منها جزء أو شرط بالحديث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الحديث للأسباب والمسبّبات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العبادة بالحديث عند الشكّ في المانعية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حديث الحجب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حديث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حول استدلال الأخباريّين على وجوب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الاستدلال بالكتاب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الاستدلال على وجوب الاحتياط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الاستدلال على وجوب الاحتياط بالدليل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فيما اُجيب عن استدلال الأخباريّين بالدليل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تنبيهات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جريان البراءة بعدم وجود أصل 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حول أصالة عدم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بيان اعتبارات القضايا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التحقيق في جريان أصالة عدم التذكية في المحتملات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أصالة عدم التذكية في الشبهة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التفصيل بين الطهارة والحلّية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إشكال الاحتياط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تصحيح عبادية الشيء بأوامر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الاستدلال لإمكان الاحتياط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البحث عن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أنحاء متعلّق الأمر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اختلاف الاُصول العملية باختلاف متعلّقات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التعيين والتخيير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تنقيح البحث يستدعي رسم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الواجب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الواجب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في اشتراط التكليف في مرحلة البقاء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أنحاء الشكّ في التعيين والتخيير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مقتضى الأصل في الأنحاء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الواجب العيني والكفائي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تحقيق المقام يبتني على تصوير الواجب الكفائي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تصويرات الواجب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اختلاف الأصل باختلاف الوجوه في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القول في أصل التخيير</w:t>
      </w:r>
    </w:p>
    <w:p>
      <w:pPr>
        <w:pStyle w:val="BookText"/>
        <w:rPr/>
      </w:pPr>
      <w:r>
        <w:rPr>
          <w:rFonts w:ascii="Amiri" w:hAnsi="Amiri" w:eastAsia="Amiri" w:cs="Amiri"/>
          <w:color w:val="111111"/>
          <w:sz w:val="28"/>
          <w:sz w:val="28"/>
          <w:szCs w:val="28"/>
          <w:rtl w:val="true"/>
          <w:lang w:bidi="ar-SA"/>
        </w:rPr>
        <w:t xml:space="preserve">دوران الأمر بين المحذورين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نقد كلام المحقّق النائيني في عدم جريان الاُصول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لأحد الحكمين مزيّة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التخيير استمرارياً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في أصل الاشتغال</w:t>
      </w:r>
    </w:p>
    <w:p>
      <w:pPr>
        <w:pStyle w:val="BookText"/>
        <w:rPr/>
      </w:pPr>
      <w:r>
        <w:rPr>
          <w:rFonts w:ascii="Amiri" w:hAnsi="Amiri" w:eastAsia="Amiri" w:cs="Amiri"/>
          <w:color w:val="111111"/>
          <w:sz w:val="28"/>
          <w:sz w:val="28"/>
          <w:szCs w:val="28"/>
          <w:rtl w:val="true"/>
          <w:lang w:bidi="ar-SA"/>
        </w:rPr>
        <w:t xml:space="preserve">فيه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المتباينين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مراتب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حرمة المخالفة القطعية للعلم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تفصيل بعض الأعاظم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وجوب الموافقة القطعية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استفادة الترخيص في بعض الأطراف من الأدلّة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حول رجوع الترخيص في البعض إلى جعل البدلية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الاضطرار إلى بعض أطراف المعلوم بالإجمال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ردّ على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الابتلاء بتمام الأطراف لتنجيز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الخلط بين الخطابات القانونية والشخصية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الأصل عند الشكّ في الخروج عن محلّ الابتلاء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استدلال المحقّق الحائري لوجوب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استدلال الشيخ الأعظم والمحقّق النائيني لوجوب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الغير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تنقيح محلّ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الاستدلال على عدم وجوب الاحتياط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ضابط الشبهة الغير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مناقشة بعض الأعاظم في ضابط الشبهة الغير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حكم الشكّ البدوي بعد سقوط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ملاقي بعض أطراف المعلوم بالإجمال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هاهنا جهات من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العلم بالملاقاة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العقلي في صور الملاقاة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الشرعي في صور الملاقاة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شبهة التفكيك بين قاعدتي الطهارة والحلّ في الملاقي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جواب العلاّمة الحائري ومناقشته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الأصل في الملاقي لجميع الصور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الملاقى عن محلّ الابتلاء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اُخرى في وجوب الاجتناب عن الملاقي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عند الشكّ في اختصاص الملاقي بجعل مستقلّ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تذييل استطرادي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أحد طرفي المعلوم بالإجمال حرمته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حكم التوابع لأطراف المعلوم بالإجمال حرمته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التفصيل بين الشرائط والموانع في وجوب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النيّة لو كان المعلوم بالإجمال أو المحتمل من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 المعلوم بالإجمال أمرين مترتّبين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الأقلّ والأكثر الارتباطيين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جريان 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الإشكالات السبعة على جريان البراءة عن الأكثر ودفعها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جريان البراءة الشرعية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دوران الأمر بين المطلق والمشروط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بقي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في الأسباب والمحصّلات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عدم جريان البراءة في الأسباب العقلية والعادية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عدم جريان البراءة في الأسباب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الارتباطي في الشبهة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تنبيهات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في الجزئية أو الشرطية في حال النسيان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وفيه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الأصل العقلي بالنسبة إلى النقيصة السهوية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محطّ البحث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إشكال الشيخ الأعظم على جريان البراءة بعدم إمكان خطاب الناسي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التحقيق في الجواب وذكر أجوبة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ردّ التفصيل بين نسيان المستوعب للوقت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الأصل الشرعي في النقيصة السهوية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صحّة التمسّك بحديث الرفع في رفع جزئية المنسيّ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الزيادة العمدية والسهوية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تصوير الزيادة في الجزئية والشرطية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عدم مبطلية الزيادة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التمسّك بالاستصحاب لإثبات صحّة العمل مع الزيادة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القواعد الثانوية في الزيادة والنقيصة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مقتضى الروايات الواردة في الزيادة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بيان النسبة بين 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النسبة بين 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البحث في تعذّر الجزء أو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الكلام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القواعد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 جريان 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 جريان البراءة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القواعد الثانوية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التمسّك بالاستصحاب لإثبات وجوب باقي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التمسّك بقاعدة الميسور لإثبات وجوب باقي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الكلام في مفاد النبوي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الكلام في مفاد العلوي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الكلام في مفاد العلوي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اعتبار صدق الميسور في جريان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جريان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 حسن الاحتياط مطلقاً ودفع الإشكالات الواردة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شرائط جريان 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اعتبار الفحص في الشبهات الحكمية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في استحقاق عقاب التارك للفحص ومناطه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 بطلان عمل الجاهل إلاّ في موردين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 جريان البراءة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62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8"/>
                        <a:stretch/>
                      </pic:blipFill>
                      <pic:spPr>
                        <a:xfrm>
                          <a:off x="0" y="0"/>
                          <a:ext cx="5334120" cy="4762440"/>
                        </a:xfrm>
                        <a:prstGeom prst="rect">
                          <a:avLst/>
                        </a:prstGeom>
                        <a:ln w="0">
                          <a:noFill/>
                        </a:ln>
                      </pic:spPr>
                    </pic:pic>
                  </a:graphicData>
                </a:graphic>
              </wp:inline>
            </w:drawing>
          </mc:Choice>
          <mc:Fallback>
            <w:pict>
              <v:shape id="shape_0" stroked="f" o:allowincell="f" style="position:absolute;margin-left:0pt;margin-top:-375.05pt;width:419.95pt;height:374.95pt;mso-wrap-style:none;v-text-anchor:middle;mso-position-horizontal:left;mso-position-vertical:top" type="_x0000_t75">
                <v:imagedata r:id="rId529" o:detectmouseclick="t"/>
                <v:stroke color="#3465a4" joinstyle="round" endcap="flat"/>
                <w10:wrap type="none"/>
              </v:shape>
            </w:pict>
          </mc:Fallback>
        </mc:AlternateConten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3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33" o:detectmouseclick="t"/>
                <v:stroke color="#3465a4" joinstyle="round" endcap="flat"/>
                <w10:wrap type="none"/>
              </v:shape>
            </w:pict>
          </mc:Fallback>
        </mc:AlternateConten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6121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35"/>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536" o:detectmouseclick="t"/>
                <v:stroke color="#3465a4" joinstyle="round" endcap="flat"/>
                <w10:wrap type="none"/>
              </v:shape>
            </w:pict>
          </mc:Fallback>
        </mc:AlternateConten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الأصل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w:t>
      </w:r>
    </w:p>
    <w:p>
      <w:pPr>
        <w:pStyle w:val="BookText"/>
        <w:rPr/>
      </w:pPr>
      <w:r>
        <w:rPr>
          <w:rFonts w:ascii="Amiri" w:hAnsi="Amiri" w:eastAsia="Amiri" w:cs="Amiri"/>
          <w:color w:val="111111"/>
          <w:sz w:val="28"/>
          <w:sz w:val="28"/>
          <w:szCs w:val="28"/>
          <w:rtl w:val="true"/>
          <w:lang w:bidi="ar-SA"/>
        </w:rPr>
        <w:t>والصلاة والسلام على أشرف الأنبياء</w:t>
      </w:r>
    </w:p>
    <w:p>
      <w:pPr>
        <w:pStyle w:val="BookText"/>
        <w:rPr/>
      </w:pPr>
      <w:r>
        <w:rPr>
          <w:rFonts w:ascii="Amiri" w:hAnsi="Amiri" w:eastAsia="Amiri" w:cs="Amiri"/>
          <w:color w:val="111111"/>
          <w:sz w:val="28"/>
          <w:sz w:val="28"/>
          <w:szCs w:val="28"/>
          <w:rtl w:val="true"/>
          <w:lang w:bidi="ar-SA"/>
        </w:rPr>
        <w:t>والمرسلين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المفتاق إلى ربّه روح اللّه ابن المرحوم السيّد مصطفى الموسوي الخميني نزيل قم حرم أهل البيت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لمّا انتهيت في الدورة الاُصولية إلى ما جرى على قلم المحقّق الخراساني قدّس سرّه استجراراً واستطراداً في قاعدة نفي الضرر والضرار ؛ تبعاً لشيخه العلاّمة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اُفرد رسالةً مستقلّة فيها مفرزة عن تعليقتي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لطول المباحث المتعلّقة بها ، وخروج استيفاء البحث عن جميعها عن طور التعليقة ورسم التحشية ، فحرّرت مبانيها ومطالبها حسب ما أدّى إليه نظري القاصر ، ورتّبتُها على مقدّمة ، وفصول ، وتنبيهات </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2132_128270"/>
      <w:bookmarkStart w:id="468" w:name="pg12132_128270"/>
      <w:bookmarkEnd w:id="468"/>
    </w:p>
    <w:p>
      <w:pPr>
        <w:pStyle w:val="Heading2"/>
        <w:numPr>
          <w:ilvl w:val="1"/>
          <w:numId w:val="1"/>
        </w:numPr>
        <w:rPr/>
      </w:pPr>
      <w:bookmarkStart w:id="469" w:name="pg12132_128270"/>
      <w:bookmarkStart w:id="470" w:name="__RefHeading___Toc3352880_417432637"/>
      <w:bookmarkStart w:id="471" w:name="_Toc161"/>
      <w:bookmarkEnd w:id="469"/>
      <w:bookmarkEnd w:id="470"/>
      <w:r>
        <w:rPr>
          <w:rtl w:val="true"/>
        </w:rPr>
        <w:t xml:space="preserve">المقدّمة </w:t>
      </w:r>
      <w:r>
        <w:rPr>
          <w:rtl w:val="true"/>
        </w:rPr>
        <w:t xml:space="preserve">: </w:t>
      </w:r>
      <w:r>
        <w:rPr>
          <w:rtl w:val="true"/>
        </w:rPr>
        <w:t>في ذكر الأحاديث المربوطة بالمقام</w:t>
      </w:r>
      <w:bookmarkEnd w:id="471"/>
    </w:p>
    <w:p>
      <w:pPr>
        <w:pStyle w:val="BookText"/>
        <w:rPr/>
      </w:pP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 عن أحمد بن محمّد بن خالد ، عن أبيه ، عن عبداللّه بن بكير ، عن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سَمُرة بن جُندَب كان له عَذْق</w:t>
      </w:r>
      <w:r>
        <w:rPr>
          <w:rStyle w:val="FootnoteAnchor"/>
          <w:rtl w:val="true"/>
        </w:rPr>
        <w:footnoteReference w:id="533"/>
      </w:r>
      <w:r>
        <w:rPr>
          <w:rFonts w:ascii="Amiri" w:hAnsi="Amiri" w:eastAsia="Amiri" w:cs="Amiri"/>
          <w:color w:val="111111"/>
          <w:sz w:val="28"/>
          <w:sz w:val="28"/>
          <w:szCs w:val="28"/>
          <w:rtl w:val="true"/>
          <w:lang w:bidi="ar-SA"/>
        </w:rPr>
        <w:t xml:space="preserve">في حائط لرجل من الأنصار ، وكان منزل الأنصاري بباب البستان ، فكان يمرّ به إلى نخلته ولا يستأذن ، فكلّمه الأنصاري أن يستأذن إذا جاء ، فأبى سَمُرة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تأبّى جاء الأنصاري إلى رسول اللّه رحمهما اللّه فشكا إليه ، وخبّره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رسول اللّه رحمهما اللّه وخبّره بقول الأنصاري وما شكا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الدخول فاستأذنْ ، فأبى ، فلمّا أبى ساومه حتّى بلغ به من الثمن ما شاء اللّه ، فأبى أن يبيع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يُمدّ لك في الجنّة ، فأبى</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رحمهما اللّه للأنصاري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وارمِ بها إليه ؛ فإنّه لا ضررَ ولا ضِرار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الصدوق</w:t>
      </w:r>
      <w:r>
        <w:rPr>
          <w:rStyle w:val="FootnoteAnchor"/>
          <w:rtl w:val="true"/>
        </w:rPr>
        <w:footnoteReference w:id="535"/>
      </w:r>
      <w:r>
        <w:rPr>
          <w:rFonts w:ascii="Amiri" w:hAnsi="Amiri" w:eastAsia="Amiri" w:cs="Amiri"/>
          <w:color w:val="111111"/>
          <w:sz w:val="28"/>
          <w:sz w:val="28"/>
          <w:szCs w:val="28"/>
          <w:rtl w:val="true"/>
          <w:lang w:bidi="ar-SA"/>
        </w:rPr>
        <w:t>بإسناده عن ابن بكير نحوه ، ورواه الشيخ</w:t>
      </w:r>
      <w:r>
        <w:rPr>
          <w:rStyle w:val="FootnoteAnchor"/>
          <w:rtl w:val="true"/>
        </w:rPr>
        <w:footnoteReference w:id="536"/>
      </w:r>
      <w:r>
        <w:rPr>
          <w:rFonts w:ascii="IRNazanin" w:hAnsi="IRNazanin" w:eastAsia="IRNazanin"/>
          <w:color w:val="111111"/>
          <w:sz w:val="28"/>
          <w:sz w:val="28"/>
          <w:szCs w:val="28"/>
          <w:rtl w:val="true"/>
          <w:lang w:bidi="fa-IR"/>
        </w:rPr>
        <w:t>بإسناده عن أحمد بن محمّد بن خالد مثله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محمّد بن بندار</w:t>
      </w:r>
      <w:r>
        <w:rPr>
          <w:rStyle w:val="FootnoteAnchor"/>
          <w:rtl w:val="true"/>
        </w:rPr>
        <w:footnoteReference w:id="538"/>
      </w:r>
      <w:r>
        <w:rPr>
          <w:rFonts w:ascii="IRNazanin" w:hAnsi="IRNazanin" w:eastAsia="IRNazanin"/>
          <w:color w:val="111111"/>
          <w:sz w:val="28"/>
          <w:sz w:val="28"/>
          <w:szCs w:val="28"/>
          <w:rtl w:val="true"/>
          <w:lang w:bidi="fa-IR"/>
        </w:rPr>
        <w:t xml:space="preserve">، عن أحمد بن أبي عبداللّه ، عن أبيه ، عن بعض أصحابنا ، عن عبداللّه بن مسكان ، عن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سَمُرة ابن جُندَب كان له عَذْق ، وكان طريقه إليه في جوف منزل رجل من الأنصار ، فكان يجيء ويدخل إلى عذْقه بغير إذن من الأنصاري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سَمُرة لا تزال تفجأنا على حال لا نحبّ أن تفجأنا عليها ، فإذا دخلتَ فاستأذن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أستأذنُ في طريق وهو طريقي إلى عذقي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فشكاه الأنصاري إلى رسول اللّه رحمهما اللّه فأرسل إليه رسول اللّه رحمهما اللّه فأتاه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قد شكاك ، وزعم أ نّك تمرّ عليه وعلى أهله بغير إذنه ، فاستأذن عليه إذا أردتَ أن تدخل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أستأذنُ في طريقي إلى عَذقي ؟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ولك مكانه عذقٌ في مكان كذا وكذا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يزيده حتّى بلغ عشرة أعذاق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عشرة في مكان كذا وكذا ،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w:t>
      </w:r>
    </w:p>
    <w:p>
      <w:pPr>
        <w:pStyle w:val="BookText"/>
        <w:rPr/>
      </w:pPr>
      <w:r>
        <w:rPr>
          <w:rFonts w:ascii="Amiri" w:hAnsi="Amiri" w:eastAsia="Amiri" w:cs="Amiri"/>
          <w:color w:val="111111"/>
          <w:sz w:val="28"/>
          <w:sz w:val="28"/>
          <w:szCs w:val="28"/>
          <w:rtl w:val="true"/>
          <w:lang w:bidi="ar-SA"/>
        </w:rPr>
        <w:t xml:space="preserve">مكانه عذق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 ولا ضررَ ولا ضِرار على مؤمن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أمر بها رسول اللّه رحمهما اللّه فقُلعت ، ثمّ رمى بها إليه ، وقال له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فاغرسها حيث شئت</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الحسين ، بإسناده عن الحسن ابن زياد الصيقل ، عن أبي عبيدة الحذّاء</w:t>
      </w:r>
      <w:r>
        <w:rPr>
          <w:rStyle w:val="FootnoteAnchor"/>
          <w:rtl w:val="true"/>
        </w:rPr>
        <w:footnoteReference w:id="54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لسَمُرة ابن جُندَب نخلة في حائط بني فلان ، فكان إذا جاء إلى نخلته ينظر إلى شيء من أهل الرجل يكرهه الرجل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فذهب الرجل إلى رسول اللّه رحمهما اللّه فشكاه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سمرة يدخل عليّ بغير إذني ، فلو أرسلتَ إليه ، فأمرتَه أن يستأذن ؛ حتّى تأخذ أهلي حِذرها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رسول اللّه رحمهما اللّه فدعاه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ما شأن فلانٍ يشكوك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بغير إذني ، فترى من أهله ما يكره ذلك ، يا سمرة استأذنْ إذا أنت دخلت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يسرّك أن يكون لك عذق في الجنّة بنخلتك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يا سمرة إلاّ مُضارّاً ، اذهب يا فلان فاقطعها ، واضرب بها وجهه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 عن محمّد بن الحسين ، عن محمّد بن عبداللّه بن هلال ، عن عقبة بن خالد</w:t>
      </w:r>
      <w:r>
        <w:rPr>
          <w:rStyle w:val="FootnoteAnchor"/>
          <w:rtl w:val="true"/>
        </w:rPr>
        <w:footnoteReference w:id="542"/>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رسول اللّه رحمهما اللّه بين أهل المدينة في مشارب النخل أ نّه لا يمنع نفع الشيء</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يمنع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 وعن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الماشية إنّما ترعى بقرب الماء ، فإذا منع من الماء فقد منع من الكلأ ، وحازه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ونقع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البئر كما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مرآة العقول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وقضى رحمهما اللّه بين أهل البادية أ نّه لا يمنع فضل ماء ليمنع به فضل 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رحمهما اللّه بالشفعة بين الشركاء في الأرضين والمساكن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اُرِّفت الاُرف</w:t>
      </w:r>
      <w:r>
        <w:rPr>
          <w:rStyle w:val="FootnoteAnchor"/>
          <w:rtl w:val="true"/>
        </w:rPr>
        <w:footnoteReference w:id="544"/>
      </w:r>
      <w:r>
        <w:rPr>
          <w:rFonts w:ascii="Amiri" w:hAnsi="Amiri" w:eastAsia="Amiri" w:cs="Amiri"/>
          <w:color w:val="111111"/>
          <w:sz w:val="28"/>
          <w:sz w:val="28"/>
          <w:szCs w:val="28"/>
          <w:rtl w:val="true"/>
          <w:lang w:bidi="ar-SA"/>
        </w:rPr>
        <w:t>وحُدّت الحدود فلا شفعة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محمّد بن يحيى 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بإسناده عن عقبة بن خالد ، وزاد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شفعة إلاّ لشريك غير مقاسم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سئل عن جدار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سُترة بينه وبين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 فامتنع من بنيانه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يُجبر على ذلك ، إلاّ أن يكون وجب ذلك لصاحب الدار الاُخرى بحقّ أو بشرط في أصل الملك ، ولكن يقال لصاحب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على نفسك في حقّك إن شئت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الجدار لم يسقط ، ولكنّه هدمه أو أراد هدمه ؛ إضراراً بجاره لغير حاجة منه إلى هدمه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يترك ، وذلك أنّ رسول اللّه رحمهما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إضرار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هدمه كلّف أن يبنيه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أبي عبداللّه ، عن أبيه ، عن آبائه ، عن أمير المؤمنين علیه السلام أنّ رسول اللّه رحمهما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أوّل 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يزيد ولا ينقص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 ، فالإسلام يزيد المسلم خيراً ولا يزيده شرّاً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ما روي عن النبي رحمهما اللّه</w:t>
      </w:r>
    </w:p>
    <w:p>
      <w:pPr>
        <w:pStyle w:val="BookText"/>
        <w:rPr/>
      </w:pPr>
      <w:r>
        <w:rPr>
          <w:rFonts w:ascii="Amiri" w:hAnsi="Amiri" w:eastAsia="Amiri" w:cs="Amiri"/>
          <w:color w:val="111111"/>
          <w:sz w:val="28"/>
          <w:sz w:val="28"/>
          <w:szCs w:val="28"/>
          <w:rtl w:val="true"/>
          <w:lang w:bidi="ar-SA"/>
        </w:rPr>
        <w:t xml:space="preserve">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زهرة في باب 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 على المخالف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الشفعة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بالشفعة بين الشركاء في الأرَضين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إضرار</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ولعلّه غلط</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عبادة بن الصامت في ضمن نقل قضايا كثيرة عن رسول اللّه رحمهما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أن لا ضرَر ولا ضرار</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محمّد بن الحسين ، عن يزيد بن إسحاق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 عن هارون بن حمزة الغنوي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شهد بعيراً مريضاً وهو يباع ، فاشتراه رجل بعشرة دراهم ، فجاء وأشرك فيه رجلاً بدرهمين بالرأس والجِلد ، فقضي أنّ البعير برئ ، فبلغ ثمنه دنانير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لصاحب الدرهمين خُمس ما بلغ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الرأس والجِلد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له ذلك؛ هذا الضرار ، وقد اُعطي حقَّه إذا اُعطِيَ الخُمس</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عن محمّد بن يحيى ، عن محمّد بن الحسين ، عن محمّد بن عبداللّه بن هلال ، عن عقبة بن خالد ،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جبلاً ، فشقّ</w:t>
      </w:r>
    </w:p>
    <w:p>
      <w:pPr>
        <w:pStyle w:val="BookText"/>
        <w:rPr/>
      </w:pPr>
      <w:r>
        <w:rPr>
          <w:rFonts w:ascii="Amiri" w:hAnsi="Amiri" w:eastAsia="Amiri" w:cs="Amiri"/>
          <w:color w:val="111111"/>
          <w:sz w:val="28"/>
          <w:sz w:val="28"/>
          <w:szCs w:val="28"/>
          <w:rtl w:val="true"/>
          <w:lang w:bidi="ar-SA"/>
        </w:rPr>
        <w:t xml:space="preserve">فيه قَناة ، فذهبت قناة الآخر بماء قناة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يتقاسمان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بحقائب البئر ليلة ليلة ، فينظر أيّتهما أضرّت بصاحبتها ، فإن رئيت الأخيرة أضرّت بالاُولى فلتعوّر</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الصدوق بإسناده عن عقبة بن خالد نحوه ، وزاد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رسول اللّه رحمهما اللّه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الاُولى أخذت ماء الأخيرة لم يكن لصاحب الأخيرة على الأوّل سبيل</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الحسن بإسناده عن أبي عبداللّه علیه السلام قريب منه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عن محمّد بن يحيى ، عن محمّد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كانت له قناة في قرية ، فأراد رجل أن يحفر قناة اُخرى إلى قرية له ، كم يكون بينهما في البعد ؛ حتّى لا يضرّ بالاُخرى في الأرض إذا كانت صلبة أو رخوة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فوقّع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حسب أن لا يضرّ إحداهما بالاُخرى إن شاء اللّه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رحى على نهر قرية ، والقرية لرجل ، فأراد صاحب القرية أن يسوق إلى قريته الماء في غير هذا النهر ، ويعطّل هذه الرحى ، أله ذلك ، أم لا ؟</w:t>
      </w:r>
    </w:p>
    <w:p>
      <w:pPr>
        <w:pStyle w:val="BookText"/>
        <w:rPr/>
      </w:pPr>
      <w:r>
        <w:rPr>
          <w:rFonts w:ascii="IRNazanin" w:hAnsi="IRNazanin" w:eastAsia="IRNazanin"/>
          <w:color w:val="111111"/>
          <w:sz w:val="28"/>
          <w:sz w:val="28"/>
          <w:szCs w:val="28"/>
          <w:rtl w:val="true"/>
          <w:lang w:bidi="fa-IR"/>
        </w:rPr>
        <w:t xml:space="preserve">فوقّع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يتّقي اللّه ، ويعمل في ذلك بالمعروف ، ولا يضرّ أخاه المؤمن</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عن محمّد بن يحيى ، عن أحمد بن محمّد ، عن محمّد بن يحيى</w:t>
      </w:r>
      <w:r>
        <w:rPr>
          <w:rStyle w:val="FootnoteAnchor"/>
          <w:rtl w:val="true"/>
        </w:rPr>
        <w:footnoteReference w:id="564"/>
      </w:r>
      <w:r>
        <w:rPr>
          <w:rFonts w:ascii="IRNazanin" w:hAnsi="IRNazanin" w:eastAsia="IRNazanin"/>
          <w:color w:val="111111"/>
          <w:sz w:val="28"/>
          <w:sz w:val="28"/>
          <w:szCs w:val="28"/>
          <w:rtl w:val="true"/>
          <w:lang w:bidi="fa-IR"/>
        </w:rPr>
        <w:t xml:space="preserve">، عن طلحة بن زيد ، عن أبي عبداللّه ، عن أبيه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في كتاب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رحمهما اللّه كتب كتاباً بين المهاجرين والأنصار ومن لحق بهم من أهل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غازية غزت بما يعقّب بعضها بعضاً بالمعروف والقسط بين المسلمين ، فإنّه لا يجوز حرب إلاّ بإذن أهلها ، وإنّ الجار كالنفس غير مضارّ ولا آثم ، وحرمة الجار على الجار كحرمة اُمّه وأبيه ، لا يسالم مؤمن دون مؤمن في قتال في سبيل اللّه إلاّ على عدل وسواء</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غزت معنا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تُجار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عن أكثر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الحسين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رحمهما اللّه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أضرّ بامرأةٍ حتّى تفتدي منه نفسها لم يرضَ اللّه له بعقوبة دون النار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ضارّ مسلماً فليس منّا ولسنا منه في الدنيا والآخرة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ما عثرنا عليه من الروايات المربوطة بالمقام ، وقد نقل</w:t>
      </w:r>
      <w:r>
        <w:rPr>
          <w:rStyle w:val="FootnoteAnchor"/>
          <w:rtl w:val="true"/>
        </w:rPr>
        <w:footnoteReference w:id="568"/>
      </w:r>
      <w:r>
        <w:rPr>
          <w:rFonts w:ascii="Amiri" w:hAnsi="Amiri" w:eastAsia="Amiri" w:cs="Amiri"/>
          <w:color w:val="111111"/>
          <w:sz w:val="28"/>
          <w:sz w:val="28"/>
          <w:szCs w:val="28"/>
          <w:rtl w:val="true"/>
          <w:lang w:bidi="ar-SA"/>
        </w:rPr>
        <w:t xml:space="preserve">عن الفخر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تواتر حديث نفي الضرر والضرار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472" w:name="pg12132_128280"/>
    </w:p>
    <w:p>
      <w:pPr>
        <w:pStyle w:val="Heading2"/>
        <w:numPr>
          <w:ilvl w:val="1"/>
          <w:numId w:val="1"/>
        </w:numPr>
        <w:rPr/>
      </w:pPr>
      <w:bookmarkStart w:id="473" w:name="__RefHeading___Toc3352882_417432637"/>
      <w:bookmarkStart w:id="474" w:name="_Toc162"/>
      <w:bookmarkEnd w:id="472"/>
      <w:bookmarkEnd w:id="473"/>
      <w:r>
        <w:rPr>
          <w:rtl w:val="true"/>
        </w:rPr>
        <w:t xml:space="preserve">فصل </w:t>
      </w:r>
      <w:r>
        <w:rPr>
          <w:rtl w:val="true"/>
        </w:rPr>
        <w:t xml:space="preserve">: </w:t>
      </w:r>
      <w:r>
        <w:rPr>
          <w:rtl w:val="true"/>
        </w:rPr>
        <w:t xml:space="preserve">في حال ورود </w:t>
      </w:r>
      <w:r>
        <w:rPr>
          <w:rtl w:val="true"/>
        </w:rPr>
        <w:t>«</w:t>
      </w:r>
      <w:r>
        <w:rPr>
          <w:rtl w:val="true"/>
        </w:rPr>
        <w:t>لا ضرر</w:t>
      </w:r>
      <w:r>
        <w:rPr>
          <w:rtl w:val="true"/>
        </w:rPr>
        <w:t xml:space="preserve">» </w:t>
      </w:r>
      <w:r>
        <w:rPr>
          <w:rtl w:val="true"/>
        </w:rPr>
        <w:t>في ضمن القضايا ومستقلاًّ</w:t>
      </w:r>
      <w:bookmarkEnd w:id="474"/>
    </w:p>
    <w:p>
      <w:pPr>
        <w:pStyle w:val="BookText"/>
        <w:rPr/>
      </w:pPr>
      <w:r>
        <w:rPr>
          <w:rFonts w:ascii="Amiri" w:hAnsi="Amiri" w:eastAsia="Amiri" w:cs="Amiri"/>
          <w:color w:val="111111"/>
          <w:sz w:val="28"/>
          <w:sz w:val="28"/>
          <w:szCs w:val="28"/>
          <w:rtl w:val="true"/>
          <w:lang w:bidi="ar-SA"/>
        </w:rPr>
        <w:t xml:space="preserve">لا ينبغي الإشكال في صدور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لاشتهاره بين الفريقين وورود الروايات المستفيضة المتضمّنة له ، كما أنّ وروده في ضمن قضيّة سمرة بن جندب ممّا لا إشكال فيه ؛ فقد ورد من طرقنا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مختلفة ، مع اختلاف في المتون اختلافاً غير جوهري ، يطمئنّ الناظر فيها بأنّ هذا الاختلاف إنّما وقع لأجل النقل بالمعنى واختلاف دواعي الناقلين في نقل تمام القضيّة وإسقاط بعضها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فمرسلة زرارة</w:t>
      </w:r>
      <w:r>
        <w:rPr>
          <w:rStyle w:val="FootnoteAnchor"/>
          <w:rtl w:val="true"/>
        </w:rPr>
        <w:footnoteReference w:id="570"/>
      </w:r>
      <w:r>
        <w:rPr>
          <w:rFonts w:ascii="Amiri" w:hAnsi="Amiri" w:eastAsia="Amiri" w:cs="Amiri"/>
          <w:color w:val="111111"/>
          <w:sz w:val="28"/>
          <w:sz w:val="28"/>
          <w:szCs w:val="28"/>
          <w:rtl w:val="true"/>
          <w:lang w:bidi="ar-SA"/>
        </w:rPr>
        <w:t>مشتملة على خصوصيات أكثر من موثّقته</w:t>
      </w:r>
      <w:r>
        <w:rPr>
          <w:rStyle w:val="FootnoteAnchor"/>
          <w:rtl w:val="true"/>
        </w:rPr>
        <w:footnoteReference w:id="571"/>
      </w:r>
      <w:r>
        <w:rPr>
          <w:rFonts w:ascii="Amiri" w:hAnsi="Amiri" w:eastAsia="Amiri" w:cs="Amiri"/>
          <w:color w:val="111111"/>
          <w:sz w:val="28"/>
          <w:sz w:val="28"/>
          <w:szCs w:val="28"/>
          <w:rtl w:val="true"/>
          <w:lang w:bidi="ar-SA"/>
        </w:rPr>
        <w:t>ومن رواية الحذّاء</w:t>
      </w:r>
      <w:r>
        <w:rPr>
          <w:rStyle w:val="FootnoteAnchor"/>
          <w:rtl w:val="true"/>
        </w:rPr>
        <w:footnoteReference w:id="572"/>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اشتمالها على غالب خصوصيات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في نقل قول رسول اللّه رحمهما اللّه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فاغرسها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أهملت الموثّقة ورواية الحذّاء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فقراتها ، وسيأتي التعرّض لذلك</w:t>
      </w:r>
      <w:r>
        <w:rPr>
          <w:rStyle w:val="FootnoteAnchor"/>
          <w:rtl w:val="true"/>
        </w:rPr>
        <w:footnoteReference w:id="573"/>
      </w:r>
      <w:r>
        <w:rPr>
          <w:rFonts w:ascii="Amiri" w:hAnsi="Amiri" w:eastAsia="Amiri" w:cs="Amiri"/>
          <w:color w:val="111111"/>
          <w:sz w:val="28"/>
          <w:sz w:val="28"/>
          <w:szCs w:val="28"/>
          <w:rtl w:val="true"/>
          <w:lang w:bidi="ar-SA"/>
        </w:rPr>
        <w:t xml:space="preserve">، وقد ورد في ضمن ثلاث قضايا اُخرى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قضيّة الشفعة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قضيّة عدم منع فضل الكلاء</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ونرجع إلى البحث فيهما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قضيّة هدم الجدار لإضرار الجار ،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استقلال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 لكنّه احتمال لا يعوّل عليه ، وليس ظهوراً لفظياً ، واستشهاده بقوله رحمهما اللّه لا يدلّ على كونه قضيّة مستقلّة من قضايا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وروده في ضمن القضايا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موارد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ومراسيل الصدوق والشيخ وابن زهرة والعلاّمة وابن الأثير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وقفنا عليه من نقله مستقلاًّ </w:t>
      </w:r>
      <w:r>
        <w:rPr>
          <w:rFonts w:eastAsia="Amiri" w:cs="Amiri" w:ascii="Amiri" w:hAnsi="Amiri"/>
          <w:color w:val="111111"/>
          <w:sz w:val="28"/>
          <w:szCs w:val="28"/>
          <w:rtl w:val="true"/>
          <w:lang w:bidi="ar-SA"/>
        </w:rPr>
        <w:t xml:space="preserve">. </w:t>
      </w:r>
      <w:bookmarkStart w:id="475" w:name="pg12132_128282"/>
    </w:p>
    <w:p>
      <w:pPr>
        <w:pStyle w:val="BookText"/>
        <w:rPr/>
      </w:pPr>
      <w:bookmarkEnd w:id="475"/>
      <w:r>
        <w:rPr>
          <w:rFonts w:ascii="Amiri" w:hAnsi="Amiri" w:eastAsia="Amiri" w:cs="Amiri"/>
          <w:color w:val="111111"/>
          <w:sz w:val="28"/>
          <w:sz w:val="28"/>
          <w:szCs w:val="28"/>
          <w:rtl w:val="true"/>
          <w:lang w:bidi="ar-SA"/>
        </w:rPr>
        <w:t xml:space="preserve">لكن إثبات استقلاله بها مشكل ؛ لعدم حجّية تلك المراسيل ، وعدم ظهورها في كونه صادراً مستقلاًّ ، ولعلّ استشهادهم إنّما يكون بما في ذيل قضيّة سَمُرَة ابن جُندَب ، واحتمال أخذ بعضهم من بعض ، ولا تكون إلاّ مرسلة واحدة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الاستناد إليه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 لنا إلى إثبات كونه قضيّة مستقلّة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ادّعى بعض أعاظم العصر رحمه الله علیه في رسالته المعمولة في قاعدة لا ضرر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أيّ حال وروده مستقلاًّ على الظاهر ممّا لا إشكال فيه</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 xml:space="preserve">إن كان مراده من الورود هو الأعمّ من الحجّة ، فهو كذلك ؛ لوروده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كذلك ، وإن كان مراده ثبوت الورود فلا دليل عليه يمكن الاستناد إليه </w:t>
      </w:r>
      <w:r>
        <w:rPr>
          <w:rFonts w:eastAsia="Amiri" w:cs="Amiri" w:ascii="Amiri" w:hAnsi="Amiri"/>
          <w:color w:val="111111"/>
          <w:sz w:val="28"/>
          <w:szCs w:val="28"/>
          <w:rtl w:val="true"/>
          <w:lang w:bidi="ar-SA"/>
        </w:rPr>
        <w:t>.</w:t>
      </w:r>
    </w:p>
    <w:p>
      <w:pPr>
        <w:pStyle w:val="Heading2"/>
        <w:numPr>
          <w:ilvl w:val="1"/>
          <w:numId w:val="1"/>
        </w:numPr>
        <w:rPr/>
      </w:pPr>
      <w:bookmarkStart w:id="476" w:name="__RefHeading___Toc3352884_417432637"/>
      <w:bookmarkStart w:id="477" w:name="_Toc163"/>
      <w:bookmarkEnd w:id="476"/>
      <w:r>
        <w:rPr>
          <w:rtl w:val="true"/>
        </w:rPr>
        <w:t xml:space="preserve">فصل </w:t>
      </w:r>
      <w:r>
        <w:rPr>
          <w:rtl w:val="true"/>
        </w:rPr>
        <w:t xml:space="preserve">: </w:t>
      </w:r>
      <w:r>
        <w:rPr>
          <w:rtl w:val="true"/>
        </w:rPr>
        <w:t>في الإشكالات الواردة على وروده في ذيل الشفعة ومنع فضول الماء</w:t>
      </w:r>
      <w:bookmarkEnd w:id="477"/>
    </w:p>
    <w:p>
      <w:pPr>
        <w:pStyle w:val="BookText"/>
        <w:rPr/>
      </w:pPr>
      <w:r>
        <w:rPr>
          <w:rFonts w:ascii="IRNazanin" w:hAnsi="IRNazanin" w:eastAsia="IRNazanin"/>
          <w:color w:val="111111"/>
          <w:sz w:val="28"/>
          <w:sz w:val="28"/>
          <w:szCs w:val="28"/>
          <w:rtl w:val="true"/>
          <w:lang w:bidi="fa-IR"/>
        </w:rPr>
        <w:t>قد عرفت</w:t>
      </w:r>
      <w:r>
        <w:rPr>
          <w:rStyle w:val="FootnoteAnchor"/>
          <w:rtl w:val="true"/>
        </w:rPr>
        <w:footnoteReference w:id="581"/>
      </w:r>
      <w:r>
        <w:rPr>
          <w:rFonts w:ascii="Amiri" w:hAnsi="Amiri" w:eastAsia="Amiri" w:cs="Amiri"/>
          <w:color w:val="111111"/>
          <w:sz w:val="28"/>
          <w:sz w:val="28"/>
          <w:szCs w:val="28"/>
          <w:rtl w:val="true"/>
          <w:lang w:bidi="ar-SA"/>
        </w:rPr>
        <w:t xml:space="preserve">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قضيّة الشفعة وقضيّة عدم منع فضل الماء ، والظاهر منهما أ نّه من تتمّتهما ، وبمنزلة كبرى كلّية يندرج فيها الموردان كاندراج قضيّة سَمُرَة فيها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فيلزم منه إشكالات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كان بمنزلة العلّة للحكم لزم كونها معمّمة ومخصّصة ، واللازم منه</w:t>
      </w:r>
    </w:p>
    <w:p>
      <w:pPr>
        <w:pStyle w:val="BookText"/>
        <w:rPr/>
      </w:pPr>
      <w:r>
        <w:rPr>
          <w:rFonts w:ascii="Amiri" w:hAnsi="Amiri" w:eastAsia="Amiri" w:cs="Amiri"/>
          <w:color w:val="111111"/>
          <w:sz w:val="28"/>
          <w:sz w:val="28"/>
          <w:szCs w:val="28"/>
          <w:rtl w:val="true"/>
          <w:lang w:bidi="ar-SA"/>
        </w:rPr>
        <w:t xml:space="preserve">في باب الشفعة أن يخصّص حقّ الشفعة بموارد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الشركة الثانية ضرر دون غيرها ؛ ضرورة أنّ الضرر لم يكن لازماً لمطلق الشركة مع غير الشريك الأوّل ، فربما تكون الشركة مع الثاني أنفع له من الأوّل ، وربما لا يكون ضرر أصلاً ، مع عدم التزامهم بذلك ، وأيضاً يلزم منه ثبوت الشفعة في غير البيع من سائر المعاوضات إذا لزم منها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العلّية دوران الحكم مدارها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يلزم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مشرّعاً للحكم الثبوتي ؛ فإنّ جواز أخذ الشفعة حكم ثبوتي زائد على نفي اللزوم في البيع بالغير اللازم منه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يلزم أن ترفع بالضرر الأحكام التي يلزم منها عدم النفع ؛ فإنّ في منع فضل الماء عدم وصول النفع إلى الماشية ، مضافاً إلى أنّ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كراهة منع فضل الماء ، فيلزم منه سدّ باب الاستدلال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لا يمكن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أصرّ العلاّمة شيخ الشريعة الأصفهاني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لا 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الحديثين لم يكونا حال صدورهما عن النبي رحمهما اللّه مذيّلين بحديث الضرر ، وأنّ الجمع بينهما وبينه وقع من الراوي بعد صدور كلٍّ في وقت خاصّ به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ما استدلّ به لهذه الدعوى هو أ نّه يظهر بعد التروّي والتأمّل </w:t>
      </w:r>
    </w:p>
    <w:p>
      <w:pPr>
        <w:pStyle w:val="BookText"/>
        <w:rPr/>
      </w:pPr>
      <w:r>
        <w:rPr>
          <w:rFonts w:ascii="Amiri" w:hAnsi="Amiri" w:eastAsia="Amiri" w:cs="Amiri"/>
          <w:color w:val="111111"/>
          <w:sz w:val="28"/>
          <w:sz w:val="28"/>
          <w:szCs w:val="28"/>
          <w:rtl w:val="true"/>
          <w:lang w:bidi="ar-SA"/>
        </w:rPr>
        <w:t xml:space="preserve">التامّ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الجامع لأقضية رسول اللّه رحمهما اللّه في مواضع</w:t>
      </w:r>
    </w:p>
    <w:p>
      <w:pPr>
        <w:pStyle w:val="BookText"/>
        <w:rPr/>
      </w:pPr>
      <w:r>
        <w:rPr>
          <w:rFonts w:ascii="IRNazanin" w:hAnsi="IRNazanin" w:eastAsia="IRNazanin"/>
          <w:color w:val="111111"/>
          <w:sz w:val="28"/>
          <w:sz w:val="28"/>
          <w:szCs w:val="28"/>
          <w:rtl w:val="true"/>
          <w:lang w:bidi="fa-IR"/>
        </w:rPr>
        <w:t xml:space="preserve">مختلفة وموارد متشتّتة كان معروفاً بين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طرقنا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فبرواية عقبة بن خالد عن الصادق علیه السلام ، ومن طرق أهل السنّة برواية عُبادة بن الصامت ، ثمّ روى قضايا رسول اللّه رحمهما 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عُبادة وبرواياتنا عن 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بما نقلنا مطابقة ما روي من طرقنا لما روي من طرق القوم من رواية عبادة من غير زيادة ونقيصة ، بل بعين تلك الألفاظ غالباً ، إلاّ الحديثين الأخيرين المرويّين عندنا من زيادة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وتلك المطابقة بين الفقرات ممّا يؤكّد الوثوق بأنّ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مطابقين لما رواه عبادة</w:t>
      </w:r>
    </w:p>
    <w:p>
      <w:pPr>
        <w:pStyle w:val="BookText"/>
        <w:rPr/>
      </w:pPr>
      <w:r>
        <w:rPr>
          <w:rFonts w:ascii="Amiri" w:hAnsi="Amiri" w:eastAsia="Amiri" w:cs="Amiri"/>
          <w:color w:val="111111"/>
          <w:sz w:val="28"/>
          <w:sz w:val="28"/>
          <w:szCs w:val="28"/>
          <w:rtl w:val="true"/>
          <w:lang w:bidi="ar-SA"/>
        </w:rPr>
        <w:t xml:space="preserve">من عدم التذييل بحديث الضرر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أعتقده أ نّها كانت مجتمعة في رواية عَقَبة بن خالد عن أبي عبداللّه علیه السلام كما في رواية عبادة بن الصامت ، إلاّ أنّ أئمّة الحديث فرّقوها على الأبواب</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قد نقل من قضايا رسول اللّه رحمهما اللّه من طرق القوم برواية عبادة عشرين قضيّة تقريباً ، ونقل من طرقنا برواية عَقَبة بن خالد ستّ أو سبع قضايا ، اثنتان منها قضيّة الشفعة</w:t>
      </w:r>
      <w:r>
        <w:rPr>
          <w:rStyle w:val="FootnoteAnchor"/>
          <w:rtl w:val="true"/>
        </w:rPr>
        <w:footnoteReference w:id="584"/>
      </w:r>
      <w:r>
        <w:rPr>
          <w:rFonts w:ascii="IRNazanin" w:hAnsi="IRNazanin" w:eastAsia="IRNazanin"/>
          <w:color w:val="111111"/>
          <w:sz w:val="28"/>
          <w:sz w:val="28"/>
          <w:szCs w:val="28"/>
          <w:rtl w:val="true"/>
          <w:lang w:bidi="fa-IR"/>
        </w:rPr>
        <w:t>وعدم منع فضول الماء</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تفحّصت في </w:t>
      </w:r>
    </w:p>
    <w:p>
      <w:pPr>
        <w:pStyle w:val="BookText"/>
        <w:rPr/>
      </w:pPr>
      <w:r>
        <w:rPr>
          <w:rFonts w:ascii="Amiri" w:hAnsi="Amiri" w:eastAsia="Amiri" w:cs="Amiri"/>
          <w:color w:val="111111"/>
          <w:sz w:val="28"/>
          <w:sz w:val="28"/>
          <w:szCs w:val="28"/>
          <w:rtl w:val="true"/>
          <w:lang w:bidi="ar-SA"/>
        </w:rPr>
        <w:t xml:space="preserve">الأخبار الحاكية لقضايا رسول اللّه رحمهما اللّه من طرقنا ، فوجدت أنّ غالبها غير منقولة برواية عقبة بن خالد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متفرّد غالباً فيما نقله ، فكيف يمكن مع ذلك دعوى الوثوق بأنّ قضاياه كانت مجتمعة في رواية عقبة بن خالد ، ففرّقها أئمّة الحديث على الأبواب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راجع الأخبار الحاكية لقضايا رسول اللّه ، ورأى أنّ عقبة بن خالد لم ينقل إلاّ نادراً من قضاياه ، ولم يكن في نقل تلك النوادر متفرّداً غالباً ، يطمئنّ بخلاف ما ادّعى ذلك المتبحّر ، فلو كان لنا</w:t>
      </w:r>
    </w:p>
    <w:p>
      <w:pPr>
        <w:pStyle w:val="BookText"/>
        <w:rPr/>
      </w:pPr>
      <w:r>
        <w:rPr>
          <w:rFonts w:ascii="Amiri" w:hAnsi="Amiri" w:eastAsia="Amiri" w:cs="Amiri"/>
          <w:color w:val="111111"/>
          <w:sz w:val="28"/>
          <w:sz w:val="28"/>
          <w:szCs w:val="28"/>
          <w:rtl w:val="true"/>
          <w:lang w:bidi="ar-SA"/>
        </w:rPr>
        <w:t xml:space="preserve">مجال واسع لسردتُ الروايات المتضمّنة لقضايا رسول اللّه ؛ حتّى تجد صدق ما ادّعيناه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 نّه بناءً على أن تكون التجزئة على الأبواب من فعل أئمّة الحديث لا معنى 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قضيّتين ، فإنّ عقبة بن خالد لم يذكر حينئذٍ تلك القضيّة إلاّ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تأييد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سند الكليني إلى عقبة في جميع القضايا المنقولة منه واحد</w:t>
      </w:r>
      <w:r>
        <w:rPr>
          <w:rStyle w:val="FootnoteAnchor"/>
          <w:rtl w:val="true"/>
        </w:rPr>
        <w:footnoteReference w:id="586"/>
      </w:r>
      <w:r>
        <w:rPr>
          <w:rFonts w:ascii="Amiri" w:hAnsi="Amiri" w:eastAsia="Amiri" w:cs="Amiri"/>
          <w:color w:val="111111"/>
          <w:sz w:val="28"/>
          <w:sz w:val="28"/>
          <w:szCs w:val="28"/>
          <w:rtl w:val="true"/>
          <w:lang w:bidi="ar-SA"/>
        </w:rPr>
        <w:t xml:space="preserve">، ففي غاية السقوط ؛ لأنّ الطريق إلى أرباب الكتب والاُصول من أصحاب الجوامع قد يكون واحداً ، وقد يكون متعدّداً ، فوحدة طريقهم إلى كتب الرواة لا تدلّ على اجتماع رواياتهم ، كما هو واضح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بقيت الروايتان المذيّلتان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قالب الإشكال </w:t>
      </w:r>
      <w:r>
        <w:rPr>
          <w:rFonts w:eastAsia="Amiri" w:cs="Amiri" w:ascii="Amiri" w:hAnsi="Amiri"/>
          <w:color w:val="111111"/>
          <w:sz w:val="28"/>
          <w:szCs w:val="28"/>
          <w:rtl w:val="true"/>
          <w:lang w:bidi="ar-SA"/>
        </w:rPr>
        <w:t xml:space="preserve">. </w:t>
      </w:r>
      <w:bookmarkStart w:id="478" w:name="pg12132_128286"/>
    </w:p>
    <w:p>
      <w:pPr>
        <w:pStyle w:val="Heading2"/>
        <w:numPr>
          <w:ilvl w:val="1"/>
          <w:numId w:val="1"/>
        </w:numPr>
        <w:rPr/>
      </w:pPr>
      <w:bookmarkStart w:id="479" w:name="__RefHeading___Toc3352886_417432637"/>
      <w:bookmarkStart w:id="480" w:name="_Toc164"/>
      <w:bookmarkEnd w:id="478"/>
      <w:bookmarkEnd w:id="479"/>
      <w:r>
        <w:rPr>
          <w:rtl w:val="true"/>
        </w:rPr>
        <w:t xml:space="preserve">فصل </w:t>
      </w:r>
      <w:r>
        <w:rPr>
          <w:rtl w:val="true"/>
        </w:rPr>
        <w:t xml:space="preserve">: </w:t>
      </w:r>
      <w:r>
        <w:rPr>
          <w:rtl w:val="true"/>
        </w:rPr>
        <w:t>في تأييد عدم وروده في ذيل القضيّتين</w:t>
      </w:r>
      <w:bookmarkEnd w:id="480"/>
    </w:p>
    <w:p>
      <w:pPr>
        <w:pStyle w:val="BookText"/>
        <w:rPr/>
      </w:pPr>
      <w:r>
        <w:rPr>
          <w:rFonts w:ascii="Amiri" w:hAnsi="Amiri" w:eastAsia="Amiri" w:cs="Amiri"/>
          <w:color w:val="111111"/>
          <w:sz w:val="28"/>
          <w:sz w:val="28"/>
          <w:szCs w:val="28"/>
          <w:rtl w:val="true"/>
          <w:lang w:bidi="ar-SA"/>
        </w:rPr>
        <w:t xml:space="preserve">قد عرفت أنّ ما تشبّث به المتبحّر المتقدّم للوثوق بكون الحديثين غير مذيّلين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الاعتماد عليه</w:t>
      </w:r>
      <w:r>
        <w:rPr>
          <w:rStyle w:val="FootnoteAnchor"/>
          <w:rtl w:val="true"/>
        </w:rPr>
        <w:footnoteReference w:id="587"/>
      </w:r>
      <w:r>
        <w:rPr>
          <w:rFonts w:ascii="Amiri" w:hAnsi="Amiri" w:eastAsia="Amiri" w:cs="Amiri"/>
          <w:color w:val="111111"/>
          <w:sz w:val="28"/>
          <w:sz w:val="28"/>
          <w:szCs w:val="28"/>
          <w:rtl w:val="true"/>
          <w:lang w:bidi="ar-SA"/>
        </w:rPr>
        <w:t xml:space="preserve">فالظهور السياقي يقتضي كونه من تتمّتهما ، ولا يرفع اليد عن هذا الظهور ولو كان ضعيفاً إلاّ بدليل موجب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امتنع جعله كبرى كلّية وعلّة للحكم وكذا علّة للتشريع ، فلا بدّ من رفع اليد عنه ، فلا بدّ من التعرّض لذلك حتّى يتّضح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امتناع كونه كبرى كلّية يندرج فيها الموردان فواضح ؛ ضرورة عدم اندراج الموردين فيه اندراج الصغرى في الكبرى ؛ فإنّ معنى اندراجها فيها كون الأصغر من مصاديق الأوسط ، ويحمل هو عليه حملاً شائعاً حتّى يسري الحكم الثابت عليه في الكبرى إلى الأصغر ، فينتج النتيجة المطلوبة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خمر مسكر ، وكلّ مسكر حرام ، فكلّ 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فحرمة الخمر ليست بعنوانه الذاتي ، بل بعنوان كونه مُسكراً ، ولأجل اندراجه في كبرى كلّية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مال الشريك شفعة ومنع فضول الماء لا يندرجان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حكمهما ، وأيضاً لا يكون نفي الضرر علّة موجبة</w:t>
      </w:r>
    </w:p>
    <w:p>
      <w:pPr>
        <w:pStyle w:val="BookText"/>
        <w:rPr/>
      </w:pPr>
      <w:r>
        <w:rPr>
          <w:rFonts w:ascii="Amiri" w:hAnsi="Amiri" w:eastAsia="Amiri" w:cs="Amiri"/>
          <w:color w:val="111111"/>
          <w:sz w:val="28"/>
          <w:sz w:val="28"/>
          <w:szCs w:val="28"/>
          <w:rtl w:val="true"/>
          <w:lang w:bidi="ar-SA"/>
        </w:rPr>
        <w:t xml:space="preserve">لأخذ الشفعة ومنع فضل الماء أو لحكمهما ؛ لعدم التناسب بينهما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امتناع كونه علّة للتشريع ، فلأنّ الميزان في كون شيء علّة للتشريع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يعلم من تصفّح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الموضوع مندرجاً في كلّي لا على نحو الكلّية ، أو يترتّب على متعلّق الحكم أو موضوعه لا بنحو الترتّب الكلّي والعلّي ، ولا يمكن تشخيص الموارد المترتّبة عن غيرها وتعريفه للمكلّف بحيث لا يقع بخلاف الواقع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ما لأجله التشريع ممّا يترتّب على مورد التشريع لا كلّياً ، كتشريع العِدّة لعدم اختلاط المياه</w:t>
      </w:r>
      <w:r>
        <w:rPr>
          <w:rStyle w:val="FootnoteAnchor"/>
          <w:rtl w:val="true"/>
        </w:rPr>
        <w:footnoteReference w:id="588"/>
      </w:r>
      <w:r>
        <w:rPr>
          <w:rFonts w:ascii="Amiri" w:hAnsi="Amiri" w:eastAsia="Amiri" w:cs="Amiri"/>
          <w:color w:val="111111"/>
          <w:sz w:val="28"/>
          <w:sz w:val="28"/>
          <w:szCs w:val="28"/>
          <w:rtl w:val="true"/>
          <w:lang w:bidi="ar-SA"/>
        </w:rPr>
        <w:t>، وتشريع الحجّ للتفقّه في الدين وبسط أمر الولاية</w:t>
      </w:r>
      <w:r>
        <w:rPr>
          <w:rStyle w:val="FootnoteAnchor"/>
          <w:rtl w:val="true"/>
        </w:rPr>
        <w:footnoteReference w:id="589"/>
      </w:r>
      <w:r>
        <w:rPr>
          <w:rFonts w:ascii="Amiri" w:hAnsi="Amiri" w:eastAsia="Amiri" w:cs="Amiri"/>
          <w:color w:val="111111"/>
          <w:sz w:val="28"/>
          <w:sz w:val="28"/>
          <w:szCs w:val="28"/>
          <w:rtl w:val="true"/>
          <w:lang w:bidi="ar-SA"/>
        </w:rPr>
        <w:t>وتشريع الصلاة لعدم نسيان ذكر النبي رحمهما اللّه والتطهير من الذنوب</w:t>
      </w:r>
      <w:r>
        <w:rPr>
          <w:rStyle w:val="FootnoteAnchor"/>
          <w:rtl w:val="true"/>
        </w:rPr>
        <w:footnoteReference w:id="590"/>
      </w:r>
      <w:r>
        <w:rPr>
          <w:rFonts w:ascii="Amiri" w:hAnsi="Amiri" w:eastAsia="Amiri" w:cs="Amiri"/>
          <w:color w:val="111111"/>
          <w:sz w:val="28"/>
          <w:sz w:val="28"/>
          <w:szCs w:val="28"/>
          <w:rtl w:val="true"/>
          <w:lang w:bidi="ar-SA"/>
        </w:rPr>
        <w:t>، وتشريع الصوم لحصول التساوي بين الفقراء والأغنياء ومسّ الأغنياء ألم الجوع</w:t>
      </w:r>
      <w:r>
        <w:rPr>
          <w:rStyle w:val="FootnoteAnchor"/>
          <w:rtl w:val="true"/>
        </w:rPr>
        <w:footnoteReference w:id="591"/>
      </w:r>
      <w:r>
        <w:rPr>
          <w:rFonts w:ascii="Amiri" w:hAnsi="Amiri" w:eastAsia="Amiri" w:cs="Amiri"/>
          <w:color w:val="111111"/>
          <w:sz w:val="28"/>
          <w:sz w:val="28"/>
          <w:szCs w:val="28"/>
          <w:rtl w:val="true"/>
          <w:lang w:bidi="ar-SA"/>
        </w:rPr>
        <w:t>، وتشريع الزكاة لاختبار الأغنياء وتحصين أموالهم</w:t>
      </w:r>
      <w:r>
        <w:rPr>
          <w:rStyle w:val="FootnoteAnchor"/>
          <w:rtl w:val="true"/>
        </w:rPr>
        <w:footnoteReference w:id="592"/>
      </w:r>
      <w:r>
        <w:rPr>
          <w:rFonts w:ascii="Amiri" w:hAnsi="Amiri" w:eastAsia="Amiri" w:cs="Amiri"/>
          <w:color w:val="111111"/>
          <w:sz w:val="28"/>
          <w:sz w:val="28"/>
          <w:szCs w:val="28"/>
          <w:rtl w:val="true"/>
          <w:lang w:bidi="ar-SA"/>
        </w:rPr>
        <w:t>، وتشريع الصدقة لازدياد المال ودفع الأمراض</w:t>
      </w:r>
      <w:r>
        <w:rPr>
          <w:rStyle w:val="FootnoteAnchor"/>
          <w:rtl w:val="true"/>
        </w:rPr>
        <w:footnoteReference w:id="593"/>
      </w:r>
      <w:r>
        <w:rPr>
          <w:rFonts w:ascii="Amiri" w:hAnsi="Amiri" w:eastAsia="Amiri" w:cs="Amiri"/>
          <w:color w:val="111111"/>
          <w:sz w:val="28"/>
          <w:sz w:val="28"/>
          <w:szCs w:val="28"/>
          <w:rtl w:val="true"/>
          <w:lang w:bidi="ar-SA"/>
        </w:rPr>
        <w:t>، وتشريع غسل الجمعة لإزالة أرياح الآباط</w:t>
      </w:r>
      <w:r>
        <w:rPr>
          <w:rStyle w:val="FootnoteAnchor"/>
          <w:rtl w:val="true"/>
        </w:rPr>
        <w:footnoteReference w:id="594"/>
      </w:r>
      <w:r>
        <w:rPr>
          <w:rFonts w:ascii="Amiri" w:hAnsi="Amiri" w:eastAsia="Amiri" w:cs="Amiri"/>
          <w:color w:val="111111"/>
          <w:sz w:val="28"/>
          <w:sz w:val="28"/>
          <w:szCs w:val="28"/>
          <w:rtl w:val="true"/>
          <w:lang w:bidi="ar-SA"/>
        </w:rPr>
        <w:t>، وتشريع طهارة الحديد لدفع الحرج</w:t>
      </w:r>
      <w:r>
        <w:rPr>
          <w:rStyle w:val="FootnoteAnchor"/>
          <w:rtl w:val="true"/>
        </w:rPr>
        <w:footnoteReference w:id="59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مواردها </w:t>
      </w:r>
    </w:p>
    <w:p>
      <w:pPr>
        <w:pStyle w:val="BookText"/>
        <w:rPr/>
      </w:pPr>
      <w:r>
        <w:rPr>
          <w:rFonts w:ascii="Amiri" w:hAnsi="Amiri" w:eastAsia="Amiri" w:cs="Amiri"/>
          <w:color w:val="111111"/>
          <w:sz w:val="28"/>
          <w:sz w:val="28"/>
          <w:szCs w:val="28"/>
          <w:rtl w:val="true"/>
          <w:lang w:bidi="ar-SA"/>
        </w:rPr>
        <w:t xml:space="preserve">التي ترى أ نّها مشتركة في ترتّب الفوائد على ذيها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الموردين ليسا بهذه المثابة ؛ فإنّ أخذ ملك الشريك شفعة لا يترتّب</w:t>
      </w:r>
    </w:p>
    <w:p>
      <w:pPr>
        <w:pStyle w:val="BookText"/>
        <w:rPr/>
      </w:pPr>
      <w:r>
        <w:rPr>
          <w:rFonts w:ascii="Amiri" w:hAnsi="Amiri" w:eastAsia="Amiri" w:cs="Amiri"/>
          <w:color w:val="111111"/>
          <w:sz w:val="28"/>
          <w:sz w:val="28"/>
          <w:szCs w:val="28"/>
          <w:rtl w:val="true"/>
          <w:lang w:bidi="ar-SA"/>
        </w:rPr>
        <w:t xml:space="preserve">عليه دفع الضرر في مورد من الموارد ؛ فإنّه على فرض تحقّق الضرر يكون هو دائماً مرفوعاً بأمر متقدّم طبعاً على الأخذ بالشفعة ، وهو عدم لزوم بيع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فضل الماء لا يكون موجباً للضرر ، بل لعدم النفع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نكتة التشريع أدنى مناسبة ، وهو كما ترى</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ضرر أو ضرار وضيق ، فجعل الشفعة بالشرائط التي فيها إنّما هو لملاحظة حال كليهما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ما عرفت من عدم تناسب هذا الذيل مع صدر روايتي ثبوت الشفعة</w:t>
      </w:r>
      <w:r>
        <w:rPr>
          <w:rStyle w:val="FootnoteAnchor"/>
          <w:rtl w:val="true"/>
        </w:rPr>
        <w:footnoteReference w:id="597"/>
      </w:r>
      <w:r>
        <w:rPr>
          <w:rFonts w:ascii="Amiri" w:hAnsi="Amiri" w:eastAsia="Amiri" w:cs="Amiri"/>
          <w:color w:val="111111"/>
          <w:sz w:val="28"/>
          <w:sz w:val="28"/>
          <w:szCs w:val="28"/>
          <w:rtl w:val="true"/>
          <w:lang w:bidi="ar-SA"/>
        </w:rPr>
        <w:t>وكراهة منع فضل الماء</w:t>
      </w:r>
      <w:r>
        <w:rPr>
          <w:rStyle w:val="FootnoteAnchor"/>
          <w:rtl w:val="true"/>
        </w:rPr>
        <w:footnoteReference w:id="598"/>
      </w:r>
      <w:r>
        <w:rPr>
          <w:rFonts w:ascii="Amiri" w:hAnsi="Amiri" w:eastAsia="Amiri" w:cs="Amiri"/>
          <w:color w:val="111111"/>
          <w:sz w:val="28"/>
          <w:sz w:val="28"/>
          <w:szCs w:val="28"/>
          <w:rtl w:val="true"/>
          <w:lang w:bidi="ar-SA"/>
        </w:rPr>
        <w:t xml:space="preserve">فلا يبعد الالتزام بعدم كونهما مذيّلين به ، خصوصاً مع عدم هذا الذيل في سائر الروايات في البابين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محمّد بن علي بن الحسين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في أهل البوادي أن لا يمنعوا فضل ماء ولا يبيعوا فضل كلاء</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جمهور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رحمهما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منع فضل </w:t>
      </w:r>
    </w:p>
    <w:p>
      <w:pPr>
        <w:pStyle w:val="BookText"/>
        <w:rPr/>
      </w:pPr>
      <w:r>
        <w:rPr>
          <w:rFonts w:ascii="Amiri" w:hAnsi="Amiri" w:eastAsia="Amiri" w:cs="Amiri"/>
          <w:color w:val="111111"/>
          <w:sz w:val="28"/>
          <w:sz w:val="28"/>
          <w:szCs w:val="28"/>
          <w:rtl w:val="true"/>
          <w:lang w:bidi="ar-SA"/>
        </w:rPr>
        <w:t>الماء ليمنع به الكلاء منعه اللّه فضل رحمته يوم القيامة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عبادة بن الصامت ، قال في ضمن قضايا رسول اللّه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بالشفعة بين الشركاء في الأرضين والدور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بعد ذكر عدّة من قضاياه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أن لا ضرر ولا ضرار ، وقضى أ نّه ليس لعرْقٍ ظالمٍ</w:t>
      </w:r>
      <w:r>
        <w:rPr>
          <w:rStyle w:val="FootnoteAnchor"/>
          <w:rtl w:val="true"/>
        </w:rPr>
        <w:footnoteReference w:id="601"/>
      </w:r>
      <w:r>
        <w:rPr>
          <w:rFonts w:ascii="Amiri" w:hAnsi="Amiri" w:eastAsia="Amiri" w:cs="Amiri"/>
          <w:color w:val="111111"/>
          <w:sz w:val="28"/>
          <w:sz w:val="28"/>
          <w:szCs w:val="28"/>
          <w:rtl w:val="true"/>
          <w:lang w:bidi="ar-SA"/>
        </w:rPr>
        <w:t>حقّ ، وقضى بين أهل المدينة في النخل لا يُمنع نقع بئر ، وقضى بين أهل البادية أ نّه لا يمنع فضل ماءٍ ؛ ليمنع به فضل الكلاء</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رواياتنا في كتاب الشفعة ليس عين ولا أثر من هذا الذيل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أفاد العلاّمة شيخ الشريعة قدّس سرّه من دعوى الوثوق باجتماع قضايا رسول اللّه في رواية عقبة كرواية عبادة</w:t>
      </w:r>
      <w:r>
        <w:rPr>
          <w:rStyle w:val="FootnoteAnchor"/>
          <w:rtl w:val="true"/>
        </w:rPr>
        <w:footnoteReference w:id="603"/>
      </w:r>
      <w:r>
        <w:rPr>
          <w:rFonts w:ascii="Amiri" w:hAnsi="Amiri" w:eastAsia="Amiri" w:cs="Amiri"/>
          <w:color w:val="111111"/>
          <w:sz w:val="28"/>
          <w:sz w:val="28"/>
          <w:szCs w:val="28"/>
          <w:rtl w:val="true"/>
          <w:lang w:bidi="ar-SA"/>
        </w:rPr>
        <w:t xml:space="preserve">وإن كان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دعوى عدم تذييل الحديثين بهذا الذيل بمثابة ارتباط علّة الحكم أو التشريع بمعلولها قريبة ، فلا يبعد أن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عقبة بن خالد قد سمع عدّةً من قضايا رسول اللّه رحمهما اللّه في موارد مختلفة عن أبي عبداللّه علیه السلام ، وحين نقله روايتي الشفعة </w:t>
      </w:r>
    </w:p>
    <w:p>
      <w:pPr>
        <w:pStyle w:val="BookText"/>
        <w:rPr/>
      </w:pPr>
      <w:r>
        <w:rPr>
          <w:rFonts w:ascii="IRNazanin" w:hAnsi="IRNazanin" w:eastAsia="IRNazanin"/>
          <w:color w:val="111111"/>
          <w:sz w:val="28"/>
          <w:sz w:val="28"/>
          <w:szCs w:val="28"/>
          <w:rtl w:val="true"/>
          <w:lang w:bidi="fa-IR"/>
        </w:rPr>
        <w:t xml:space="preserve">ومنع فضل الماء كان في ذهنه قضاء رسول اللّه رحمهما اللّه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فألحقه بهما وذيّلهما به ؛ زعماً منه أ نّه سمع من أبي عبداللّه علیه السلام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عدم الارتباط بينه وبينهما ، وورود إشكالات غير منحلّة عليه ، وخلوّ الروايات الاُخر من هذا الذيل ، وافتراق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الحكمين في حديث عُبادة بن الصامت ، لا يبعد دعوى الوثوق بعدم تذييلهما بهذا الذيل ، ولا أقلّ من صيرورة هذه الجهات موجبةً لرفع اليد عن هذا الظهور السياقي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دعوى ظهور الروايتين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مستقلّةً ؛ حيث تخلّل بين الصدر والذيل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بدل الواو الفاء</w:t>
      </w:r>
      <w:r>
        <w:rPr>
          <w:rStyle w:val="FootnoteAnchor"/>
          <w:rtl w:val="true"/>
        </w:rPr>
        <w:footnoteReference w:id="606"/>
      </w:r>
      <w:r>
        <w:rPr>
          <w:rFonts w:ascii="Amiri" w:hAnsi="Amiri" w:eastAsia="Amiri" w:cs="Amiri"/>
          <w:color w:val="111111"/>
          <w:sz w:val="28"/>
          <w:sz w:val="28"/>
          <w:szCs w:val="28"/>
          <w:rtl w:val="true"/>
          <w:lang w:bidi="ar-SA"/>
        </w:rPr>
        <w:t xml:space="preserve">، لكن لا يبعد كونه تصحيفاً ؛ فإنّ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المتبحّر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النسخ من عطف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تصحيف قطعاً ، والنسخ الصحيحة المعتمدة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على الواو</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ضعف الروايتين بمحمّد بن عبداللّه بن هلال المجهول وعقبة بن خالد الذي لم يرد فيه توثيق ، فلا تصلحان لإثبات حكم </w:t>
      </w:r>
      <w:r>
        <w:rPr>
          <w:rFonts w:eastAsia="Amiri" w:cs="Amiri" w:ascii="Amiri" w:hAnsi="Amiri"/>
          <w:color w:val="111111"/>
          <w:sz w:val="28"/>
          <w:szCs w:val="28"/>
          <w:rtl w:val="true"/>
          <w:lang w:bidi="ar-SA"/>
        </w:rPr>
        <w:t xml:space="preserve">. </w:t>
      </w:r>
      <w:bookmarkStart w:id="481" w:name="pg12132_128291"/>
    </w:p>
    <w:p>
      <w:pPr>
        <w:pStyle w:val="Heading2"/>
        <w:numPr>
          <w:ilvl w:val="1"/>
          <w:numId w:val="1"/>
        </w:numPr>
        <w:rPr/>
      </w:pPr>
      <w:bookmarkStart w:id="482" w:name="__RefHeading___Toc3352888_417432637"/>
      <w:bookmarkStart w:id="483" w:name="_Toc165"/>
      <w:bookmarkEnd w:id="481"/>
      <w:bookmarkEnd w:id="482"/>
      <w:r>
        <w:rPr>
          <w:rtl w:val="true"/>
        </w:rPr>
        <w:t xml:space="preserve">فصل </w:t>
      </w:r>
      <w:r>
        <w:rPr>
          <w:rtl w:val="true"/>
        </w:rPr>
        <w:t xml:space="preserve">: </w:t>
      </w:r>
      <w:r>
        <w:rPr>
          <w:rtl w:val="true"/>
        </w:rPr>
        <w:t xml:space="preserve">في حال كلمتي </w:t>
      </w:r>
      <w:r>
        <w:rPr>
          <w:rtl w:val="true"/>
        </w:rPr>
        <w:t>«</w:t>
      </w:r>
      <w:r>
        <w:rPr>
          <w:rtl w:val="true"/>
        </w:rPr>
        <w:t>في الإسلام</w:t>
      </w:r>
      <w:r>
        <w:rPr>
          <w:rtl w:val="true"/>
        </w:rPr>
        <w:t xml:space="preserve">» </w:t>
      </w:r>
      <w:r>
        <w:rPr>
          <w:rtl w:val="true"/>
        </w:rPr>
        <w:t>و</w:t>
      </w:r>
      <w:r>
        <w:rPr>
          <w:rtl w:val="true"/>
        </w:rPr>
        <w:t>«</w:t>
      </w:r>
      <w:r>
        <w:rPr>
          <w:rtl w:val="true"/>
        </w:rPr>
        <w:t>على مؤمن</w:t>
      </w:r>
      <w:r>
        <w:rPr>
          <w:rtl w:val="true"/>
        </w:rPr>
        <w:t xml:space="preserve">» </w:t>
      </w:r>
      <w:r>
        <w:rPr>
          <w:rtl w:val="true"/>
        </w:rPr>
        <w:t>في الحديث</w:t>
      </w:r>
      <w:bookmarkEnd w:id="483"/>
    </w:p>
    <w:p>
      <w:pPr>
        <w:pStyle w:val="BookText"/>
        <w:rPr/>
      </w:pPr>
      <w:r>
        <w:rPr>
          <w:rFonts w:ascii="Amiri" w:hAnsi="Amiri" w:eastAsia="Amiri" w:cs="Amiri"/>
          <w:color w:val="111111"/>
          <w:sz w:val="28"/>
          <w:sz w:val="28"/>
          <w:szCs w:val="28"/>
          <w:rtl w:val="true"/>
          <w:lang w:bidi="ar-SA"/>
        </w:rPr>
        <w:t xml:space="preserve">لم نجد في شيء من الروايات المعتمدة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نقل مذيّلاً بها إنّما هي مرسلة الصدوق</w:t>
      </w:r>
      <w:r>
        <w:rPr>
          <w:rStyle w:val="FootnoteAnchor"/>
          <w:rtl w:val="true"/>
        </w:rPr>
        <w:footnoteReference w:id="608"/>
      </w:r>
      <w:r>
        <w:rPr>
          <w:rFonts w:ascii="Amiri" w:hAnsi="Amiri" w:eastAsia="Amiri" w:cs="Amiri"/>
          <w:color w:val="111111"/>
          <w:sz w:val="28"/>
          <w:sz w:val="28"/>
          <w:szCs w:val="28"/>
          <w:rtl w:val="true"/>
          <w:lang w:bidi="ar-SA"/>
        </w:rPr>
        <w:t>والعلاّمة</w:t>
      </w:r>
      <w:r>
        <w:rPr>
          <w:rStyle w:val="FootnoteAnchor"/>
          <w:rtl w:val="true"/>
        </w:rPr>
        <w:footnoteReference w:id="609"/>
      </w:r>
      <w:r>
        <w:rPr>
          <w:rFonts w:ascii="Amiri" w:hAnsi="Amiri" w:eastAsia="Amiri" w:cs="Amiri"/>
          <w:color w:val="111111"/>
          <w:sz w:val="28"/>
          <w:sz w:val="28"/>
          <w:szCs w:val="28"/>
          <w:rtl w:val="true"/>
          <w:lang w:bidi="ar-SA"/>
        </w:rPr>
        <w:t>ومرسلة ابن الأثير</w:t>
      </w:r>
      <w:r>
        <w:rPr>
          <w:rStyle w:val="FootnoteAnchor"/>
          <w:rtl w:val="true"/>
        </w:rPr>
        <w:footnoteReference w:id="610"/>
      </w:r>
      <w:r>
        <w:rPr>
          <w:rFonts w:ascii="Amiri" w:hAnsi="Amiri" w:eastAsia="Amiri" w:cs="Amiri"/>
          <w:color w:val="111111"/>
          <w:sz w:val="28"/>
          <w:sz w:val="28"/>
          <w:szCs w:val="28"/>
          <w:rtl w:val="true"/>
          <w:lang w:bidi="ar-SA"/>
        </w:rPr>
        <w:t xml:space="preserve">، ولا يبعد أخذ العلاّمة من الصدوق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يزيد ولا ينقص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 ، فالإسلام يزيد المسلم خيراً ولا يزيده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المحتمل أن تكون تلك الزيادة من بعض النسّاخ ، ومنشأ الاشتباه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كثيراً ما يتّفق للكاتب أن يقع نظره على كلمة ، فيكتبها مرّتين ثمّ بعد هذا الاشتباه والتكرار صحّح النسخة بعض من تأخّر عنه بظنّه ، فبدّل الفاء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يتوجّه إلى كون الغلط في التكرار ، والعجب من الطريحي ؛ حيث أضاف تلك الكلمة في ذيل حديث الشفعة</w:t>
      </w:r>
      <w:r>
        <w:rPr>
          <w:rStyle w:val="FootnoteAnchor"/>
          <w:rtl w:val="true"/>
        </w:rPr>
        <w:footnoteReference w:id="611"/>
      </w:r>
      <w:r>
        <w:rPr>
          <w:rFonts w:ascii="Amiri" w:hAnsi="Amiri" w:eastAsia="Amiri" w:cs="Amiri"/>
          <w:color w:val="111111"/>
          <w:sz w:val="28"/>
          <w:sz w:val="28"/>
          <w:szCs w:val="28"/>
          <w:rtl w:val="true"/>
          <w:lang w:bidi="ar-SA"/>
        </w:rPr>
        <w:t xml:space="preserve">، ونقل عين الحديث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هذه الزيادة معها</w:t>
      </w:r>
      <w:r>
        <w:rPr>
          <w:rStyle w:val="FootnoteAnchor"/>
          <w:rtl w:val="true"/>
        </w:rPr>
        <w:footnoteReference w:id="612"/>
      </w:r>
      <w:r>
        <w:rPr>
          <w:rFonts w:ascii="Amiri" w:hAnsi="Amiri" w:eastAsia="Amiri" w:cs="Amiri"/>
          <w:color w:val="111111"/>
          <w:sz w:val="28"/>
          <w:sz w:val="28"/>
          <w:szCs w:val="28"/>
          <w:rtl w:val="true"/>
          <w:lang w:bidi="ar-SA"/>
        </w:rPr>
        <w:t xml:space="preserve">، وإنّما سبق قلمه إليها لما ارتكزت في ذهنه ، ولعلّ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العلاّمة شيخ الشريعة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تفحّصت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وتتبّعت </w:t>
      </w:r>
    </w:p>
    <w:p>
      <w:pPr>
        <w:pStyle w:val="BookText"/>
        <w:rPr/>
      </w:pPr>
      <w:r>
        <w:rPr>
          <w:rFonts w:ascii="Amiri" w:hAnsi="Amiri" w:eastAsia="Amiri" w:cs="Amiri"/>
          <w:color w:val="111111"/>
          <w:sz w:val="28"/>
          <w:sz w:val="28"/>
          <w:szCs w:val="28"/>
          <w:rtl w:val="true"/>
          <w:lang w:bidi="ar-SA"/>
        </w:rPr>
        <w:t xml:space="preserve">في صحاحهم ومسانيدهم ومعاجمهم وغيرها فحصاً أكيداً ، فلم أجد روايته في طرقهم إلاّ عن ابن عبّاس وعن عبادة بن الصامت ، وكلاهما رويا من غير هذه الزيادة ، ولا أدري من أين جاء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الزيادة</w:t>
      </w:r>
      <w:r>
        <w:rPr>
          <w:rStyle w:val="FootnoteAnchor"/>
          <w:rtl w:val="true"/>
        </w:rPr>
        <w:footnoteReference w:id="6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جاء بها ممّا جاء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الشفعة ، وبعد اللتيا والتي لا تكون مرسلة ابن الأثير منهم كمرسلة الشيخ الصدوق منّا ممّا يجوز الاعتماد عليها ، ولم تثبت الزيادة حتّى تقدّم أصالة عدمها على أصالة عدم النقيصة في مقام الدوران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يشتمل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مرسلة أبي عبداللّه عن ابن مسكان عن زرارة في قضيّة سَمُرة بن جُندب</w:t>
      </w:r>
      <w:r>
        <w:rPr>
          <w:rStyle w:val="FootnoteAnchor"/>
          <w:rtl w:val="true"/>
        </w:rPr>
        <w:footnoteReference w:id="614"/>
      </w:r>
      <w:r>
        <w:rPr>
          <w:rFonts w:ascii="Amiri" w:hAnsi="Amiri" w:eastAsia="Amiri" w:cs="Amiri"/>
          <w:color w:val="111111"/>
          <w:sz w:val="28"/>
          <w:sz w:val="28"/>
          <w:szCs w:val="28"/>
          <w:rtl w:val="true"/>
          <w:lang w:bidi="ar-SA"/>
        </w:rPr>
        <w:t>، وهذه وإن كانت مرسلة ، لكن مضمونها ومطابقتها لموثّقة زرارة</w:t>
      </w:r>
      <w:r>
        <w:rPr>
          <w:rStyle w:val="FootnoteAnchor"/>
          <w:rtl w:val="true"/>
        </w:rPr>
        <w:footnoteReference w:id="615"/>
      </w:r>
      <w:r>
        <w:rPr>
          <w:rFonts w:ascii="Amiri" w:hAnsi="Amiri" w:eastAsia="Amiri" w:cs="Amiri"/>
          <w:color w:val="111111"/>
          <w:sz w:val="28"/>
          <w:sz w:val="28"/>
          <w:szCs w:val="28"/>
          <w:rtl w:val="true"/>
          <w:lang w:bidi="ar-SA"/>
        </w:rPr>
        <w:t>ورواية أبي عبيدة الحذّاء</w:t>
      </w:r>
      <w:r>
        <w:rPr>
          <w:rStyle w:val="FootnoteAnchor"/>
          <w:rtl w:val="true"/>
        </w:rPr>
        <w:footnoteReference w:id="616"/>
      </w:r>
      <w:r>
        <w:rPr>
          <w:rFonts w:ascii="IRNazanin" w:hAnsi="IRNazanin" w:eastAsia="IRNazanin"/>
          <w:color w:val="111111"/>
          <w:sz w:val="28"/>
          <w:sz w:val="28"/>
          <w:szCs w:val="28"/>
          <w:rtl w:val="true"/>
          <w:lang w:bidi="fa-IR"/>
        </w:rPr>
        <w:t>في جوهر القضيّة ممّا يورث الوثوق بصدقها وصدورها ؛ وأنّ أبا جعفر الباقر علیه السلام قد نقل</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القضيّة لزرارة وأبي عبيدة ، وهما أو سائر الرواة نقلوا بالمعنى ، فصارت مختلفة اختلافاً غير جوهري ، وهذه المرسلة أجمع من غيرها في نقل خصوصياتها ، فكأنّ رواتها أرادوا نقل تمام خصوصياتها ، فلا يبعد دعوى الوثوق بوجود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فاغرسها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المتفرّدة بنقلهما ، فترَكَهما الرواة اختصاراً ، كما تركوا تفصيلها ، ففي رواية الحذّاء سقط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موثّقة زرارة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المرسلة شاهدة على اشتمالها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بناء العقلاء في دوران الأمر بين الزيادة والنقيصة على تقديم أصالة عدم الزيادة على أصالة عدم 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تقديمها عليها من باب بناء العقلاء وأبعدية الغفلة بالنسبة إلى الزيادة عن الغفلة بالنسبة إلى النقيصة ، وهذا البناء لا يجري فيما إذا تعدّد الراوي</w:t>
      </w:r>
    </w:p>
    <w:p>
      <w:pPr>
        <w:pStyle w:val="BookText"/>
        <w:rPr/>
      </w:pPr>
      <w:r>
        <w:rPr>
          <w:rFonts w:ascii="Amiri" w:hAnsi="Amiri" w:eastAsia="Amiri" w:cs="Amiri"/>
          <w:color w:val="111111"/>
          <w:sz w:val="28"/>
          <w:sz w:val="28"/>
          <w:szCs w:val="28"/>
          <w:rtl w:val="true"/>
          <w:lang w:bidi="ar-SA"/>
        </w:rPr>
        <w:t xml:space="preserve">من جانب مع وحدة الآخر كما في المقام ؛ لأنّ غفلة المتعدّد عن سماع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 مع احتمال وقوع الزيادة من الراوي لمناسبة الحكم والموضوع ، وأنّ المؤمن هو الذي تشمله العناية الإلهية ، ويستحقّ أن ينفى عنه الضرر امتناناً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تقديم أصالة عدم الزيادة على أصالة عدم النقيصة ليس من جهة الدوران بين الغفلتين فقط وأبعدية إحداهما ؛ حتّى ينعكس الأمر في صورة تعدّد طرف النقيصة ، بل لأنّ الزيادة لا تقع إلاّ غفلة أو كذباً وافتراءً ،</w:t>
      </w:r>
    </w:p>
    <w:p>
      <w:pPr>
        <w:pStyle w:val="BookText"/>
        <w:rPr/>
      </w:pPr>
      <w:r>
        <w:rPr>
          <w:rFonts w:ascii="Amiri" w:hAnsi="Amiri" w:eastAsia="Amiri" w:cs="Amiri"/>
          <w:color w:val="111111"/>
          <w:sz w:val="28"/>
          <w:sz w:val="28"/>
          <w:szCs w:val="28"/>
          <w:rtl w:val="true"/>
          <w:lang w:bidi="ar-SA"/>
        </w:rPr>
        <w:t xml:space="preserve">وأمّا النقيصة فهي مشاركة معها في ذلك وتختصّ بدواعٍ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الاختصار ، أو عدم كونه في مقام بيان تمام القضيّة ، أو توهّمه أنّ وجود الكلمة وعدمها سواء في إفادة المقصود ، إلى غير ذلك ، ولا إشكال في تقديم أصالة عدم الزيادة في الدوران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ترجيح جانب المتعدّد إنّما يتعيّن إذا كان المتعدّد متوافقين في النقل ، وأمّا مع اختلافه فلا ، ولو مع التوافق من هذه الجهة ، وما نحن فيه كذلك ؛ </w:t>
      </w:r>
    </w:p>
    <w:p>
      <w:pPr>
        <w:pStyle w:val="BookText"/>
        <w:rPr/>
      </w:pPr>
      <w:r>
        <w:rPr>
          <w:rFonts w:ascii="Amiri" w:hAnsi="Amiri" w:eastAsia="Amiri" w:cs="Amiri"/>
          <w:color w:val="111111"/>
          <w:sz w:val="28"/>
          <w:sz w:val="28"/>
          <w:szCs w:val="28"/>
          <w:rtl w:val="true"/>
          <w:lang w:bidi="ar-SA"/>
        </w:rPr>
        <w:t xml:space="preserve">فإنّ موثّقة زرارة ورواية الحذّاء وإن توافقتا في عدم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مختلفتان في جهات اُخرى ، فالموثّقة مشتملة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متعقّباً بالأمر بالقلع ، دون رواية الحذّاء ، وهي مشتملة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يا سَمُرة إلاّ مُضارّاً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الأمر بالقلع ، والمرسلة مشتملة على الفقرتين ،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ومن التفصيل الذي فيها في مقاولة كلٍّ من الأنصاري وسَمُرة مع الآخر ، وهما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رواة المرسلة كانوا بصدد بيان تفصيل القضيّة ، دون رواة الروايتين الاُخريين ، وذلك يؤكّد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 ويؤيّد تقديم أصالة عدم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مناسبة الحكم والموضوع، ليس بشيء ؛ فإنّ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أنّ الازدياد وقع عمداً للمناسبة بينهما ، فهو بمكان من البطلان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أنّ المناسبة المذكورة صارت موجبة لسبق لسان الراوي إلى تلك الكلمة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سبق اللسان إنّما يكون فيما إذا ارتكزت المناسبة في الذهن كاللازم البيّن ؛ بحيث تحضر الكلمة في الذهن عند تصوّر المزيد عليه ، وما نحن فيه ليس كذلك ؛ ضرورة أ نّه عند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الذهن حتّى يتبعه اللسان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مرسلة زرارة لا تصلح لإثبات هذه الكلمة لو كانت مثبتة لحكم شرعي على فرض وجودها ، لكن قد عرفت أ نّه لا يبعد دعوى الوثوق بصدورها ؛ لموافقة مضمونها مع الروايتين الاُخريين وأنّ نفس مضمونها ممّا يشهد بصدقها </w:t>
      </w:r>
      <w:r>
        <w:rPr>
          <w:rFonts w:eastAsia="Amiri" w:cs="Amiri" w:ascii="Amiri" w:hAnsi="Amiri"/>
          <w:color w:val="111111"/>
          <w:sz w:val="28"/>
          <w:szCs w:val="28"/>
          <w:rtl w:val="true"/>
          <w:lang w:bidi="ar-SA"/>
        </w:rPr>
        <w:t xml:space="preserve">. </w:t>
      </w:r>
      <w:bookmarkStart w:id="484" w:name="pg12132_128295"/>
    </w:p>
    <w:p>
      <w:pPr>
        <w:pStyle w:val="Heading2"/>
        <w:numPr>
          <w:ilvl w:val="1"/>
          <w:numId w:val="1"/>
        </w:numPr>
        <w:rPr/>
      </w:pPr>
      <w:bookmarkStart w:id="485" w:name="__RefHeading___Toc3352890_417432637"/>
      <w:bookmarkStart w:id="486" w:name="_Toc166"/>
      <w:bookmarkEnd w:id="484"/>
      <w:bookmarkEnd w:id="485"/>
      <w:r>
        <w:rPr>
          <w:rtl w:val="true"/>
        </w:rPr>
        <w:t xml:space="preserve">فصل </w:t>
      </w:r>
      <w:r>
        <w:rPr>
          <w:rtl w:val="true"/>
        </w:rPr>
        <w:t xml:space="preserve">: </w:t>
      </w:r>
      <w:r>
        <w:rPr>
          <w:rtl w:val="true"/>
        </w:rPr>
        <w:t>في معنى مفردات الحديث</w:t>
      </w:r>
      <w:bookmarkEnd w:id="486"/>
    </w:p>
    <w:p>
      <w:pPr>
        <w:pStyle w:val="BookText"/>
        <w:rPr/>
      </w:pPr>
      <w:r>
        <w:rPr>
          <w:rFonts w:ascii="Amiri" w:hAnsi="Amiri" w:eastAsia="Amiri" w:cs="Amiri"/>
          <w:color w:val="111111"/>
          <w:sz w:val="28"/>
          <w:sz w:val="28"/>
          <w:szCs w:val="28"/>
          <w:rtl w:val="true"/>
          <w:lang w:bidi="ar-SA"/>
        </w:rPr>
        <w:t xml:space="preserve">أمّا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معروف لدى العرف ، ولعلّ معناه العرفي هو النقص في الأموال والأنفس ، كما أنّ النفع الذي مقابله كذلك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البيع الكذائي وأضرّ به ، والبيع ضرري ، ونفعه كذا ، وضرّه الغذاء الكذائي وأضرّ به ، وهو ضارّ ، ونفعه الغذاء ، وهو نافع ، ولا يقال لمن هتك حرمته أو وردت الإهانة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عليه ضرر أو أضرّ به فلان إذا هتكه ، أو نظر إلى أهله ، كما لا يقال لمن بجّله وجلّله ووقّره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نفعه ، وهو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لدى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جاء الضرر لغة بمعانٍ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 والشدّة ، وسوء الحال ، والمكروه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مكان ذو ضرر ؛ أي ضيّق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عليك ولا ضارورة ولا تَضِرَّة</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هذه الاستعمالات يكون الضرر بمعنى الضيق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الضرر الضيق</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الضَرّ والضُرّ والضرر ضدّ النفع ، الشدّة والضيق وسوء الحال ، النقصان يدخل في الشيء</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منه الضرّاء في مقابل السرّاء ، بمعنى الشدّة والقحط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الضرّ بمعنى فعل المكروه ، وضرّه فعل به مكروهاً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الضرر ليس باعتبار أنّ الضرر أعمّ من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كما شاع في الألسن ؛ فإنّ استعماله بمعنى الهتك والانتقاص في العِرض ممّا لم يعهد في لغة ولا عرف ، وإنّما استعماله في قضيّة سمرة بمعنى الضيق والشدّة وإيصال الحرج والمكروه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يا سَمُرة إلاّ مُضارّاً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مضيّقاً ومورثاً للشدّة والحرج والمكروه على أخيك ؛ أي لا تريد إلاّ التشديد والتضييق على الأنصاري ، وليس معنى كونه مضارّاً ؛ أي هاتكاً للحرمة بدخوله منزل الأنصاري ونظره إلى أهله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الناظر إلى ألفاظ الرواية والمتدبّر في كلمات أهل اللغة وأئمّة اللسان يصدّق ما ادّعيناه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في شكّ ممّا تلونا عليك فانتظر ما سنقرئك في معنى الضرار ، ثمّ راجع موارد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والكتاب والحديث ، وانظر هل ترى مورداً استعملا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هتك الحرمة والإهانة في العِرض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الضرار وسائر تصاريفه من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بعد الفحص مورداً استعمل بمعنى باب المفاعلة أو المجازاة على الضرر ، وكثير من المتبحّرين من أهل اللغة قد صرّحوا بكونه بمعنى الضرر</w:t>
      </w:r>
      <w:r>
        <w:rPr>
          <w:rStyle w:val="FootnoteAnchor"/>
          <w:rtl w:val="true"/>
        </w:rPr>
        <w:footnoteReference w:id="622"/>
      </w:r>
      <w:r>
        <w:rPr>
          <w:rFonts w:ascii="Amiri" w:hAnsi="Amiri" w:eastAsia="Amiri" w:cs="Amiri"/>
          <w:color w:val="111111"/>
          <w:sz w:val="28"/>
          <w:sz w:val="28"/>
          <w:szCs w:val="28"/>
          <w:rtl w:val="true"/>
          <w:lang w:bidi="ar-SA"/>
        </w:rPr>
        <w:t xml:space="preserve">، 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في ستّة موارد كلّها بمعنى الإضرار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تُضَارَّ وَالِدَةٌ بِوَلَدِهَا وَلاَ مَوْلُودٌ لَهُ بِوَلَدِهِ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تُضَارُّوهُنّ لِتُضَيِّقُوا عَلَيْهِنَّ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يُضَارَّ كَاتِبٌ وَلاَ شَهِيدٌ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تُمْسِكُوهُنَّ ضِرَاراً لِتَعْتَدُوا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اتَّخَذُوا مَسْجِداً ضِرَاراً وَكُفْراً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وَصِيَّةٍ يُوصَى بِهَآ أوْ دَيْنٍ غَيرَ مُضارٍّ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رأيت في الأحاديث إلاّ كذلك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في مرسلة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الحذّاء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يا سَمُرَةُ إلاّ مُضارّاً</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هارون بن حمزة في البعير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له ذلك ؛ هذا الضرار</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طلحة بن زيد في باب إعطاء الأمان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 كالنفس غير مُضارّ ولا آثم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كراهة الرجعة بغير قصد الإمساك روى الصدوق بإسناده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ينبغي للرجل أن يُطلّق امرأته ، ثمّ يُراجعها وليس له فيها حاجة ، ثمّ يُطلّقها ، فهذا الضرار الذي نهى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 ولاية الجدّ في النكاح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أولى بذلك ما لم يكن مُضارّاً</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ضارّ مسلماً فليس منّا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الوصيّة في رواية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أوصى ولم يُحْفِ ولم يضارّ كان كمن تصدّق في حياته</w:t>
      </w:r>
      <w:r>
        <w:rPr>
          <w:rFonts w:eastAsia="IRNazanin" w:cs="IRNazanin"/>
          <w:color w:val="111111"/>
          <w:sz w:val="28"/>
          <w:szCs w:val="28"/>
          <w:rtl w:val="true"/>
          <w:lang w:bidi="fa-IR"/>
        </w:rPr>
        <w:t>»</w:t>
      </w:r>
      <w:r>
        <w:rPr>
          <w:rStyle w:val="FootnoteAnchor"/>
          <w:rtl w:val="true"/>
        </w:rPr>
        <w:footnoteReference w:id="63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الروايات التي سيمرّ بعضها عليك </w:t>
      </w:r>
      <w:r>
        <w:rPr>
          <w:rFonts w:eastAsia="Amiri" w:cs="Amiri" w:ascii="Amiri" w:hAnsi="Amiri"/>
          <w:color w:val="111111"/>
          <w:sz w:val="28"/>
          <w:szCs w:val="28"/>
          <w:rtl w:val="true"/>
          <w:lang w:bidi="ar-SA"/>
        </w:rPr>
        <w:t xml:space="preserve">. </w:t>
      </w:r>
      <w:bookmarkStart w:id="487" w:name="pg12132_128299"/>
    </w:p>
    <w:p>
      <w:pPr>
        <w:pStyle w:val="Heading2"/>
        <w:numPr>
          <w:ilvl w:val="1"/>
          <w:numId w:val="1"/>
        </w:numPr>
        <w:rPr/>
      </w:pPr>
      <w:bookmarkStart w:id="488" w:name="__RefHeading___Toc3352892_417432637"/>
      <w:bookmarkStart w:id="489" w:name="_Toc167"/>
      <w:bookmarkEnd w:id="487"/>
      <w:bookmarkEnd w:id="488"/>
      <w:r>
        <w:rPr>
          <w:rtl w:val="true"/>
        </w:rPr>
        <w:t>الفرق بين الضرر والضرار</w:t>
      </w:r>
      <w:bookmarkEnd w:id="489"/>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غالب استعمالات الضرر والضرّ والإضرار وسائر تصاريفهما هي في الضرر المالي والنفسي ، بخلاف الضرار وتصاريفه ؛ فإنّ استعمالها في التضييق وإيصال الحرج والمكروه والكلفة شائع ، بل الظاهر غلبته فيها ، والظاهر أنّ غالب استعمال هذا الباب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بهذه المعاني لا بمعنى الضرر المالي أو النفسي ؛ فإنّ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تُضَارَّ وَالِدَةٌ بِوَلَدِهَا وَلاَ مَوْلُودٌ لَهُ بِوَلَدِهِ </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قد فسّر بذلك ، فعن أبي عبداللّه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للرجل أن يمتنع من جماع المرأة ، فيضارّ بها إذا كان لها ولد مُرضع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أقربك ، فإنّي أخاف عليك الحَبَل ، فتقتلي ولدي ، وكذلك المرأة لا يحلّ لها أن تمنع على</w:t>
      </w:r>
      <w:r>
        <w:rPr>
          <w:rStyle w:val="FootnoteAnchor"/>
          <w:rtl w:val="true"/>
        </w:rPr>
        <w:footnoteReference w:id="638"/>
      </w:r>
      <w:r>
        <w:rPr>
          <w:rFonts w:ascii="Amiri" w:hAnsi="Amiri" w:eastAsia="Amiri" w:cs="Amiri"/>
          <w:color w:val="111111"/>
          <w:sz w:val="28"/>
          <w:sz w:val="28"/>
          <w:szCs w:val="28"/>
          <w:rtl w:val="true"/>
          <w:lang w:bidi="ar-SA"/>
        </w:rPr>
        <w:t xml:space="preserve">الرجل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أحبل ، فأقتل ولدي وهذه المضارّة في الجِماع على الرجل والمرأة</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وبهذا المضمون غيره</w:t>
      </w:r>
      <w:r>
        <w:rPr>
          <w:rStyle w:val="FootnoteAnchor"/>
          <w:rtl w:val="true"/>
        </w:rPr>
        <w:footnoteReference w:id="64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عن أبي عبداللّه فسّر المُضارّة بالاُمّ ينزع الولد عنها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بنزع الرجل الولدَ عنها ، </w:t>
      </w:r>
    </w:p>
    <w:p>
      <w:pPr>
        <w:pStyle w:val="BookText"/>
        <w:rPr/>
      </w:pPr>
      <w:r>
        <w:rPr>
          <w:rFonts w:ascii="Amiri" w:hAnsi="Amiri" w:eastAsia="Amiri" w:cs="Amiri"/>
          <w:color w:val="111111"/>
          <w:sz w:val="28"/>
          <w:sz w:val="28"/>
          <w:szCs w:val="28"/>
          <w:rtl w:val="true"/>
          <w:lang w:bidi="ar-SA"/>
        </w:rPr>
        <w:t>ولا تضارّ الاُمّ الأبَ ، فلا ترضعه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المطلّقة الحبلى يُنفق عليها حتّى تضع حملها ، وهي أحقّ بولدها أن ترضعه بما تقبله امرأة اُخرى ،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تُضارَّ وَالِدَةٌ بِوَلَدِهَا وَلاَ مَوْلُودٌ لَهُ بِوَلَدِهِ وَعلى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يضارّ بالصبيّ ، ولا يضارّ باُمّه في رضاعه </w:t>
      </w:r>
      <w:r>
        <w:rPr>
          <w:rFonts w:eastAsia="Amiri" w:cs="Amiri" w:ascii="Amiri" w:hAnsi="Amiri"/>
          <w:color w:val="111111"/>
          <w:sz w:val="28"/>
          <w:szCs w:val="28"/>
          <w:rtl w:val="true"/>
          <w:lang w:bidi="ar-SA"/>
        </w:rPr>
        <w:t>. . .»</w:t>
      </w:r>
      <w:r>
        <w:rPr>
          <w:rStyle w:val="FootnoteAnchor"/>
          <w:rtl w:val="true"/>
        </w:rPr>
        <w:footnoteReference w:id="642"/>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المضارّة بمعنى التضييق وإيصال الحرج والمكروه ، لا الضرر المالي أو النفسي ، وكذا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تُمْسِكُوهُنَّ ضِرَاراً لِتَعْتَدُوا </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يكون بمعنى ذلك ، فعن محمّد بن علي بن الحسين بإسناده عن أبي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تُمْسِكُوهُنَّ ضِرَاراً لِتَعْتَدُوا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يطلّق حتّى إذا كادت أن يخلو أجلها راجعها ، ثمّ طلّقها ، يفعل ذلك ثلاث مرّات ، فنهى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تُمْسِكُوهُنَّ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تُراجعوهنّ لا لرغبة فيهنّ ، بل لطلب الإضرار بهنّ ؛ إمّا بتطويل العِدّة ، أو بتضييق النفقة في العدّة</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 الضرار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اتَّخَذُوا مَسْجِداً ضِرَاراً </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هو بمعنى إيصال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بإيقاع الشكّ في قلوبهم وتفريق جمعيتهم واضطرابهم في دينهم ، كما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بني عمرو بن عوف بنوا مسجد قُبا ، وصلّى فيه رسول اللّه رحمهما اللّه فحسدهم إخوتهم بنو غنم بن عوف ، فبنوا مسجد الضرار ، وأرادوا أن يحتالوا بذلك ، فيفرّقوا المؤمنين ، ويوقعوا الشكّ في قلوبهم ؛ بأن يدعوا أبا عامر الراهب من الشام ؛ ليعظهم ويذكر وهْنَ دين الإسلام ؛ ليشكّ المسلمون ويضطربوا في دينهم ، فأخبر اللّه نبيّه بذلك ، فأمر بإحراقه وهدمه بعد الرجوع من تبوك</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ضِراراً؛ أي مضارّة ؛ يعني الضرر بأهل مسجد قُبا أو مسجد الرسول ؛ ليقلّ الجمع فيه</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القضيّة أنّ الضرار هاهنا بمعنى إيصال المكروه والحرج ، والتضييق على المؤمنين بتقليل جمعيتهم وتفرقتهم ، وإيقاع الاضطراب في قلوبهم والشكّ في دينهم ، لا الضرر المالي والنفسي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يُضَارَّ كاتِبٌ وَلاَ شَهِيدٌ </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 xml:space="preserve">احتمالان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بالبناء للفاعل ، فيكون النهي متوجّهاً إلى الكاتب والشهيد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 فيكون المعنى لا يفعل بالكاتب والشهيد ضرر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يُضَارَّ كَاتِبٌ وَلاَ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قراءتان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يُضارِرْ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بالإظهار والكسر والبناء للفاعل على قراءة أبي عمرو ، فعلى هذا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وقوع المضُارّة من الكاتب ؛ بأن يمتنع من الإجابة ، أو يُحرّف بالزيادة والنقصان ، وكذا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الباقين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بالإدغام والفتح والبناء للمفعول ، فعلى هذا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بالكاتب والشهيد ضررٌ ؛ بأن يكلّفا قطع مسافة بمشقّة من غير تكلّف بمؤنتهما أو غير ذلك</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نقل عن ابن مسعود 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يُضارَر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الاُولى ، فيكون معناه لا يكلّف الكاتب الكتابة في حال عذر لا يتفرّغ إليها ، ولا يضيّق الأمر على الشاهد بأن يدّعى إلى إثبات الشهادة وإقامتها في حال عذر ، ولا يعنّف عليهما</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المُضارّة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تُضَارُّوهُنَّ لِتُضَيِّقُوا عَلَيْهِنَّ </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هي عدم إسكانهنّ في بيوت مناسبة لحالهنّ ليقعْنَ في المضيقة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ذكرنا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تُضَارُّوهُنَّ لِتُضَيِّقُوا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تُدخلوا الضرر عليهنّ بالتقصير في السكنى والنفقة والكسوة طالبين بالإضرار التضييق عليهنّ ليخرجن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اُعطوهنّ من المسكن ما يكفيهنّ لجلوسهنّ ومبيتهنّ وطهارتهنّ ، ولا تضايقوهنّ حتّى يتعذّر عليهنّ السكنى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مسلم</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الوصيّة</w:t>
      </w:r>
      <w:r>
        <w:rPr>
          <w:rStyle w:val="FootnoteAnchor"/>
          <w:rtl w:val="true"/>
        </w:rPr>
        <w:footnoteReference w:id="654"/>
      </w:r>
      <w:r>
        <w:rPr>
          <w:rFonts w:ascii="Amiri" w:hAnsi="Amiri" w:eastAsia="Amiri" w:cs="Amiri"/>
          <w:color w:val="111111"/>
          <w:sz w:val="28"/>
          <w:sz w:val="28"/>
          <w:szCs w:val="28"/>
          <w:rtl w:val="true"/>
          <w:lang w:bidi="ar-SA"/>
        </w:rPr>
        <w:t xml:space="preserve">بمعنى الإضرار المالي بالورثة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التطويل المملّ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إثبات شيوع استعمال الضرار وتصاريفه في التضييق وإيصال المكروه والحرج والتكلّف وأمثالها ، كما أنّ الشائع في الضرر والضرّ والإضرار هو استعمالها في المال والنفس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في الحديث هو النقص في الأموال والأنفس ، والضرار فيه هو التضييق والتشديد وإيصال المكروه والحرج ، وقضيّة سَمُرة بن جُندَب إنّما تكون ضراراً على الأنصاري وتشديداً وتضييقاً وإيصالاً للمكروه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بدخوله في منزله بلا استئذان ، والنظر إلى شيء من أهله يكرهه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الضرار بمعنى الضرر في الحديث</w:t>
      </w:r>
      <w:r>
        <w:rPr>
          <w:rStyle w:val="FootnoteAnchor"/>
          <w:rtl w:val="true"/>
        </w:rPr>
        <w:footnoteReference w:id="655"/>
      </w:r>
      <w:r>
        <w:rPr>
          <w:rFonts w:ascii="Amiri" w:hAnsi="Amiri" w:eastAsia="Amiri" w:cs="Amiri"/>
          <w:color w:val="111111"/>
          <w:sz w:val="28"/>
          <w:sz w:val="28"/>
          <w:szCs w:val="28"/>
          <w:rtl w:val="true"/>
          <w:lang w:bidi="ar-SA"/>
        </w:rPr>
        <w:t>؛ لكونه تكراراً بارداً ، ولا بمعنى الإصرار على الضرر</w:t>
      </w:r>
      <w:r>
        <w:rPr>
          <w:rStyle w:val="FootnoteAnchor"/>
          <w:rtl w:val="true"/>
        </w:rPr>
        <w:footnoteReference w:id="656"/>
      </w:r>
      <w:r>
        <w:rPr>
          <w:rFonts w:ascii="Amiri" w:hAnsi="Amiri" w:eastAsia="Amiri" w:cs="Amiri"/>
          <w:color w:val="111111"/>
          <w:sz w:val="28"/>
          <w:sz w:val="28"/>
          <w:szCs w:val="28"/>
          <w:rtl w:val="true"/>
          <w:lang w:bidi="ar-SA"/>
        </w:rPr>
        <w:t>، ولا مباشرة الضرر ، ولا المجازاة عليه ، ولا اعتبر فيه كونه بين الاثنين كما قيل</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أظنّك بعد التأمّل والتدبّر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والفحص في موارد استعمال الكلمتين في القرآن والحديث ، والتدبّر في قضيّة سَمُرة وإطلاق خصوص المُضارّ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تتأمّل في تصديق ما ذكرناه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هنا أمر لا بدّ من التعرّض له والتفصّي عنه ، وهو أنّ أئمّة اللغة ومَهَرة اللسان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الضرار في الحديث بمعنى المجازاة ، وبمعنى باب المفاعلة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يضرّ الرجل أخاه ، فينقصه شيئاً من حقّه ، والضرار فعال من الضرّ ؛ أي لا يجازيه على إضراره بإدخال الضرر عليه ، والضرر فعل الواحد ، والضرار فعل الاثنين ، والضرر ابتداء الفعل ، والضرار الجزاء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ما تضرّ صاحبك ، وتنتفع أنت به ، والضرار أن تضرّه من غير أن تنتفع أنت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واحد ، والتكرار للتأكيد</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يضرّ الرجل أخاه ، وهو ضدّ النفع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يضارّ كلّ منهما صاحبه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يضرّ الرجل أخاه ، فينقصه شيئاً من حقّه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يُجازيه على إضراره بإدخال الضرر عليه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عن السيوطي بعينه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بعين ألفاظ ابن الأثير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التأمّل في كلامهم يوجب الوثوق بأنّ المعنى الذي ذكروه إنّما هو </w:t>
      </w:r>
    </w:p>
    <w:p>
      <w:pPr>
        <w:pStyle w:val="BookText"/>
        <w:rPr/>
      </w:pPr>
      <w:r>
        <w:rPr>
          <w:rFonts w:ascii="Amiri" w:hAnsi="Amiri" w:eastAsia="Amiri" w:cs="Amiri"/>
          <w:color w:val="111111"/>
          <w:sz w:val="28"/>
          <w:sz w:val="28"/>
          <w:szCs w:val="28"/>
          <w:rtl w:val="true"/>
          <w:lang w:bidi="ar-SA"/>
        </w:rPr>
        <w:t xml:space="preserve">على قاعدة باب المفاعلة ، وأنّ الضرار فِعال من الضرّ ، وهو فعل الاثنين ، والمظنون أنّ ابن الأثير ذكر هذا المعنى بارتكازه من باب المفاعلة ، والبقيّة نسجوا على منواله ، فترى أنّ السيوطي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أخذا العبارة منه بعينها ، واقتصرا على بعض كلامه ، والطريحي قد عبّر بعين ألفاظه من غير زيادة ونقيصة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الكلام قد صدر منهم لقاعدة باب المفاعلة ، وتبعاً لابن الأثير من غير تدقيق وفحص في موارد استعمالات الضرار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رواياتنا على سَمُرة بن جُندَب ممّا</w:t>
      </w:r>
    </w:p>
    <w:p>
      <w:pPr>
        <w:pStyle w:val="BookText"/>
        <w:rPr/>
      </w:pPr>
      <w:r>
        <w:rPr>
          <w:rFonts w:ascii="Amiri" w:hAnsi="Amiri" w:eastAsia="Amiri" w:cs="Amiri"/>
          <w:color w:val="111111"/>
          <w:sz w:val="28"/>
          <w:sz w:val="28"/>
          <w:szCs w:val="28"/>
          <w:rtl w:val="true"/>
          <w:lang w:bidi="ar-SA"/>
        </w:rPr>
        <w:t xml:space="preserve">يوجب القطع بأنّ الضرار الواقع في هذه القضيّة ليس بمعنى المجازاة على الضرر أو بمعنى إضرار كلٍّ بصاحبه ، وأنّ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الصغرى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ضرر ولا ضِرار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عرفت</w:t>
      </w:r>
      <w:r>
        <w:rPr>
          <w:rStyle w:val="FootnoteAnchor"/>
          <w:rtl w:val="true"/>
        </w:rPr>
        <w:footnoteReference w:id="663"/>
      </w:r>
      <w:r>
        <w:rPr>
          <w:rFonts w:ascii="Amiri" w:hAnsi="Amiri" w:eastAsia="Amiri" w:cs="Amiri"/>
          <w:color w:val="111111"/>
          <w:sz w:val="28"/>
          <w:sz w:val="28"/>
          <w:szCs w:val="28"/>
          <w:rtl w:val="true"/>
          <w:lang w:bidi="ar-SA"/>
        </w:rPr>
        <w:t xml:space="preserve">عدم ثبوت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من رسول اللّه رحمهما اللّه بل لم يثبت عندنا إلاّ في ذيل قضيّة سَمُرة ،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أ نّه قد أشرنا سالفاً</w:t>
      </w:r>
      <w:r>
        <w:rPr>
          <w:rStyle w:val="FootnoteAnchor"/>
          <w:rtl w:val="true"/>
        </w:rPr>
        <w:footnoteReference w:id="664"/>
      </w:r>
      <w:r>
        <w:rPr>
          <w:rFonts w:ascii="Amiri" w:hAnsi="Amiri" w:eastAsia="Amiri" w:cs="Amiri"/>
          <w:color w:val="111111"/>
          <w:sz w:val="28"/>
          <w:sz w:val="28"/>
          <w:szCs w:val="28"/>
          <w:rtl w:val="true"/>
          <w:lang w:bidi="ar-SA"/>
        </w:rPr>
        <w:t xml:space="preserve">إلى أ نّه بعد الفحص الأكيد لم أرَ مورداً استعمل الضرار وتصاريفه بالمعنى الذي ذكره ابن الأثير وتبعه غيره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تبيّن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الضرار تأسيس ، لا تأكيد وتكرار للضرر ، ولا يكون إلاّ بمعنى التضييق وإيصال المكروه والحرج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 فتدبّر </w:t>
      </w:r>
      <w:r>
        <w:rPr>
          <w:rFonts w:eastAsia="Amiri" w:cs="Amiri" w:ascii="Amiri" w:hAnsi="Amiri"/>
          <w:color w:val="111111"/>
          <w:sz w:val="28"/>
          <w:szCs w:val="28"/>
          <w:rtl w:val="true"/>
          <w:lang w:bidi="ar-SA"/>
        </w:rPr>
        <w:t xml:space="preserve">. </w:t>
      </w:r>
      <w:bookmarkStart w:id="490" w:name="pg12132_128306"/>
    </w:p>
    <w:p>
      <w:pPr>
        <w:pStyle w:val="Heading2"/>
        <w:numPr>
          <w:ilvl w:val="1"/>
          <w:numId w:val="1"/>
        </w:numPr>
        <w:rPr/>
      </w:pPr>
      <w:bookmarkStart w:id="491" w:name="__RefHeading___Toc3352894_417432637"/>
      <w:bookmarkStart w:id="492" w:name="_Toc168"/>
      <w:bookmarkEnd w:id="490"/>
      <w:bookmarkEnd w:id="491"/>
      <w:r>
        <w:rPr>
          <w:rtl w:val="true"/>
        </w:rPr>
        <w:t xml:space="preserve">فصل </w:t>
      </w:r>
      <w:r>
        <w:rPr>
          <w:rtl w:val="true"/>
        </w:rPr>
        <w:t xml:space="preserve">: </w:t>
      </w:r>
      <w:r>
        <w:rPr>
          <w:rtl w:val="true"/>
        </w:rPr>
        <w:t>في البحث عن مفاد الجملة التركيبية في الحديث</w:t>
      </w:r>
      <w:bookmarkEnd w:id="492"/>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محتمل لمعانٍ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الشيخ الأنصاري قدّس سرّه من إبقاء النفي على حاله ، ويراد به نفي الحكم الشرعي الذي هو ضرر على العباد ، وأ نّه ليس في الإسلام مجعول ضرري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يلزم من العمل به الضرر على العباد ، كلزوم البيع مع الغبن ، ووجوب الوضوء مع إضرار مالي ، وإباحة الإضرار بالغير ؛ فإنّ كلّها أحكام ضررية منتفية في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 أو مع التقييد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مختصّ بالحكم الضرري بالنسبة إلى الغير ، فلا يشمل نفي وجوب الوضوء والحجّ مع الضرر </w:t>
      </w:r>
      <w:r>
        <w:rPr>
          <w:rFonts w:eastAsia="Amiri" w:cs="Amiri" w:ascii="Amiri" w:hAnsi="Amiri"/>
          <w:color w:val="111111"/>
          <w:sz w:val="28"/>
          <w:szCs w:val="28"/>
          <w:rtl w:val="true"/>
          <w:lang w:bidi="ar-SA"/>
        </w:rPr>
        <w:t xml:space="preserve">. </w:t>
      </w:r>
      <w:bookmarkStart w:id="493" w:name="pg12132_128307"/>
    </w:p>
    <w:p>
      <w:pPr>
        <w:pStyle w:val="BookText"/>
        <w:rPr/>
      </w:pPr>
      <w:bookmarkEnd w:id="493"/>
      <w:r>
        <w:rPr>
          <w:rFonts w:ascii="IRNazanin" w:hAnsi="IRNazanin" w:eastAsia="IRNazanin"/>
          <w:color w:val="111111"/>
          <w:sz w:val="28"/>
          <w:sz w:val="28"/>
          <w:szCs w:val="28"/>
          <w:rtl w:val="true"/>
          <w:lang w:bidi="fa-IR"/>
        </w:rPr>
        <w:t xml:space="preserve">قال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هو الأرجح في معنى الرواية ، بل المتعيّن ؛ بعد تعذّر حمله على حقيقته لوجود الحقيقة في الخارج بديهة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4" w:name="__RefHeading___Toc3352896_417432637"/>
      <w:bookmarkStart w:id="495" w:name="_Toc169"/>
      <w:bookmarkEnd w:id="494"/>
      <w:r>
        <w:rPr>
          <w:rtl w:val="true"/>
        </w:rPr>
        <w:t>تحليل نظرية الشيخ الأنصاري ومحتملات كلامه</w:t>
      </w:r>
      <w:bookmarkEnd w:id="49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هذا صريح في أمرين ، ومحتمل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حمل هذا الكلام على الحقيقة متعذِّر ؛ ضرورة وجودها في الخارج ، فتقوية بعض أعاظم العصر قول الشيخ ، وتوجيهه مع تطويلات مُملّة ، والذهاب إلى كون هذا المعنى ممّا لا يلزم منه المجاز</w:t>
      </w:r>
      <w:r>
        <w:rPr>
          <w:rStyle w:val="FootnoteAnchor"/>
          <w:rtl w:val="true"/>
        </w:rPr>
        <w:footnoteReference w:id="666"/>
      </w:r>
      <w:r>
        <w:rPr>
          <w:rFonts w:ascii="Amiri" w:hAnsi="Amiri" w:eastAsia="Amiri" w:cs="Amiri"/>
          <w:color w:val="111111"/>
          <w:sz w:val="28"/>
          <w:sz w:val="28"/>
          <w:szCs w:val="28"/>
          <w:rtl w:val="true"/>
          <w:lang w:bidi="ar-SA"/>
        </w:rPr>
        <w:t xml:space="preserve">، توجيه لا يرضى به صاحبه ، مع أنّ في كلامه مواقع للنظر ربما نشير إلى بعض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المنفيّ هو الحكم الشرعي الذي لزم منه الضرر 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المحتملة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ضرري بنحو المجاز في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منه المجاز في الكلمة ؛ بمعنى استعمال الضرر المسبّب من الحكم وإرادة سببه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حقيقة ادّعائية ، ومصحّح الادّعاء هو علاقة السببية والمسبّبية ، كما هو التحقيق في سائر أبواب المجازات ، فلمّا كانت الأحكام الشرعية بإطلاقها سبباً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باعثة للمكلّف إلى الوقوع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المتكلّم أنّ الأحكام هي نفس الضرر فنفاها بنفيه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الحقيقة الادّعائية غير التي ادّعاها المحقّق الخراساني</w:t>
      </w:r>
      <w:r>
        <w:rPr>
          <w:rStyle w:val="FootnoteAnchor"/>
          <w:rtl w:val="true"/>
        </w:rPr>
        <w:footnoteReference w:id="667"/>
      </w:r>
      <w:r>
        <w:rPr>
          <w:rFonts w:ascii="Amiri" w:hAnsi="Amiri" w:eastAsia="Amiri" w:cs="Amiri"/>
          <w:color w:val="111111"/>
          <w:sz w:val="28"/>
          <w:sz w:val="28"/>
          <w:szCs w:val="28"/>
          <w:rtl w:val="true"/>
          <w:lang w:bidi="ar-SA"/>
        </w:rPr>
        <w:t xml:space="preserve">؛ لأنّ المصحّح فيها هو السببية والمسبّبية ، وفيما ذكره أمر آخر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فإنّ المصحّح فيه ليس علاقة السببية ، بل هو كون الشجاعة أو المروّة تمام حقيقة الرجولية ؛ لأ نّها من أظهر خواصّ الرجل وأعظمها ، كأ نّها هي لا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الادّعاء في الحقائق الادّعائية مختلف باختلاف المقامات ، حتّى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 الْقَرْيَةَ الَّتِى كُنَّا فِيهَا </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يكون من قبيل الحقيقة الادّعائية ؛ بدعوى أنّ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 لغاية اشتهارها وكمال ظهورها ، كقول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والبيتُ يعرفُهُ والحِلّ والحَرمُ</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وكون أمثاله من قبيل حذف المضاف وقيام المضاف إليه مقامه ممّا يخرج الكلام عن الحُسن والحلاوة ، ويجعله مبتذلاً بارداً خارجاً عن فنون البلاغة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الشيخ رحمه الله علیه لم يكن في مقام بيان كيفية المجازية ، وكان بصدد بيان أنّ النفي إنّما بقي على حاله في مقابل القول بأنّ المستفاد منه النهي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رَفَثَ وَلاَ فُسُوقَ وَلاَ جِدالَ فِى الْحَجِّ </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وفي مقابل القول بأنّ المنفيّ هو </w:t>
      </w:r>
    </w:p>
    <w:p>
      <w:pPr>
        <w:pStyle w:val="BookText"/>
        <w:rPr/>
      </w:pPr>
      <w:r>
        <w:rPr>
          <w:rFonts w:ascii="Amiri" w:hAnsi="Amiri" w:eastAsia="Amiri" w:cs="Amiri"/>
          <w:color w:val="111111"/>
          <w:sz w:val="28"/>
          <w:sz w:val="28"/>
          <w:szCs w:val="28"/>
          <w:rtl w:val="true"/>
          <w:lang w:bidi="ar-SA"/>
        </w:rPr>
        <w:t>الضرر الغير المتدارك</w:t>
      </w:r>
      <w:r>
        <w:rPr>
          <w:rStyle w:val="FootnoteAnchor"/>
          <w:rtl w:val="true"/>
        </w:rPr>
        <w:footnoteReference w:id="672"/>
      </w:r>
      <w:r>
        <w:rPr>
          <w:rFonts w:ascii="Amiri" w:hAnsi="Amiri" w:eastAsia="Amiri" w:cs="Amiri"/>
          <w:color w:val="111111"/>
          <w:sz w:val="28"/>
          <w:sz w:val="28"/>
          <w:szCs w:val="28"/>
          <w:rtl w:val="true"/>
          <w:lang w:bidi="ar-SA"/>
        </w:rPr>
        <w:t xml:space="preserve">وغرضه بيان ما يستفاد من الحديث بنحو نتيجة البرهان ، لا كيفية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العلاقة المحقّقة في البين بنحو مبدأ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يوهم ظاهر تعبيراته إرادته المعنى الأوّل ؛ أي المجاز في الحذف ، لكنّ التأمّل في كلامه وفيما ذكرنا يرفعه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إرادة نفي الأحكام الضررية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مقابل إرادة النهي ، وفي مقابل كونه كناية عن لزوم التدارك ، وأمّا كيفية استفادة هذا المعنى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بنحو المجاز في الحذف أو الكلمة أو الحقيقة الادّعائية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في عرض الاحتمالات الثلاثة ، بل في طولها ، ومن متفرّعات الاحتمال الأوّل وبيان استفادته وبيان ترجيحه على سائر الاحتمالات ، فالقائل بالمجاز في الحذف كالقائل بالمجاز في الكلمة ، والقائل بالحقيقة الادّعائية من أصحاب هذا الاحتمال في مقابل الاحتمالين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بيان الحقيقة الادّعائية وجوهاً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الخراساني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نّها من قبيل نفي الموضوع ادّعاءً كناية عن نفي الآثار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الآثار هي الأحكام الثابتة للأفعال بعناوينها الأوّلية ، كوجوب الوفاء بالعقد الضرري ، ووجوب الوضوء الضرري ،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 xml:space="preserve">، وهذا </w:t>
      </w:r>
    </w:p>
    <w:p>
      <w:pPr>
        <w:pStyle w:val="BookText"/>
        <w:rPr/>
      </w:pPr>
      <w:r>
        <w:rPr>
          <w:rFonts w:ascii="Amiri" w:hAnsi="Amiri" w:eastAsia="Amiri" w:cs="Amiri"/>
          <w:color w:val="111111"/>
          <w:sz w:val="28"/>
          <w:sz w:val="28"/>
          <w:szCs w:val="28"/>
          <w:rtl w:val="true"/>
          <w:lang w:bidi="ar-SA"/>
        </w:rPr>
        <w:t xml:space="preserve">يرجع إلى ما أفاده الشيخ قدّس سرّه بالنتيجة ظاهراً وإن يوهم كلامه خلافه ؛ حيث 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بأنّ الشارع لم يشرّع حكماً يلزم منه ضرر على أحد</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لكنّ الظاهر من لزوم الضرر ليس لزومه ولو بالوسائط ، كما يشهد به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المعمولة في 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نفي الحكم الشرعي الذي هو ضرر على العباد ، وأ نّه ليس</w:t>
      </w:r>
    </w:p>
    <w:p>
      <w:pPr>
        <w:pStyle w:val="BookText"/>
        <w:rPr/>
      </w:pPr>
      <w:r>
        <w:rPr>
          <w:rFonts w:ascii="Amiri" w:hAnsi="Amiri" w:eastAsia="Amiri" w:cs="Amiri"/>
          <w:color w:val="111111"/>
          <w:sz w:val="28"/>
          <w:sz w:val="28"/>
          <w:szCs w:val="28"/>
          <w:rtl w:val="true"/>
          <w:lang w:bidi="ar-SA"/>
        </w:rPr>
        <w:t xml:space="preserve">في الإسلام مجعول 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يلزم من العمل به الضرر على العباد</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جعل نفي حكم يلزم من العمل به الضرر عبارةً اُخرى من نفي الحكم الشرعي الذي هو ضرر على العباد ، فما جعله المحقّق الخراساني قدّس سرّه فارقاً بين احتماله واحتمال الشيخ</w:t>
      </w:r>
      <w:r>
        <w:rPr>
          <w:rStyle w:val="FootnoteAnchor"/>
          <w:rtl w:val="true"/>
        </w:rPr>
        <w:footnoteReference w:id="676"/>
      </w:r>
      <w:r>
        <w:rPr>
          <w:rFonts w:ascii="Amiri" w:hAnsi="Amiri" w:eastAsia="Amiri" w:cs="Amiri"/>
          <w:color w:val="111111"/>
          <w:sz w:val="28"/>
          <w:sz w:val="28"/>
          <w:szCs w:val="28"/>
          <w:rtl w:val="true"/>
          <w:lang w:bidi="ar-SA"/>
        </w:rPr>
        <w:t xml:space="preserve">ممّا لا طريق إلى إثباته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جعلنا من وجوه احتمال كلام الشيخ قدّس سرّه وهو ادّعاء نفي حقيقة الضرر لأجل نفي أسبابه ، فإنّ سبب تحقّق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الأحكام الشرعية الموجبة بإطلاقها وقوع العباد في الضرر ، وإمّا المكلّفون الذين بإضرارهم يقع العباد فيه ، فإذا نفى الشارع الأحكام الضررية ، ونهى المكلّفين عن إضرار بعضهم بعضاً ، يصحّ له دعوى نفي الضرر لحسم مادّته وقطع أسبابه ، فلذلك ادّعى أنّ أسباب الضرر هي الضرر ، فنفى تلك الأسباب بنفي الضرر على سبيل الحقيقة الادّعائية ، ومصحّحها علاقة السببية والمسبّبية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الخراساني قدّس سرّه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نفي الحكم بلسان نفي الموضوع بنحو الحقيقة الادّعائية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رَفَثَ وَلاَ فُسُوقَ وَلاَ جِدَالَ فِى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الشارع لم يشرّع جواز الإضرار بالغير أو وجوب تحمّل الضرر عنه</w:t>
      </w:r>
      <w:r>
        <w:rPr>
          <w:rStyle w:val="FootnoteAnchor"/>
          <w:rtl w:val="true"/>
        </w:rPr>
        <w:footnoteReference w:id="677"/>
      </w:r>
      <w:r>
        <w:rPr>
          <w:rFonts w:ascii="Amiri" w:hAnsi="Amiri" w:eastAsia="Amiri" w:cs="Amiri"/>
          <w:color w:val="111111"/>
          <w:sz w:val="28"/>
          <w:sz w:val="28"/>
          <w:szCs w:val="28"/>
          <w:rtl w:val="true"/>
          <w:lang w:bidi="ar-SA"/>
        </w:rPr>
        <w:t xml:space="preserve">والفرق بينه وبين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كالفرق بينهما وبين ما ذكرنا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شيخنا العلاّمة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ما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نفي الضرر والضرار إنّما هو في لحاظ التشريع وحومة سلطان الشريعة ، فمن قلع أسباب تحقّق الضرر في صفحة سلطانه بنفي الأحكام الضررية والمنع عن إضرار الناس بعضهم بعضاً ، وحكم بتداركه على فرض تحقّقه ، يصحّ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في مملكتي وحوزة سلطاني وحمى قدرتي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رحمه الله علیه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بناءً على هذا يكون نفي الضرر والضرار محمولاً على الحقيقة ، لا الحقيقة الادّعائية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ولكنّك خبير بأنّ الحمل على الحقيقة غير ممكن ؛ لتحقّق الضرر في حمى سلطانه وحوزة حكومته رحمهما اللّه ، ومجرّد النهي عن إضرار بعضهم بعضاً لا يوجب قلع الضرر والحمل على الحقيقة ، بل لو خصّ نفي الضرر بالأحكام الضررية ؛ حتّى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حكم ضرري في الإسلام لا يكون على نحو الحقيقة ؛ لوجود الأحكام الضررية في الإسلام كالزكاة والخمس والكفّارات وغيرها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اُغمض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الحمل على الحقيقة ؛ لأنّ المراد من </w:t>
      </w:r>
    </w:p>
    <w:p>
      <w:pPr>
        <w:pStyle w:val="BookText"/>
        <w:rPr/>
      </w:pPr>
      <w:r>
        <w:rPr>
          <w:rFonts w:ascii="Amiri" w:hAnsi="Amiri" w:eastAsia="Amiri" w:cs="Amiri"/>
          <w:color w:val="111111"/>
          <w:sz w:val="28"/>
          <w:sz w:val="28"/>
          <w:szCs w:val="28"/>
          <w:rtl w:val="true"/>
          <w:lang w:bidi="ar-SA"/>
        </w:rPr>
        <w:t xml:space="preserve">نفي الضرر نفي الأحكام ، ولهذا يكون دليله حاكماً على أدلّة الأحكام ، وإطلاق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نفي الأحكام الضررية مع كون الاستعمال على وجه الحقيقة ممّا لا يجتمعان ، فإذن يكون ذلك من الحقيقة الادّعائية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والفرق بينه وبين ما ذكرنا في ضمن احتمالات كلام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بناءً على ما ذكرنا ترجع دعوى المتكلّم إلى أنّ الأحكام المؤدّية إلى الضرر هي عين حقيقة الضرر ، ومصحّح الادّعاء هي علاقة السببية والمسبّبية ، وعلى ما ذكره رحمه الله علیه ترجع إلى أنّ ما هو موجود بمنزلة المعدوم ؛ لقلع مادّته وقطع أسبابه ، فما ذكرنا من قبيل تنزيل السبب منزلة المسبّب وتطبيق عنوان المسبّب عليه بعد الادّعاء ، وما ذكره من قبيل تنزيل الموجود منزلة المعدوم لقلع موجباته وقطع أسبابه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الحقيقة الادّعائية بمعنى تنزيل الموجود منزلة المعدوم ، لكن لا باعتبار ما ذكرنا آنفاً ، بل باعتبار أنّ الضرر الواقع قليل طفيف ؛ بحيث ينزّل منزلة المعدوم ، ويدّعى أ نّه لا ضرر في الإسلام ، ويجعل هذه الدعوى كناية عن نفي الأحكام الضررية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بعض أعاظم العصر رحمه الله علیه قد أتعب نفسه الشريفة وأطال البحث حول كلام الشيخ وحديث نفي الضرر ، وزعم أنّ ما ذكره موافق لكلامه قدّس سرّه وادّعى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على تحقيقاته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على الحقيقة وبعد اللتيا والتي لم يأت بشيء ، ولو بنينا على التعرّض لتمام كلامه ونقده لانجرّ إلى التطويل المملّ بلا طائل فيه ، ولهذا لم نتعرّض إلاّ للُبّ كلامه ومرمى هدفه ،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على نفي الأحكام الضررية ، ولا يلزم منه مجاز أصلاً ؛ </w:t>
      </w:r>
    </w:p>
    <w:p>
      <w:pPr>
        <w:pStyle w:val="BookText"/>
        <w:rPr/>
      </w:pPr>
      <w:r>
        <w:rPr>
          <w:rFonts w:ascii="Amiri" w:hAnsi="Amiri" w:eastAsia="Amiri" w:cs="Amiri"/>
          <w:color w:val="111111"/>
          <w:sz w:val="28"/>
          <w:sz w:val="28"/>
          <w:szCs w:val="28"/>
          <w:rtl w:val="true"/>
          <w:lang w:bidi="ar-SA"/>
        </w:rPr>
        <w:t>لأ نّها بشراشر هويتها وتمام حقيقتها ممّا تنالها يد الجعل ؛ فإنّ تشريعها عين</w:t>
      </w:r>
    </w:p>
    <w:p>
      <w:pPr>
        <w:pStyle w:val="BookText"/>
        <w:rPr/>
      </w:pPr>
      <w:r>
        <w:rPr>
          <w:rFonts w:ascii="Amiri" w:hAnsi="Amiri" w:eastAsia="Amiri" w:cs="Amiri"/>
          <w:color w:val="111111"/>
          <w:sz w:val="28"/>
          <w:sz w:val="28"/>
          <w:szCs w:val="28"/>
          <w:rtl w:val="true"/>
          <w:lang w:bidi="ar-SA"/>
        </w:rPr>
        <w:t xml:space="preserve">تكوينها ، ونفيها بسيطاً عين إعدامها ، فنفي الأحكام الضررية نفي حقيقتها من صفحة التكوين ، وأمّا متعلّقات الأحكام أو موضوعاتها فليس نفيها تحت جعل الشارع ، بل هي اُمور تكوينية مع قطع النظر عن الجعل ، فهي ممّا لا تنالها يد الجعل ، فلا يكون نفيها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إعدامها ، بل نفي تركيبي ، ولا تصل النوبة فيما إذا دار الأمر بين الحمل على نفي الأحكام أو نفي الموضوعات إلى الثاني مع إمكان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نسج على هذا المنوال ورتّب اُموراً بعنوان المقدّمات ممّا لا دخل لها فيما</w:t>
      </w:r>
    </w:p>
    <w:p>
      <w:pPr>
        <w:pStyle w:val="BookText"/>
        <w:rPr/>
      </w:pPr>
      <w:r>
        <w:rPr>
          <w:rFonts w:ascii="Amiri" w:hAnsi="Amiri" w:eastAsia="Amiri" w:cs="Amiri"/>
          <w:color w:val="111111"/>
          <w:sz w:val="28"/>
          <w:sz w:val="28"/>
          <w:szCs w:val="28"/>
          <w:rtl w:val="true"/>
          <w:lang w:bidi="ar-SA"/>
        </w:rPr>
        <w:t>نحن بصدده ، مع كون كثير منها مورداً للخدشة والمناقشة ، فراجع كلامه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الموجود الملقى من المتكلّم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اُمور ضررية بالمبنى الذي سنشير إليه</w:t>
      </w:r>
      <w:r>
        <w:rPr>
          <w:rStyle w:val="FootnoteAnchor"/>
          <w:rtl w:val="true"/>
        </w:rPr>
        <w:footnoteReference w:id="679"/>
      </w:r>
      <w:r>
        <w:rPr>
          <w:rFonts w:ascii="Amiri" w:hAnsi="Amiri" w:eastAsia="Amiri" w:cs="Amiri"/>
          <w:color w:val="111111"/>
          <w:sz w:val="28"/>
          <w:sz w:val="28"/>
          <w:szCs w:val="28"/>
          <w:rtl w:val="true"/>
          <w:lang w:bidi="ar-SA"/>
        </w:rPr>
        <w:t xml:space="preserve">لا هي نفس الضرر ، فإطلاق لفظ موضوع للضرر وإرادة الأحكام التي هي ضررية ممّا لا مسرح له إلاّ المجازية ولو سوّد في أطرافه ألف طومار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الأحكام تشريعها عين تكوينها ونفيها عين إعدامها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ربط له بما نحن فيه ، ولا يوجب صيرورة المجاز حقيقة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إخباراً حتّى يلزم تجوّز </w:t>
      </w:r>
    </w:p>
    <w:p>
      <w:pPr>
        <w:pStyle w:val="BookText"/>
        <w:rPr/>
      </w:pPr>
      <w:r>
        <w:rPr>
          <w:rFonts w:ascii="Amiri" w:hAnsi="Amiri" w:eastAsia="Amiri" w:cs="Amiri"/>
          <w:color w:val="111111"/>
          <w:sz w:val="28"/>
          <w:sz w:val="28"/>
          <w:szCs w:val="28"/>
          <w:rtl w:val="true"/>
          <w:lang w:bidi="ar-SA"/>
        </w:rPr>
        <w:t xml:space="preserve">أو إضمار حتّى لا يلزم الكذب ، فإذا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إنشاءً ونفياً له في عالم التشريع فيختلف نتيجته </w:t>
      </w:r>
      <w:r>
        <w:rPr>
          <w:rFonts w:eastAsia="Amiri" w:cs="Amiri" w:ascii="Amiri" w:hAnsi="Amiri"/>
          <w:color w:val="111111"/>
          <w:sz w:val="28"/>
          <w:szCs w:val="28"/>
          <w:rtl w:val="true"/>
          <w:lang w:bidi="ar-SA"/>
        </w:rPr>
        <w:t>. . .»</w:t>
      </w:r>
      <w:r>
        <w:rPr>
          <w:rStyle w:val="FootnoteAnchor"/>
          <w:rtl w:val="true"/>
        </w:rPr>
        <w:footnoteReference w:id="681"/>
      </w:r>
      <w:r>
        <w:rPr>
          <w:rFonts w:ascii="Amiri" w:hAnsi="Amiri" w:eastAsia="Amiri" w:cs="Amiri"/>
          <w:color w:val="111111"/>
          <w:sz w:val="28"/>
          <w:sz w:val="28"/>
          <w:szCs w:val="28"/>
          <w:rtl w:val="true"/>
          <w:lang w:bidi="ar-SA"/>
        </w:rPr>
        <w:t xml:space="preserve">كقوله في خلال كلماته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إشكال أنّ الإنشاء والإخبار من المداليل السياقية ، لا ممّا وضع له اللفظ</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ممّا لا يرجع إلى محصّل ؛ ضرورة أنّ الجملة المصدّرة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لنفي الجنس جملة إخبارية موضوعة للحكاية عن الواقع ، واستعمالها وإرادة إنشاء السلب منها مجاز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وأهون منه قوله الآخر ؛ ضرورة أنّ هيئة الجملة الخبرية موضوعة دالّة على الحكاية التصديقية عن الواقع بحكم التبادر بل البداهة ، فالالتزام بعدم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لازمه الالتزام بكون الهيئة مهملة فهو خلاف الوجدان ، وإمّا الالتزام بوضعها لأمر آخر غير الإنشاء والإخبار ، والأمر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أجنبيّ عنهما ، وهو كما ترى ، أو جامع بينهما ، ولا جامع بين الإخبار والإنشاء ، بل قد حقّق في محلّه عدم تعقّل الجامع بين المعاني الحرفية إلاّ الجامع الاسمي العَرَضي ، ولو وضعت له صارت اسماً ، وهو خلاف الواقع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الضرر عنوان ثانوي للحكم ، ونفي العنوان الثانوي وإرادة العنوان الأوّلي ليس من باب المجاز ، وإنّما يستلزم المجاز لو كان الحكم من قبيل المُعدّ للضرر أو إذا كان سبباً له وكانا وجودين مستقلّين أحدهما مسبّب عن الآخر ، وأمّا مثل القتل أو الإيلام المترتّب على الضرب فإطلاق أحدهما على </w:t>
      </w:r>
    </w:p>
    <w:p>
      <w:pPr>
        <w:pStyle w:val="BookText"/>
        <w:rPr/>
      </w:pPr>
      <w:r>
        <w:rPr>
          <w:rFonts w:ascii="Amiri" w:hAnsi="Amiri" w:eastAsia="Amiri" w:cs="Amiri"/>
          <w:color w:val="111111"/>
          <w:sz w:val="28"/>
          <w:sz w:val="28"/>
          <w:szCs w:val="28"/>
          <w:rtl w:val="true"/>
          <w:lang w:bidi="ar-SA"/>
        </w:rPr>
        <w:t xml:space="preserve">الآخر شائع 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ورود القضيّة في مقام التشريع وإنشاء نفي</w:t>
      </w:r>
    </w:p>
    <w:p>
      <w:pPr>
        <w:pStyle w:val="BookText"/>
        <w:rPr/>
      </w:pPr>
      <w:r>
        <w:rPr>
          <w:rFonts w:ascii="Amiri" w:hAnsi="Amiri" w:eastAsia="Amiri" w:cs="Amiri"/>
          <w:color w:val="111111"/>
          <w:sz w:val="28"/>
          <w:sz w:val="28"/>
          <w:szCs w:val="28"/>
          <w:rtl w:val="true"/>
          <w:lang w:bidi="ar-SA"/>
        </w:rPr>
        <w:t>الضرر حقيقة يقتضي أن يكون المنفيّ هو الحكم الضرري ، لا أ نّه استعمل الضرر واُريد منه الحكم الذي هو سببه</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غرائب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إطلاق اللفظ الموضوع للعنوان الثانوي وإرادة العنوان الأوّلي كإطلاق القتل على الضرب مجاز بلا إشكال ، ومجرّد تعارفه وشيوعه لا يوجب أن يكون حقيقة ، مع أنّ دعوى الشيوع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إطلاق القاتل على الضارب المنتهي ضربه إلى القتل شائع ، لا إطلاق القتل على الضرب ، وبينهما فرق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لا تكون سبباً للضرر وعلّة له ، فوجوب الوضوء ليس سبباً للضرر ، وإنّما السبب هو نفس الوضوء ، بل الوجوب لا يكون سبباً لانبعاث المكلّف وعلّة لتحرّكه نحو المكلّف به ، وإنّما التكليف والبعث محقّق موضوع الطاعة في صورة الموافقة ، وكاشف لمطلوبية المكلّف به ، والباعث المحرّك مبادٍ اُخر في نفس المكلّف بعد تحقّق الأمر ، مثل الخوف من مخالفة المولى ، والطمع في طاعته ، وحبّه ، ووجدان أهليته لها ، وأمثال ذلك من المبادئ التي في نفوس العباد بحسب اختلاف مراتبهم ، فالأمر الوجوبي المتعلّق بالموضوع يكون دخيلاً في انبعاث العبد بنحو من الدخالة ، لا بنحو السببية والمسبّبية ، فليست نسبة الأحكام إلى الضرر كنسبة الضرب إلى القتل والإيلام ، بل ولا كنسبة حركة اليد </w:t>
      </w:r>
    </w:p>
    <w:p>
      <w:pPr>
        <w:pStyle w:val="BookText"/>
        <w:rPr/>
      </w:pPr>
      <w:r>
        <w:rPr>
          <w:rFonts w:ascii="Amiri" w:hAnsi="Amiri" w:eastAsia="Amiri" w:cs="Amiri"/>
          <w:color w:val="111111"/>
          <w:sz w:val="28"/>
          <w:sz w:val="28"/>
          <w:szCs w:val="28"/>
          <w:rtl w:val="true"/>
          <w:lang w:bidi="ar-SA"/>
        </w:rPr>
        <w:t xml:space="preserve">وحركة المفتاح ، فالأحكام لها وجودات من غير أن يترتّب عليها الضرر ، ثمّ يتعلّق علم المكلّف بها ، فيرى أنّ إتيان متعلّقاتها موضوع طاعة المولى ، وتركها موضوع مخالفته ، ويرى أنّ في طاعته ثواباً ودرجات ، وفي مخالفته عقاباً ودركات ، فيرجّح الطاعة على المعصية ، فينبعث نحوها ويأتي بالمتعلّق ، فيترتّب على إتيانه ضرر أحياناً ، وما كان هذا حاله 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اللفظ الموضوع لأحدهما على الآخر ليس مجازاً ، وورود القضيّة في مقام التشريع قرينة على كون المراد من الضرر الحكم الضرري ، لا أ نّه موجب لكون الاستعمال على نحو الحقيقة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يمكن أن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اُريد منه نفي الحكم الضرري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محتملات كلام العلاّمة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بعض الفحول من أنّ المنفيّ هو الضرر الغير المتدارك ، فيكون لا ضرر كناية عن لزوم تداركه ، ومصحّح دعوى نفي الحقيقة هو حكم الشارع بلزوم التدارك ، فينزّل الضرر المحكوم بلزوم تداركه منزلة العدم ،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الشيخ وجعله أردأ الاحتمالات</w:t>
      </w:r>
      <w:r>
        <w:rPr>
          <w:rStyle w:val="FootnoteAnchor"/>
          <w:rtl w:val="true"/>
        </w:rPr>
        <w:footnoteReference w:id="685"/>
      </w:r>
      <w:r>
        <w:rPr>
          <w:rFonts w:ascii="Amiri" w:hAnsi="Amiri" w:eastAsia="Amiri" w:cs="Amiri"/>
          <w:color w:val="111111"/>
          <w:sz w:val="28"/>
          <w:sz w:val="28"/>
          <w:szCs w:val="28"/>
          <w:rtl w:val="true"/>
          <w:lang w:bidi="ar-SA"/>
        </w:rPr>
        <w:t>، وسيأتي التعرّض لكلامه</w:t>
      </w:r>
      <w:r>
        <w:rPr>
          <w:rStyle w:val="FootnoteAnchor"/>
          <w:rtl w:val="true"/>
        </w:rPr>
        <w:footnoteReference w:id="686"/>
      </w:r>
      <w:r>
        <w:rPr>
          <w:rFonts w:ascii="Amiri" w:hAnsi="Amiri" w:eastAsia="Amiri" w:cs="Amiri"/>
          <w:color w:val="111111"/>
          <w:sz w:val="28"/>
          <w:sz w:val="28"/>
          <w:szCs w:val="28"/>
          <w:rtl w:val="true"/>
          <w:lang w:bidi="ar-SA"/>
        </w:rPr>
        <w:t xml:space="preserve">حتّى يتّضح أ نّه رديفه وزميله في ورود الإشكال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الحمل على النهي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رَفَثَ وَلاَ فُسُوقَ وَلاَ جِدَالَ فِى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باستعمال النفي في النهي ، وإمّا ببقاء النفي على حاله والتعبير بالجملة الخبرية في مقام الإنشاء لإفهام شدّة التنفّر عنه والمبالغة في عدم الرضا بتحقّقه ؛ لينتقل السامع إلى الزجر الأكيد ، كما أنّ المطلوب إذا اُريد المبالغة في طلبه ، وأ نّه لا يرضى بتركه ، ينزّل منزلة الموجود ، ويعبّر عنه بما يدلّ</w:t>
      </w:r>
    </w:p>
    <w:p>
      <w:pPr>
        <w:pStyle w:val="BookText"/>
        <w:rPr/>
      </w:pPr>
      <w:r>
        <w:rPr>
          <w:rFonts w:ascii="Amiri" w:hAnsi="Amiri" w:eastAsia="Amiri" w:cs="Amiri"/>
          <w:color w:val="111111"/>
          <w:sz w:val="28"/>
          <w:sz w:val="28"/>
          <w:szCs w:val="28"/>
          <w:rtl w:val="true"/>
          <w:lang w:bidi="ar-SA"/>
        </w:rPr>
        <w:t xml:space="preserve">على وقوعه ؛ لينتقل السامع إلى الأمر الأكيد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الاحتمالان كلاهما تجوّز ، وإن كان الثاني راجحاً ، بل متعيّناً على فرض كونه بمعنى النهي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رجّح الاحتمال الثالث فريد عصره شيخ الشريعة الأصفهاني رحمه الله علیه وارتضاه ، مدّعياً أ نّه موافق لكلمات أئمّة اللغة ومَهَرة أهل اللسان ، ونقله</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احتمال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راجحاً في نظري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أعثر عليه في كلام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 نهياً لا بمعنى النهي الإلهي حتّى يكون حكماً إلهياً ، كحرمة شرب الخمر وحرمة القمار ، بل بمعنى النهي السلطاني الذي صدر عن رسول اللّه رحمهما اللّه بما أ نّه سلطان الملّة وسائس الدولة ، لا بما أ نّه مبلّغ أحكام الشرع ، وسنرجع إلى توضيحه وتشييده</w:t>
      </w:r>
      <w:r>
        <w:rPr>
          <w:rStyle w:val="FootnoteAnchor"/>
          <w:rtl w:val="true"/>
        </w:rPr>
        <w:footnoteReference w:id="688"/>
      </w:r>
      <w:r>
        <w:rPr>
          <w:rFonts w:ascii="IRNazanin" w:hAnsi="IRNazanin" w:eastAsia="IRNazanin"/>
          <w:color w:val="111111"/>
          <w:sz w:val="28"/>
          <w:sz w:val="28"/>
          <w:szCs w:val="28"/>
          <w:rtl w:val="true"/>
          <w:lang w:bidi="fa-IR"/>
        </w:rPr>
        <w:t xml:space="preserve">، فانتظر </w:t>
      </w:r>
      <w:r>
        <w:rPr>
          <w:rFonts w:eastAsia="IRNazanin" w:cs="IRNazanin"/>
          <w:color w:val="111111"/>
          <w:sz w:val="28"/>
          <w:szCs w:val="28"/>
          <w:rtl w:val="true"/>
          <w:lang w:bidi="fa-IR"/>
        </w:rPr>
        <w:t xml:space="preserve">. </w:t>
      </w:r>
      <w:bookmarkStart w:id="496" w:name="pg12132_128318"/>
    </w:p>
    <w:p>
      <w:pPr>
        <w:pStyle w:val="BookText"/>
        <w:rPr/>
      </w:pPr>
      <w:bookmarkEnd w:id="496"/>
      <w:r>
        <w:rPr>
          <w:rFonts w:ascii="IRNazanin" w:hAnsi="IRNazanin" w:eastAsia="IRNazanin"/>
          <w:color w:val="111111"/>
          <w:sz w:val="28"/>
          <w:sz w:val="28"/>
          <w:szCs w:val="28"/>
          <w:rtl w:val="true"/>
          <w:lang w:bidi="fa-IR"/>
        </w:rPr>
        <w:t xml:space="preserve">وأمّا ما احتمله المحقّق الخراساني رحمه الله علیه في تعليقته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أظهر الاحتمالات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المعنى أنّ الشارع لم يشرّع جواز الإضرار بالغير أو وجوب تحمّل الضرر عنه</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 xml:space="preserve">فإن كان المراد عدم وجوب التحمّل عن الشارع برجوع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الشارع ، أو إلى الغير والمراد منه الشارع ، فهو يرجع إلى احتمال الشيخ</w:t>
      </w:r>
      <w:r>
        <w:rPr>
          <w:rStyle w:val="FootnoteAnchor"/>
          <w:rtl w:val="true"/>
        </w:rPr>
        <w:footnoteReference w:id="690"/>
      </w:r>
      <w:r>
        <w:rPr>
          <w:rFonts w:ascii="Amiri" w:hAnsi="Amiri" w:eastAsia="Amiri" w:cs="Amiri"/>
          <w:color w:val="111111"/>
          <w:sz w:val="28"/>
          <w:sz w:val="28"/>
          <w:szCs w:val="28"/>
          <w:rtl w:val="true"/>
          <w:lang w:bidi="ar-SA"/>
        </w:rPr>
        <w:t>والاختلاف بينهما في التعبير ، وان كان المراد عدم تشريع</w:t>
      </w:r>
    </w:p>
    <w:p>
      <w:pPr>
        <w:pStyle w:val="BookText"/>
        <w:rPr/>
      </w:pPr>
      <w:r>
        <w:rPr>
          <w:rFonts w:ascii="Amiri" w:hAnsi="Amiri" w:eastAsia="Amiri" w:cs="Amiri"/>
          <w:color w:val="111111"/>
          <w:sz w:val="28"/>
          <w:sz w:val="28"/>
          <w:szCs w:val="28"/>
          <w:rtl w:val="true"/>
          <w:lang w:bidi="ar-SA"/>
        </w:rPr>
        <w:t xml:space="preserve">وجوب تحمّل الضرر عن الغير ؛ أي الناس ؛ بمعنى جواز الدفاع عن الضرر المتوجّه إليه وجواز تداركه مع وقوعه بالتقاصّ والقصاص مثلاً ، فهو احتمال ضعيف ربما يكون أردأ الاحتمالات </w:t>
      </w:r>
      <w:r>
        <w:rPr>
          <w:rFonts w:eastAsia="Amiri" w:cs="Amiri" w:ascii="Amiri" w:hAnsi="Amiri"/>
          <w:color w:val="111111"/>
          <w:sz w:val="28"/>
          <w:szCs w:val="28"/>
          <w:rtl w:val="true"/>
          <w:lang w:bidi="ar-SA"/>
        </w:rPr>
        <w:t>.</w:t>
      </w:r>
    </w:p>
    <w:p>
      <w:pPr>
        <w:pStyle w:val="Heading2"/>
        <w:numPr>
          <w:ilvl w:val="1"/>
          <w:numId w:val="1"/>
        </w:numPr>
        <w:rPr/>
      </w:pPr>
      <w:bookmarkStart w:id="497" w:name="__RefHeading___Toc3352898_417432637"/>
      <w:bookmarkStart w:id="498" w:name="_Toc170"/>
      <w:bookmarkEnd w:id="497"/>
      <w:r>
        <w:rPr>
          <w:rtl w:val="true"/>
        </w:rPr>
        <w:t>فصل</w:t>
      </w:r>
      <w:r>
        <w:rPr>
          <w:rtl w:val="true"/>
        </w:rPr>
        <w:t xml:space="preserve">: </w:t>
      </w:r>
      <w:r>
        <w:rPr>
          <w:rtl w:val="true"/>
        </w:rPr>
        <w:t>في البحث في محتملات كلام الشيخ</w:t>
      </w:r>
      <w:bookmarkEnd w:id="498"/>
    </w:p>
    <w:p>
      <w:pPr>
        <w:pStyle w:val="BookText"/>
        <w:rPr/>
      </w:pPr>
      <w:r>
        <w:rPr>
          <w:rFonts w:ascii="Amiri" w:hAnsi="Amiri" w:eastAsia="Amiri" w:cs="Amiri"/>
          <w:color w:val="111111"/>
          <w:sz w:val="28"/>
          <w:sz w:val="28"/>
          <w:szCs w:val="28"/>
          <w:rtl w:val="true"/>
          <w:lang w:bidi="ar-SA"/>
        </w:rPr>
        <w:t>المهمّ في المقام التعرّض لما ورد على وجوه احتمالات كلام العلاّمة الأنصاري</w:t>
      </w:r>
      <w:r>
        <w:rPr>
          <w:rStyle w:val="FootnoteAnchor"/>
          <w:rtl w:val="true"/>
        </w:rPr>
        <w:footnoteReference w:id="691"/>
      </w:r>
      <w:r>
        <w:rPr>
          <w:rFonts w:ascii="Amiri" w:hAnsi="Amiri" w:eastAsia="Amiri" w:cs="Amiri"/>
          <w:color w:val="111111"/>
          <w:sz w:val="28"/>
          <w:sz w:val="28"/>
          <w:szCs w:val="28"/>
          <w:rtl w:val="true"/>
          <w:lang w:bidi="ar-SA"/>
        </w:rPr>
        <w:t xml:space="preserve">؛ حتّى يتّضح حقيقة الحال في المقام ، لا لمجرّد إيراد الإشكال على الأعلام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فيها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يكون وارداً على الجميع ، وثانيهما ما يختصّ ببعضها </w:t>
      </w:r>
      <w:r>
        <w:rPr>
          <w:rFonts w:eastAsia="Amiri" w:cs="Amiri" w:ascii="Amiri" w:hAnsi="Amiri"/>
          <w:color w:val="111111"/>
          <w:sz w:val="28"/>
          <w:szCs w:val="28"/>
          <w:rtl w:val="true"/>
          <w:lang w:bidi="ar-SA"/>
        </w:rPr>
        <w:t>.</w:t>
      </w:r>
    </w:p>
    <w:p>
      <w:pPr>
        <w:pStyle w:val="Heading2"/>
        <w:numPr>
          <w:ilvl w:val="1"/>
          <w:numId w:val="1"/>
        </w:numPr>
        <w:rPr/>
      </w:pPr>
      <w:bookmarkStart w:id="499" w:name="__RefHeading___Toc3352900_417432637"/>
      <w:bookmarkStart w:id="500" w:name="_Toc171"/>
      <w:bookmarkEnd w:id="499"/>
      <w:r>
        <w:rPr>
          <w:rtl w:val="true"/>
        </w:rPr>
        <w:t>في الإشكالات المشتركة</w:t>
      </w:r>
      <w:bookmarkEnd w:id="500"/>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كثرة التخصيص المستهجن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عللاً تامّة ولا أسباباً توليدية للضرر ، كما هو واضح ، بل تكون ضرريتها باعتبار كونها منتهية إلى الضرر ولو بواسطة أو وسائط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محقّقة لموضوع الطاعة وحصول بعض المبادئ في نفس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كالخوف ، والطمع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لانبعاثه بعد تحقّق مقدّمات الانبعاث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التصوّر ، والتصديق بالفائدة ، والشوق ، والإرادة ، ثمّ الانبعاث والإيجاد خارجاً ، وإنّما يكون وجود المتعلّق في الخارج ضررياً ، فحينئذٍ قد يكون المتعلّق علّة وسبباً توليدياً للضرر ، وقد يكون معدّاً أو منتهياً إليه ولو بوسائط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نفس الصوم ضررياً ، وقد يكون موجباً لليبوسة ، وهي ضررية ، وكذا الكلام في لزوم البيع ، فإنّ نفس اللزوم لا يكون ضررياً ، بل البيع نفسه ضرري ، فحينئذٍ قد يكون البيع ضررياً بذاته ، وقد يترتّب عليه الضرر ترتّباً ثانوياً ، أو ترتّباً مع الوسائط ، بل قد يكون بيع متاعٍ بقيمة رخيصة موجباً لتنزّل المتاع والضرر الفاحش على واجديه ، وقد يكون موجباً للغلاء والقحط وحصول الضرر على فاقديه ، وقد يكون بيع الدار المحبوبة موجباً للضرر على الأهل والأولاد ، وقد يكون موجباً للإضرار بالجار والشريك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الأحكام قد توجب الضرر بنحو العلّية والسببية التوليدية ، وقد توجب بنحو الإعداد ، وقد تلزمه لزوماً أوّلياً ، وقد تلزمه لزوماً ثانوياً ، يمكن أن يدّعى أنّ المنفيّ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الأحكام الموجبة </w:t>
      </w:r>
    </w:p>
    <w:p>
      <w:pPr>
        <w:pStyle w:val="BookText"/>
        <w:rPr/>
      </w:pPr>
      <w:r>
        <w:rPr>
          <w:rFonts w:ascii="Amiri" w:hAnsi="Amiri" w:eastAsia="Amiri" w:cs="Amiri"/>
          <w:color w:val="111111"/>
          <w:sz w:val="28"/>
          <w:sz w:val="28"/>
          <w:szCs w:val="28"/>
          <w:rtl w:val="true"/>
          <w:lang w:bidi="ar-SA"/>
        </w:rPr>
        <w:t xml:space="preserve">للضرر إيجاباً علّياً أو أوّلياً ، وأمّا بعد ما عرفت من عدم ترتّب الضرر على الأحكام كذلك ، بل الترتّب عليها بنحو من الدخالة وبنحو من الإعداد ، فلا ترجيح لاختصاص نفي الضرر بحكمٍ دون حكم ، وضررٍ دون ضرر ، ومُعدٍّ دون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اختصاص نفي الضرر بأحكام تكون متعلّقاتها ضررية بنحو السببية ، لا بنحو الإعداد كما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فاتّضح لزوم تخصيصات كثيرة عليه ، وإلاّ لزم تأسيس فقه جديد ، ولا محيص عن هذا الإشكال بما أفاده الشيخ رحمه الله علیه من أنّ الخارج إنّما خرج بعنوان واحد ، ولا استهجان فيه</w:t>
      </w:r>
      <w:r>
        <w:rPr>
          <w:rStyle w:val="FootnoteAnchor"/>
          <w:rtl w:val="true"/>
        </w:rPr>
        <w:footnoteReference w:id="692"/>
      </w:r>
      <w:r>
        <w:rPr>
          <w:rFonts w:ascii="Amiri" w:hAnsi="Amiri" w:eastAsia="Amiri" w:cs="Amiri"/>
          <w:color w:val="111111"/>
          <w:sz w:val="28"/>
          <w:sz w:val="28"/>
          <w:szCs w:val="28"/>
          <w:rtl w:val="true"/>
          <w:lang w:bidi="ar-SA"/>
        </w:rPr>
        <w:t xml:space="preserve">فإنّ الواقع خلافه ؛ لأنّ موارد التخصيصات ممّا لا جامع لها ظاهراً ، ولو فرض أن يكون لها جامع واقعي مجهول لدى المخاطب ، ووقع التخصيص بحسب مقام التخاطب بغير ذلك الجامع ، لا يخرج عن الاستهجان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الخروج بعنوان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الكلام عن الاستهجان إذا كان المخصّص منفصلاً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إنسان ، ثمّ قال بدليل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من له رأس واحد ، وأراد بإلقاء الكبرى إكرام من له رأسان ، كان قبيحاً مستهجناً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الإشكالات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 نّه حكم امتناني على العباد ، وأنّ مفاده أ نّه تعالى لعنايته بالعباد لم يوقعهم في الضرر ، ولم يشرّع الأحكام للإضرار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عن التخصيص مطلقاً ، فهو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عَلَيْكُمْ فِى </w:t>
      </w:r>
    </w:p>
    <w:p>
      <w:pPr>
        <w:pStyle w:val="BookText"/>
        <w:rPr/>
      </w:pPr>
      <w:r>
        <w:rPr>
          <w:rFonts w:ascii="Amiri" w:hAnsi="Amiri" w:eastAsia="Amiri" w:cs="Amiri"/>
          <w:color w:val="111111"/>
          <w:sz w:val="28"/>
          <w:sz w:val="28"/>
          <w:szCs w:val="28"/>
          <w:rtl w:val="true"/>
          <w:lang w:bidi="ar-SA"/>
        </w:rPr>
        <w:t xml:space="preserve">الدِّينِ مِنْ حَرَجٍ </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ولسانه كلسانه ، ويكون آبياً عن التخصيص ، مع أنّ كثيراً من الأحكام الإلهية ضررية ، كتشريع الزكاة ، والخمس ، والحجّ ، والجهاد ، والكفّارات ، والحدود ، والاسترقاق ، وغير ذلك ، كسلب مالية الخمر والخنزير وآلات القمار وآلات الطرب وسائر الأعيان النجسة ، وما يلزم منه الفساد على مذاق الشرع ، بل لو لم يكن التخصيص أكثرياً ، ولا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الامتنان ، لكان نفس خروج تلك المعظمات التي هي اُصول الأحكام الإلهية ومهمّاتها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مستهجناً ، فمن أخبر بعدم الضرر في الأحكام ، سواء كان إخباره في مقام الإنشاء أم لا ، ثمّ يكون معظم أحكامه واُصولها ضررياً لم يخرج كلامه عن الاستهجان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ناظر إلى الأحكام التي نشأ من إطلاقها الضرر ، دون ما يكون طبعه ضررياً ، كالأمثلة المتقدّمة</w:t>
      </w:r>
      <w:r>
        <w:rPr>
          <w:rStyle w:val="FootnoteAnchor"/>
          <w:rtl w:val="true"/>
        </w:rPr>
        <w:footnoteReference w:id="694"/>
      </w:r>
      <w:r>
        <w:rPr>
          <w:rFonts w:ascii="Amiri" w:hAnsi="Amiri" w:eastAsia="Amiri" w:cs="Amiri"/>
          <w:color w:val="111111"/>
          <w:sz w:val="28"/>
          <w:sz w:val="28"/>
          <w:szCs w:val="28"/>
          <w:rtl w:val="true"/>
          <w:lang w:bidi="ar-SA"/>
        </w:rPr>
        <w:t xml:space="preserve">كما ترى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معناه أ نّه تعالى لم يشرّع حكماً ضررياً على العباد ، فلا معنى لإخراج الأمثلة إلاّ بنحو التخصيص ؛ فإنّ ما يكون بتمام هويته ضررياً أولى بالدخول فيه ممّا هو بإطلاقه كذلك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الزكاة والخمس حقّ للفقراء وإخراج مال الفقراء وتأدية حقوقهم ليس بضرر عرفاً</w:t>
      </w:r>
      <w:r>
        <w:rPr>
          <w:rStyle w:val="FootnoteAnchor"/>
          <w:rtl w:val="true"/>
        </w:rPr>
        <w:footnoteReference w:id="695"/>
      </w:r>
      <w:r>
        <w:rPr>
          <w:rFonts w:ascii="Amiri" w:hAnsi="Amiri" w:eastAsia="Amiri" w:cs="Amiri"/>
          <w:color w:val="111111"/>
          <w:sz w:val="28"/>
          <w:sz w:val="28"/>
          <w:szCs w:val="28"/>
          <w:rtl w:val="true"/>
          <w:lang w:bidi="ar-SA"/>
        </w:rPr>
        <w:t xml:space="preserve">كلام شعري ؛ فإنّ الإشكال إنّما هو أنّ جعل عُشر المال الزكوي وخمس المال الذي تعلّق به الخمس ملكاً لغير مالكه </w:t>
      </w:r>
      <w:bookmarkStart w:id="501" w:name="pg12132_128322"/>
    </w:p>
    <w:p>
      <w:pPr>
        <w:pStyle w:val="BookText"/>
        <w:rPr/>
      </w:pPr>
      <w:bookmarkEnd w:id="501"/>
      <w:r>
        <w:rPr>
          <w:rFonts w:ascii="Amiri" w:hAnsi="Amiri" w:eastAsia="Amiri" w:cs="Amiri"/>
          <w:color w:val="111111"/>
          <w:sz w:val="28"/>
          <w:sz w:val="28"/>
          <w:szCs w:val="28"/>
          <w:rtl w:val="true"/>
          <w:lang w:bidi="ar-SA"/>
        </w:rPr>
        <w:t xml:space="preserve">العرفي ضرر على العباد ، وهذا الجعل حكم شرعي ضرري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نفي الضرر منصرف عن مثل تلك الأحكام المعروفة المتداولة بين المسلمين ، فلايكون خروجها تخصيصاً ، وهو ليس ببعيد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لا يدفع أصل الإشكال ؛ لورود تخصيصات غيرها عليه خصوصاً على ما قرّرناه </w:t>
      </w:r>
      <w:r>
        <w:rPr>
          <w:rFonts w:eastAsia="Amiri" w:cs="Amiri" w:ascii="Amiri" w:hAnsi="Amiri"/>
          <w:color w:val="111111"/>
          <w:sz w:val="28"/>
          <w:szCs w:val="28"/>
          <w:rtl w:val="true"/>
          <w:lang w:bidi="ar-SA"/>
        </w:rPr>
        <w:t>.</w:t>
      </w:r>
    </w:p>
    <w:p>
      <w:pPr>
        <w:pStyle w:val="Heading2"/>
        <w:numPr>
          <w:ilvl w:val="1"/>
          <w:numId w:val="1"/>
        </w:numPr>
        <w:rPr/>
      </w:pPr>
      <w:bookmarkStart w:id="502" w:name="__RefHeading___Toc3352902_417432637"/>
      <w:bookmarkStart w:id="503" w:name="_Toc172"/>
      <w:bookmarkEnd w:id="502"/>
      <w:r>
        <w:rPr>
          <w:rtl w:val="true"/>
        </w:rPr>
        <w:t>في الإشكالات الغير المشتركة</w:t>
      </w:r>
      <w:bookmarkEnd w:id="503"/>
    </w:p>
    <w:p>
      <w:pPr>
        <w:pStyle w:val="BookText"/>
        <w:rPr/>
      </w:pPr>
      <w:r>
        <w:rPr>
          <w:rFonts w:ascii="Amiri" w:hAnsi="Amiri" w:eastAsia="Amiri" w:cs="Amiri"/>
          <w:color w:val="111111"/>
          <w:sz w:val="28"/>
          <w:sz w:val="28"/>
          <w:szCs w:val="28"/>
          <w:rtl w:val="true"/>
          <w:lang w:bidi="ar-SA"/>
        </w:rPr>
        <w:t xml:space="preserve">وأمّا الإشكالات الغير المشتركة بين الاحتمالات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 مجازاً في الحذف أو في الكلمة بإطلاق اللفظ الموضوع للمسبّب على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احتمالان ضعيفان لا يصار إليهما ، بل التحقيق أنّ جُلّ المجازات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ادّعائية ، كما حقّق في محلّه ، وقد عرفت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 القَرْيَةَ الَّتى كُنَّا فِيهَا والعِيرَ الَّتى أَقْبَلْنا فِيهَا </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أ نّه حقيقة ادّعائية ، 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بإطلاق اللفظ الموضوع للميزاب على الماء بعلاقة المجاورة ؛ فإنّه مستهجن مبتذل ، بل ادّعى المتكلّم أنّ الميزاب بنفسه جرى ، ومصحّح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كثرة المطر وغزارته ، أو علاقة المجاورة مثلاً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 حقيقة ادّعائية ، كما أفاد المحقّق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نفي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الموضوع</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ليست من آثار الضرر ، ولا يكون الضرر موضوعاً لها حتّى يصحّح كونها كذلك ذلك الادّعاء ، ففي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يدّعي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 حقيقة الرجولية عبارة عن الشجاعة والإقدام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والجدال ، فمن تقاعد عنها خوفاً وجبناً فلا يكون رجلاً ، فيسلب الرجولية لسلب آثارها البارزة التي يمكن دعوى كونها تمام حقيقة الرجولية ، وأمّا الأحكام فليست من آثار الضرر حتّى يصحّ فيها هذه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أنّ للضرر أثراً بارزاً غير مرتّب عليه ، أو كان الضرر لقلّة وجوده ممّا يعدّ معدوماً ، يمكن دعوى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المقام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الفارق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عرفت الإشكال فيما ذكره رحمه الله علیه في تعليقته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الحقيقة الادّعائية بالأنحاء الاُخر كنفي الضرر لنفي أسبابه وقلعها</w:t>
      </w:r>
      <w:r>
        <w:rPr>
          <w:rStyle w:val="FootnoteAnchor"/>
          <w:rtl w:val="true"/>
        </w:rPr>
        <w:footnoteReference w:id="700"/>
      </w:r>
      <w:r>
        <w:rPr>
          <w:rFonts w:ascii="Amiri" w:hAnsi="Amiri" w:eastAsia="Amiri" w:cs="Amiri"/>
          <w:color w:val="111111"/>
          <w:sz w:val="28"/>
          <w:sz w:val="28"/>
          <w:szCs w:val="28"/>
          <w:rtl w:val="true"/>
          <w:lang w:bidi="ar-SA"/>
        </w:rPr>
        <w:t xml:space="preserve">، فالمصحّح 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ضرر في دائرة سلطاني وحِمى حكومتي ، هو قلع مادّة أسبابه وقطع اُصول علله برفع الأحكام الشرعية الموجبة للضرر ، والنهي عن إضرار الرعية بعضهم بعضاً ، فالشارع قد قطع علل الضرر بما هو وظيفته ، فيمكن أن يدّعي أ نّه لا ضررَ ولا ضِرار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على ذلك بجميع تقريراته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نفي الحقيقة بتمام هويتها مع وجودها في الخارج إنّما تستحسن وتصحّ إذا صحّ تنزيل الموجود منزلة </w:t>
      </w:r>
    </w:p>
    <w:p>
      <w:pPr>
        <w:pStyle w:val="BookText"/>
        <w:rPr/>
      </w:pPr>
      <w:r>
        <w:rPr>
          <w:rFonts w:ascii="Amiri" w:hAnsi="Amiri" w:eastAsia="Amiri" w:cs="Amiri"/>
          <w:color w:val="111111"/>
          <w:sz w:val="28"/>
          <w:sz w:val="28"/>
          <w:szCs w:val="28"/>
          <w:rtl w:val="true"/>
          <w:lang w:bidi="ar-SA"/>
        </w:rPr>
        <w:t xml:space="preserve">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لقلّة وجوده ، أو قطع علله وأسبابه ؛ بحيث يقلّ وجوده ، ومع كون الأحكام البارزة المهمّة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اُصول الأحكام الفرعية كالزكاة ، والخمس ، والحجّ ، والجهاد ، والكفّارات ، والحدود ، بل والاسترقاق ، وأخذ الغنائم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ضرريةً في نظر العقلاء ، لا مصحّح لهذه الدعوى ولا حسن لها ، فهل هذه الدعوى إلاّ كدعوى السلطان عدم السارق في حومة سلطانه مع كون غالب أعاظم مملكته ومقرّبي حضرته من السارقين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نهي الشارع عن الإضرار لا يوجب قلع مادّة الإضرار حتّى تصحّ تلك الدعوى ، كما أنّ حكم الشارع بلزوم التدارك لا يوجب نفي الضرر ، بل الانتهاء الواقعي يوجبه ، فهذا الوجه والوجه الذي جعله الشيخ العلاّمة قدّس سرّه أردأ</w:t>
      </w:r>
    </w:p>
    <w:p>
      <w:pPr>
        <w:pStyle w:val="BookText"/>
        <w:rPr/>
      </w:pPr>
      <w:r>
        <w:rPr>
          <w:rFonts w:ascii="IRNazanin" w:hAnsi="IRNazanin" w:eastAsia="IRNazanin"/>
          <w:color w:val="111111"/>
          <w:sz w:val="28"/>
          <w:sz w:val="28"/>
          <w:szCs w:val="28"/>
          <w:rtl w:val="true"/>
          <w:lang w:bidi="fa-IR"/>
        </w:rPr>
        <w:t>الاحتمالات</w:t>
      </w:r>
      <w:r>
        <w:rPr>
          <w:rStyle w:val="FootnoteAnchor"/>
          <w:rtl w:val="true"/>
        </w:rPr>
        <w:footnoteReference w:id="701"/>
      </w:r>
      <w:r>
        <w:rPr>
          <w:rFonts w:ascii="Amiri" w:hAnsi="Amiri" w:eastAsia="Amiri" w:cs="Amiri"/>
          <w:color w:val="111111"/>
          <w:sz w:val="28"/>
          <w:sz w:val="28"/>
          <w:szCs w:val="28"/>
          <w:rtl w:val="true"/>
          <w:lang w:bidi="ar-SA"/>
        </w:rPr>
        <w:t xml:space="preserve">شقيقان في ورود الإشكال عليهما، مع ورود إشكالات اُخر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مصحّح لدعوى نفي الضرر والضرار لا مطلقاً ولا في الإسلام وفي صفحة التشريع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الأمثلة المذكورة ليست ضررية</w:t>
      </w:r>
      <w:r>
        <w:rPr>
          <w:rStyle w:val="FootnoteAnchor"/>
          <w:rtl w:val="true"/>
        </w:rPr>
        <w:footnoteReference w:id="702"/>
      </w:r>
      <w:r>
        <w:rPr>
          <w:rFonts w:ascii="Amiri" w:hAnsi="Amiri" w:eastAsia="Amiri" w:cs="Amiri"/>
          <w:color w:val="111111"/>
          <w:sz w:val="28"/>
          <w:sz w:val="28"/>
          <w:szCs w:val="28"/>
          <w:rtl w:val="true"/>
          <w:lang w:bidi="ar-SA"/>
        </w:rPr>
        <w:t>كدعوى أنّ الحديث ليس ناظراً إليها ، وأ نّه حاكم على الأدلّة التي بإطلاقها موجبة للضرر ، كالوضوء والصوم الضرريين ، لا التي بتمام هويتها ضررية ، وأنّ ما يكون الضرر يقتضيه لا يمكن أن ينفيه</w:t>
      </w:r>
      <w:r>
        <w:rPr>
          <w:rStyle w:val="FootnoteAnchor"/>
          <w:rtl w:val="true"/>
        </w:rPr>
        <w:footnoteReference w:id="703"/>
      </w:r>
      <w:r>
        <w:rPr>
          <w:rFonts w:ascii="Amiri" w:hAnsi="Amiri" w:eastAsia="Amiri" w:cs="Amiri"/>
          <w:color w:val="111111"/>
          <w:sz w:val="28"/>
          <w:sz w:val="28"/>
          <w:szCs w:val="28"/>
          <w:rtl w:val="true"/>
          <w:lang w:bidi="ar-SA"/>
        </w:rPr>
        <w:t xml:space="preserve">كما ترى ؛ فإنّ الكلام في مصحّح دعوى نفي الحقيقة ، فهل يجوز دعوى نفي حقيقة الضرر عن صفحة الكون أو عن صفحة التشريع مع </w:t>
      </w:r>
    </w:p>
    <w:p>
      <w:pPr>
        <w:pStyle w:val="BookText"/>
        <w:rPr/>
      </w:pPr>
      <w:r>
        <w:rPr>
          <w:rFonts w:ascii="Amiri" w:hAnsi="Amiri" w:eastAsia="Amiri" w:cs="Amiri"/>
          <w:color w:val="111111"/>
          <w:sz w:val="28"/>
          <w:sz w:val="28"/>
          <w:szCs w:val="28"/>
          <w:rtl w:val="true"/>
          <w:lang w:bidi="ar-SA"/>
        </w:rPr>
        <w:t xml:space="preserve">شيوعه في الخارج وكثرة الأحكام الضررية في صفحة الشريعة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كانت صفحة تشريعه مملوّة من الأحكام الضررية ؛ مما هو أساس أحكامه وقوام شريعته ، كيف يدّعي عدم حقيقة الضرر والضرار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ينزّل الأحكام التي هي كالاُصول منزلة العدم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الوجه أردأ الوجوه ، وأنّ هذه الدعوى من أبرد الدعاوى وأقبحها ؛ ممّا لا يمكن حمل الكلام العادي عليه ، فكيف بكلام صدر ممّن هو أفصح من نطق بالضاد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من إمكان دعوى الانصراف</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سلامته من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الكلام من البرودة ، والدعوى من القبح ، مع أنّ إضرار الناس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الشيوع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فساد هذا الوجه وبرودة هذه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الاحتمال الأوّل الذي اختاره العلاّمة الأنصاري وجُلّ من تأخّر عنه رحمهما اللّه باختلاف تعبيراتهم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الذي نسبه الشيخ إلى بعض الفحول</w:t>
      </w:r>
      <w:r>
        <w:rPr>
          <w:rStyle w:val="FootnoteAnchor"/>
          <w:rtl w:val="true"/>
        </w:rPr>
        <w:footnoteReference w:id="705"/>
      </w:r>
      <w:r>
        <w:rPr>
          <w:rFonts w:ascii="Amiri" w:hAnsi="Amiri" w:eastAsia="Amiri" w:cs="Amiri"/>
          <w:color w:val="111111"/>
          <w:sz w:val="28"/>
          <w:sz w:val="28"/>
          <w:szCs w:val="28"/>
          <w:rtl w:val="true"/>
          <w:lang w:bidi="ar-SA"/>
        </w:rPr>
        <w:t xml:space="preserve">فقد اتّضح ضعفه بما ذكرنا وما أورد عليه الآخرون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الاحتمال الثالث الذي اختاره شيخ الشريعة رحمه الله علیه </w:t>
      </w:r>
      <w:r>
        <w:rPr>
          <w:rStyle w:val="FootnoteAnchor"/>
          <w:rtl w:val="true"/>
        </w:rPr>
        <w:footnoteReference w:id="706"/>
      </w:r>
      <w:r>
        <w:rPr>
          <w:rFonts w:ascii="Amiri" w:hAnsi="Amiri" w:eastAsia="Amiri" w:cs="Amiri"/>
          <w:color w:val="111111"/>
          <w:sz w:val="28"/>
          <w:sz w:val="28"/>
          <w:szCs w:val="28"/>
          <w:rtl w:val="true"/>
          <w:lang w:bidi="ar-SA"/>
        </w:rPr>
        <w:t xml:space="preserve">فهو أقرب الاحتمالات الثلاثة ، وسليم عن الإشكالات المتقدّمة ، لكنّ الشأن في ظهور الكلام فيه كما ادّعى </w:t>
      </w:r>
      <w:r>
        <w:rPr>
          <w:rFonts w:eastAsia="Amiri" w:cs="Amiri" w:ascii="Amiri" w:hAnsi="Amiri"/>
          <w:color w:val="111111"/>
          <w:sz w:val="28"/>
          <w:szCs w:val="28"/>
          <w:rtl w:val="true"/>
          <w:lang w:bidi="ar-SA"/>
        </w:rPr>
        <w:t xml:space="preserve">. </w:t>
      </w:r>
      <w:bookmarkStart w:id="504" w:name="pg12132_128326"/>
    </w:p>
    <w:p>
      <w:pPr>
        <w:pStyle w:val="Heading2"/>
        <w:numPr>
          <w:ilvl w:val="1"/>
          <w:numId w:val="1"/>
        </w:numPr>
        <w:rPr/>
      </w:pPr>
      <w:bookmarkStart w:id="505" w:name="__RefHeading___Toc3352904_417432637"/>
      <w:bookmarkStart w:id="506" w:name="_Toc173"/>
      <w:bookmarkEnd w:id="504"/>
      <w:bookmarkEnd w:id="505"/>
      <w:r>
        <w:rPr>
          <w:rtl w:val="true"/>
        </w:rPr>
        <w:t>فصل</w:t>
      </w:r>
      <w:r>
        <w:rPr>
          <w:rtl w:val="true"/>
        </w:rPr>
        <w:t xml:space="preserve">: </w:t>
      </w:r>
      <w:r>
        <w:rPr>
          <w:rtl w:val="true"/>
        </w:rPr>
        <w:t>في حال الاحتمال الثالث</w:t>
      </w:r>
      <w:bookmarkEnd w:id="506"/>
    </w:p>
    <w:p>
      <w:pPr>
        <w:pStyle w:val="BookText"/>
        <w:rPr/>
      </w:pPr>
      <w:r>
        <w:rPr>
          <w:rFonts w:ascii="Amiri" w:hAnsi="Amiri" w:eastAsia="Amiri" w:cs="Amiri"/>
          <w:color w:val="111111"/>
          <w:sz w:val="28"/>
          <w:sz w:val="28"/>
          <w:szCs w:val="28"/>
          <w:rtl w:val="true"/>
          <w:lang w:bidi="ar-SA"/>
        </w:rPr>
        <w:t xml:space="preserve">قال العلاّمة شيخ الشريعة في رسالته المعمولة في حديث الضرر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الضرر محتمل عند القوم لمعانٍ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النهي عن الضرر ، فيكون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رَفَثَ وَلاَ فُسُوقَ وَلاَ جِدَالَ فِى الحَجِّ </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لَكَ فِى الْحَيَوةِ أَنْ تَقُولَ لاَ مِسَاسَ </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 أي لا تقربني ولا تمسَّني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جَلَبَ ، ولا جَنَبَ ، ولا شِغارَ</w:t>
      </w:r>
      <w:r>
        <w:rPr>
          <w:rStyle w:val="FootnoteAnchor"/>
          <w:rtl w:val="true"/>
        </w:rPr>
        <w:footnoteReference w:id="709"/>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جَلَبَ ، ولا جَنَبَ ، ولا اعتراض</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إخصاء في الإسلام ، ولا بنيان كنيسة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حمى في الإسلام ولا مُناجشة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حمى في الأراك</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رحمهما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حمى إلاّ ما حمى اللّه ورسوله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صُماتَ يومٍ إلى الليل</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صرورة</w:t>
      </w:r>
      <w:r>
        <w:rPr>
          <w:rStyle w:val="FootnoteAnchor"/>
          <w:rtl w:val="true"/>
        </w:rPr>
        <w:footnoteReference w:id="719"/>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 بين المسلمين فوق ثلاثة أيّام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غشّ بين المسلمين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ممّا في الكتاب والسنّة ، ولو ذهبنا لنستقصي ما وقع من نظائرها في الروايات واستعمالات الفصحاء نظماً ونثراً ، لطال المَقال وأدّى إلى الملال ، وفيما ذكرنا كفاية في إثبات شيوع هذا المعنى في هذا التركيب ؛ أعني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لنفي الجنس ، وفي ردّ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احتمال النهي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النفي بمعنى النهي وان كان ليس بعزيز ، إلاّ أ نّه لم يعهد من مثل هذا التركيب</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سائر الاحتمالات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الراجح عندي بين المعاني الأربعة هو الأوّل ، وهو الذي لا تسبق الأذهان الفارغة عن الشبهات العلمية إلاّ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 ما ذكره بقوله في قضيّة سَمُرة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 ، ولا ضرَرَ ولا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بمنزلة صغرى وكبرى ، فلو اُريد التحريم كان معناه أ نّك رجل مضارّ ، والمضارّة حرام ، وهو المناسب لتلك الصغرى ، لكن لو اُريد غيره ممّا يقولون صار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نّك رجل مضارّ ، والحكم الموجب للضرر منفيّ أو الحكم المجعول منفيّ في صورة الضرر ، ولا أظنّ بالأذهان المستقيمة ارتضاءه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 مدّعاه بقول أئمّة اللغة ومَهَرة أهل اللسان ، كما تقدّم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الضرر يراد به إفادة النهي عنه ، سواء كان هذا باستعمال التركيب في النهي ابتداءً ، أو أ نّه استعمل في معناه الحقيقي ، </w:t>
      </w:r>
    </w:p>
    <w:p>
      <w:pPr>
        <w:pStyle w:val="BookText"/>
        <w:rPr/>
      </w:pPr>
      <w:r>
        <w:rPr>
          <w:rFonts w:ascii="Amiri" w:hAnsi="Amiri" w:eastAsia="Amiri" w:cs="Amiri"/>
          <w:color w:val="111111"/>
          <w:sz w:val="28"/>
          <w:sz w:val="28"/>
          <w:szCs w:val="28"/>
          <w:rtl w:val="true"/>
          <w:lang w:bidi="ar-SA"/>
        </w:rPr>
        <w:t xml:space="preserve">وهو النفي ، ولكن لينتقل منه إلى إرادة النهي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فالمدّعى أنّ الحديث يراد به إفادة النهي ، لا نفي الحكم الضرري ، ولا نفي الحكم المجعول للموضوعات عنها ، ولا يتفاوت في هذا المدّعى أنّ استعمال النفي في النهي بأيّ وجه ، وربما كانت دعوى الاستعمال في معنى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للانتقال إلى 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 إثبات المدّعى ؛ حيث لا يتّجه حينئذٍ ما يستشكل في المعنى الأوّل من أ نّه تجوّز لا يصار إليه</w:t>
      </w:r>
      <w:r>
        <w:rPr>
          <w:rStyle w:val="FootnoteAnchor"/>
          <w:rtl w:val="true"/>
        </w:rPr>
        <w:footnoteReference w:id="725"/>
      </w:r>
      <w:r>
        <w:rPr>
          <w:rFonts w:ascii="IRNazanin" w:hAnsi="IRNazanin" w:eastAsia="IRNazanin"/>
          <w:color w:val="111111"/>
          <w:sz w:val="28"/>
          <w:sz w:val="28"/>
          <w:szCs w:val="28"/>
          <w:rtl w:val="true"/>
          <w:lang w:bidi="fa-IR"/>
        </w:rPr>
        <w:t xml:space="preserve">، انتهت الموارد الحسّاسة من كلامه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دوران الأمر بين محتملات القوم الترجيح فيما أفاده وبالغ في تحقيقه ، لكن لا يتمّ ما ذكره إلاّ بمساعدة ما ذكرنا من وجوه إبطال محتملات القوم ، وإلاّ فمجرّد كثرة استعمال النفي في النهي لا يوجب ظهوره فيه مع كونه مجازاً ، سواء اُريد منه النهي ، أو النفي وجعل كناية عن النهي ؛ فإنّ ذلك لا يوجب كونه حقيقة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نظره إلى أنّ كثرة الاستعمال في هذا المعنى صيّرته من المجازات الراجحة التي يحمل عليها اللفظ مع تعذّر المعنى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هذا التركيب في هذا المعنى وإن كان شائعاً ، ولكن استعماله في غيره أكثر شيوعاً ، وها أنا أسرد قليلاً من كثير ممّا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التركيب من الروايات واُريد غير ما ذكره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لمن أقرّ على نفسه بسهو</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نافلة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في معصية اللّه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لمكرَه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قطيعة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معصية اللّه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فيما لا يبذل</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استكراه ، ولا على سكر ، ولا على معصية</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إلاّ باللّه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فيما لا يملكه ابن آدم</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بعد احتلام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قبل النكاح</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قبل المِلْك</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للولد مع والده ، ولا للمملوك مع مولاه ، ولا للمرأة مع زوجها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للعبد ولا طلاق إلاّ بإذن مولاه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على طُهر</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شاهدين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فيما لا تملك ، ولا عتق فيما لا تملك ، ولا بيع فيما لا تملك</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لا طلاق السكران الذي لا يعقل</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ظِهار إلاّ في طهر</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ما اُريد به الطلاق ، ولا ظِهار إلاّ ما اُريد به الظهار</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507" w:name="pg12132_128333"/>
    </w:p>
    <w:p>
      <w:pPr>
        <w:pStyle w:val="BookText"/>
        <w:rPr/>
      </w:pPr>
      <w:bookmarkEnd w:id="507"/>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إيلاء حتّى يدخل بها</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الموارد التي يطّلع عليها المتتبّع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الإطالة إثبات أنّ هذا التركيب وإن كان استعماله وإرادة النهي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بعزيز ، لكن شيوعه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يكون ظاهراً فيه ابتداءً أو مع تعذّر الحقيقة ولو فرض المناقشة في بعض الأمثلة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بعد الإشكالات الواردة على الاحتمالين الآخرين لو دار الأمر بين الاحتمالات الثلاثة يكون هذا الاحتمال أرجحها </w:t>
      </w:r>
      <w:r>
        <w:rPr>
          <w:rFonts w:eastAsia="Amiri" w:cs="Amiri" w:ascii="Amiri" w:hAnsi="Amiri"/>
          <w:color w:val="111111"/>
          <w:sz w:val="28"/>
          <w:szCs w:val="28"/>
          <w:rtl w:val="true"/>
          <w:lang w:bidi="ar-SA"/>
        </w:rPr>
        <w:t>.</w:t>
      </w:r>
    </w:p>
    <w:p>
      <w:pPr>
        <w:pStyle w:val="Heading2"/>
        <w:numPr>
          <w:ilvl w:val="1"/>
          <w:numId w:val="1"/>
        </w:numPr>
        <w:rPr/>
      </w:pPr>
      <w:bookmarkStart w:id="508" w:name="__RefHeading___Toc3352906_417432637"/>
      <w:bookmarkStart w:id="509" w:name="_Toc174"/>
      <w:bookmarkEnd w:id="508"/>
      <w:r>
        <w:rPr>
          <w:rtl w:val="true"/>
        </w:rPr>
        <w:t xml:space="preserve">فصل </w:t>
      </w:r>
      <w:r>
        <w:rPr>
          <w:rtl w:val="true"/>
        </w:rPr>
        <w:t xml:space="preserve">: </w:t>
      </w:r>
      <w:r>
        <w:rPr>
          <w:rtl w:val="true"/>
        </w:rPr>
        <w:t>حول المذهب المختار في معنى الرواية</w:t>
      </w:r>
      <w:bookmarkEnd w:id="509"/>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احتمالاً آخر قد أشرنا إليه</w:t>
      </w:r>
      <w:r>
        <w:rPr>
          <w:rStyle w:val="FootnoteAnchor"/>
          <w:rtl w:val="true"/>
        </w:rPr>
        <w:footnoteReference w:id="750"/>
      </w:r>
      <w:r>
        <w:rPr>
          <w:rFonts w:ascii="Amiri" w:hAnsi="Amiri" w:eastAsia="Amiri" w:cs="Amiri"/>
          <w:color w:val="111111"/>
          <w:sz w:val="28"/>
          <w:sz w:val="28"/>
          <w:szCs w:val="28"/>
          <w:rtl w:val="true"/>
          <w:lang w:bidi="ar-SA"/>
        </w:rPr>
        <w:t xml:space="preserve">والآن نرجع إلى توضيحه وتشييده ، ربما كان أقرب الاحتمالات بملاحظة شأن صدور الرواية من طرقنا ، وبملاحظة لفظها الوارد من طرق الناس ، ولا بدّ لبيانه من ذكر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لرسول اللّه رحمهما اللّه في الاُمّة شؤوناً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والرسالة ؛ أي تبليغ الأحكام الإلهية من الأحكام الوضعية والتكليفية حتّى أرش الخدش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السلطنة والرئاسة والسياسة ؛ لأ نّه رحمهما اللّه سلطان من قبل </w:t>
      </w:r>
    </w:p>
    <w:p>
      <w:pPr>
        <w:pStyle w:val="BookText"/>
        <w:rPr/>
      </w:pPr>
      <w:r>
        <w:rPr>
          <w:rFonts w:ascii="IRNazanin" w:hAnsi="IRNazanin" w:eastAsia="IRNazanin"/>
          <w:color w:val="111111"/>
          <w:sz w:val="28"/>
          <w:sz w:val="28"/>
          <w:szCs w:val="28"/>
          <w:rtl w:val="true"/>
          <w:lang w:bidi="fa-IR"/>
        </w:rPr>
        <w:t xml:space="preserve">اللّه تعالى ، والاُمّة رعيّته ، وهو سائس البلاد ورئيس العباد ، وهذا المقام غير مقام الرسالة والتبليغ ، فإنّه بما أ نّه مبلّغ ورسول من اللّه ليس له أمر ولا نهي ، ولو أمرَ أو نهى في أحكام اللّه تعالى لا يكون ذلك إلاّ إرشاداً إلى أمر اللّه ونهيه ، ولو خالف المكلّف لم يكن مخالفته مخالفة رسول اللّه ، بل مخالفة اللّه تعالى ؛ لأنّ رسول اللّه رحمهما اللّه ليس بالنسبة إلى أوامر اللّه ونواهيه ذا أمر ونهي ، بل هو مبلّغ ورسول ومخبر عنه تعالى ، كما أنّ أوامر الأئمّة علیهم السلام ونواهيهم في أحكام اللّه كذلك ، وليست أوامر النبي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الجهة إلاّ كأوامر الفقهاء مقلّديهم ، فقول الفقيه لمقلّده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ثوبك عن أبوال ما لا يؤكل لحمه ، كقول النبي والأئمّة من حيث إنّه إرشاد إلى الحكم الإلهي ، وليس مخالفة هذا الأمر إلاّ مخالفة اللّه ، لا مخالفة الرسول رحمهما اللّه والأئمّة علیهم السلام والفقيه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أمرَ رسول اللّه أو نهى بما أ نّه سلطان وسائس يجب إطاعة أمره بما أ نّه أمرُه ، فلو أمرَ سريّةً أن يذهبوا إلى قطر من الأقطار تجب طاعته عليهم بما أ نّه سلطان وحاكم ، فإنّ أوامره من هذه الجهة كأوامر اللّه واجبة الإطاعة ، وليس مثل هذه الأوامر الصادرة عنه أو عن الأئمّة إرشاداً إلى حكم اللّه ، بل أوامر مستقلّة منهم تجب طاعتها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ناظر إلى تلك الأوامر والنواهي الصادرة عن الرسول واُولي الأمر ، بما أ نّهم سلاطين وأولياء على الناس ، وبما أ نّهم ساسة العباد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p>
    <w:p>
      <w:pPr>
        <w:pStyle w:val="BookText"/>
        <w:rPr/>
      </w:pPr>
      <w:r>
        <w:rPr>
          <w:rFonts w:ascii="Amiri" w:hAnsi="Amiri" w:eastAsia="Amiri" w:cs="Amiri"/>
          <w:color w:val="111111"/>
          <w:sz w:val="28"/>
          <w:sz w:val="28"/>
          <w:szCs w:val="28"/>
          <w:rtl w:val="true"/>
          <w:lang w:bidi="ar-SA"/>
        </w:rPr>
        <w:t xml:space="preserve">وَمَنْ يَعْصِ اللّه‌َ وَرَسُولَهُ فَقَدْ ضَلَّ ضَلاَلاً مُبِيناً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القضاء والحكومة الشرعية ، وذلك عند تنازع الناس في حقّ أو مال ، فإذا رفع الأمر إليه وقضى بميزان القضاء يكون حكمه نافذاً لا يجوز التخلّف عنه ، لا بما أ نّه رئيس وسلطان ، بل بما أ نّه قاضٍ وحاكم شرعي ، وقد يجعل السلطانُ الإمارة لشخص فينصبه لها ، والقضاء لآخر ، فيجب على الناس إطاعة الأمير في إمارته ، لا في قضائه ، وإطاعة القاضي في قضائه ، لا في أوامره ، وقد يجعل كلا المقامين لشخص أو لأشخاص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المقامين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فصل الخصومة</w:t>
      </w:r>
    </w:p>
    <w:p>
      <w:pPr>
        <w:pStyle w:val="BookText"/>
        <w:rPr/>
      </w:pPr>
      <w:r>
        <w:rPr>
          <w:rFonts w:ascii="Amiri" w:hAnsi="Amiri" w:eastAsia="Amiri" w:cs="Amiri"/>
          <w:color w:val="111111"/>
          <w:sz w:val="28"/>
          <w:sz w:val="28"/>
          <w:szCs w:val="28"/>
          <w:rtl w:val="true"/>
          <w:lang w:bidi="ar-SA"/>
        </w:rPr>
        <w:t xml:space="preserve">والقضاء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فِى أَنفُسِهِمْ حَرَجاً مِمَّا قَضَيْتَ وَيُسَلِّمُوا تَسْلِيماً </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ورد من رسول اللّه وأمير المؤمنين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ليس المراد منه بيان الحكم الشرعي ، ولو اُريد منه ذلك لا يكون إلاّ مجازاً أو إرشاداً إلى حكم اللّه ؛ فإنّ الظاهر من تلك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 نّه قضى أو أمر أو حكم من حيث إنّه سلطان وأمير ، أو من حيث إنّه قاضٍ وحاكم شرعي ، لا من حيث إنّه مبلّغ للحرام والحلال ؛ لما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الإلهية ليست أحكام رسول اللّه ، وأ نّه رحمهما اللّه لا يكون ذا أمرٍ ونهي وحكم وقضاء بالنسبة إليها حقيقة ، بل هو مبيّن ومبلّغ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بالنسبة إلى الأحكام الصادرة عنه في مقام القضاء أو في مقام السلطنة والرئاسة ، فيكون قاضياً وحاكماً وآمراً وناهياً حقيقة ، وإن كان فرق بين هذين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موافقاً للتحقيق والظهور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بالتتبّع والتدبّر في موارد استعمال تلك الكلمات في الروايات الناقلة لقضايا رسول اللّه وأمير المؤمنين وأوامرهم السلطانية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قلّما ترى ورود تلك التعبيرات بالنسبة إلى سائر الأئمّة علیهم السلام ؛ حيث لم تكن لهم الرئاسة والسلطنة الظاهرية ، ولا القضاء والحكم بحسب الظاهر وإن اُطلق نادراً يكون باعتبار كونهم حكّاماً وقضاة بحسب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رحمهما اللّه أو أحد الأئمّة علیهم السلام بكذا في الأحكام الإلهية ، فيكون الحكم أو الأمر إرشاداً إلى حكم اللّه تعالى ، والمدّعى أنّ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فلان بكذا ، أو قضى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الأمر المولوي والقضاء والحكومة ، لا الإرشاد إلى أمر آخر أو حكم إلهي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يعبّر في مقام الأوامر الصادرة عنه رحمهما اللّه أو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 نّهما السلطان والحاكم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الألفاظ المتقدّمة ، فيقال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قرينة الحال والمقام تقتضى الحمل على الأمر المولوي أو القضاء وفصل الخصومة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رحمهما اللّه قال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رئيس الجيش ، فاذهب إلى كذا ، يكون بقرينة المقام ظاهراً في أنّ هذا الأمر صدر مولوياً من حيث إنّه سلطان ، ولو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تخاصما عنده في كذا ، وأقام أحدهما البيّنة ، فقال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المال لصاحب البيّنة ، يكون ظاهراً بحسب المقام في أ نّه قضى بذلك ، ويكون قوله ذلك هو القضاء بالحمل الشائع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المتقدّمة مع قطع النظر عن القرائن ظاهرة في الحكم والأمر منه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الأمر المولوي السلطاني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فصل الخصومة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بينهما يحتاج إلى قرينة معيّنة ، وأمّا ما هو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 على القضاء أو الأمر المولوي تحتاج إلى قرينة حال أو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صيغ الأمر في حدّ نفسها ظاهرة في الأمر المولوي ، وكونها إرشادية يحتاج إلى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لتأييد ما ذكرنا بنقل بعض الروايات الواردة بالألفاظ المتقدّمة وبعض ما يكون بقرينة المقام دالاًّ على أنّ الأمر الصادر أمر مولوي سلطاني أو حكم وقضاء ، وإن لم يرد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من أن يحصى ، فمن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أقضي بينكم بالبيّنات والأيمان</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رحمهما اللّه يحكم بين الناس بالبيّنات والأيمان </w:t>
      </w:r>
      <w:r>
        <w:rPr>
          <w:rFonts w:eastAsia="IRNazanin" w:cs="IRNazanin"/>
          <w:color w:val="111111"/>
          <w:sz w:val="28"/>
          <w:szCs w:val="28"/>
          <w:rtl w:val="true"/>
          <w:lang w:bidi="fa-IR"/>
        </w:rPr>
        <w:t>. . .»</w:t>
      </w:r>
      <w:r>
        <w:rPr>
          <w:rStyle w:val="FootnoteAnchor"/>
          <w:rtl w:val="true"/>
        </w:rPr>
        <w:footnoteReference w:id="755"/>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رحمهما اللّه يقضي بشاهد واحد مع يمين صاحب الحقّ</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حدّثني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رحمهما اللّه قد قضى بشاهد ويمين</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وقضايا أميرالمؤمنين مشهورة</w:t>
      </w:r>
      <w:r>
        <w:rPr>
          <w:rStyle w:val="FootnoteAnchor"/>
          <w:rtl w:val="true"/>
        </w:rPr>
        <w:footnoteReference w:id="758"/>
      </w:r>
      <w:r>
        <w:rPr>
          <w:rFonts w:ascii="Amiri" w:hAnsi="Amiri" w:eastAsia="Amiri" w:cs="Amiri"/>
          <w:color w:val="111111"/>
          <w:sz w:val="28"/>
          <w:sz w:val="28"/>
          <w:szCs w:val="28"/>
          <w:rtl w:val="true"/>
          <w:lang w:bidi="ar-SA"/>
        </w:rPr>
        <w:t xml:space="preserve">، 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أجاز رسول اللّه رحمهما اللّه شهادة شاهد مع يمين طالب الحقّ</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الأمر إلينا أجزْنا شهادة الرجل الواحد إذا عُلم منه خير مع يمين الخصم في حقوق الناس ، فأمّا ما كان من 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رؤية الهلال ، فلا</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تدلّ على أنّ هذا التنفيذ وهذه الإجازة هو تنفيذ وليّ الأمر والسلطان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ورد من قضايا رسول اللّه رحمهما اللّه بما أ نّه سلطان وسائس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عقبة بن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رحمهما اللّه قضى في هوائر النخل</w:t>
      </w:r>
      <w:r>
        <w:rPr>
          <w:rStyle w:val="FootnoteAnchor"/>
          <w:rtl w:val="true"/>
        </w:rPr>
        <w:footnoteReference w:id="761"/>
      </w:r>
      <w:r>
        <w:rPr>
          <w:rFonts w:ascii="Amiri" w:hAnsi="Amiri" w:eastAsia="Amiri" w:cs="Amiri"/>
          <w:color w:val="111111"/>
          <w:sz w:val="28"/>
          <w:sz w:val="28"/>
          <w:szCs w:val="28"/>
          <w:rtl w:val="true"/>
          <w:lang w:bidi="ar-SA"/>
        </w:rPr>
        <w:t>أن تكون النخلة والنخلتان للرجل في حائط الآخر ، فيختلفون في حقوق ذلك ، فقضى فيها أنّ لكلّ نخلة من اُولئك من الأرض مبلغَ جريدة من جرائدها حين بعدها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النبي رحمهما اللّه في رجل باع نخلاً ، واستثنى عليه نخلة ، فقضى له رسول اللّه رحمهما اللّه بالمدخل إليها والمخرج منها ومدى جرائدها</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رسول اللّه رحمهما اللّه في سيل وادي مهزور للزرع إلى الشراك وللنخل إلى الكعب ، ثمّ يرسل الماء إلى أسفل من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أبي عمير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ومهزور موضع وادٍ</w:t>
      </w:r>
      <w:r>
        <w:rPr>
          <w:rFonts w:eastAsia="IRNazanin" w:cs="IRNazanin"/>
          <w:color w:val="111111"/>
          <w:sz w:val="28"/>
          <w:szCs w:val="28"/>
          <w:rtl w:val="true"/>
          <w:lang w:bidi="fa-IR"/>
        </w:rPr>
        <w:t>»</w:t>
      </w:r>
      <w:r>
        <w:rPr>
          <w:rStyle w:val="FootnoteAnchor"/>
          <w:rtl w:val="true"/>
        </w:rPr>
        <w:footnoteReference w:id="76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غيرها من الروايات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 وكان المستفاد منه هو القضاء أو الأمر المولوي السلطاني ، فكثير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عليه المتتبّع ،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عقبة بن خالد المتقدّمة في المقدّمة برواية الصدوق الراجعة إلى شقّ القَناة بجنب قَناة الآخر ،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الاُولى أخذت ماء الأخيرة لم يكن لصاحب الأخيرة على الأوّل سبيل</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ما عن الشيخ بإسناده عن أبي جعفر علیه السلام عن أبيه عن آبائه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رحمهما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المشركين واستحيوا شيوخهم وصبيانهم</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هذا أمر سلطاني متوجّه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الجيوش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إذا أراد أن يبعث سريّة دعاهم ، فأجلسهم بين يديه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بسم اللّه وباللّه وفي سبيل اللّه وعلى ملّة رسول اللّه رحمهما اللّه لا تغلّوا ، ولا تُمثّلوا ، ولا تغدروا ، ولا تقتلوا شيخاً فانياً ولا صبيّاً ولا امرأة ، ولا تقطعوا شجراً إلاّ</w:t>
      </w:r>
    </w:p>
    <w:p>
      <w:pPr>
        <w:pStyle w:val="BookText"/>
        <w:rPr/>
      </w:pPr>
      <w:r>
        <w:rPr>
          <w:rFonts w:ascii="Amiri" w:hAnsi="Amiri" w:eastAsia="Amiri" w:cs="Amiri"/>
          <w:color w:val="111111"/>
          <w:sz w:val="28"/>
          <w:sz w:val="28"/>
          <w:szCs w:val="28"/>
          <w:rtl w:val="true"/>
          <w:lang w:bidi="ar-SA"/>
        </w:rPr>
        <w:t>أن تضطرّوا إليها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 عن عبد</w:t>
      </w:r>
    </w:p>
    <w:p>
      <w:pPr>
        <w:pStyle w:val="BookText"/>
        <w:rPr/>
      </w:pPr>
      <w:r>
        <w:rPr>
          <w:rFonts w:ascii="IRNazanin" w:hAnsi="IRNazanin" w:eastAsia="IRNazanin"/>
          <w:color w:val="111111"/>
          <w:sz w:val="28"/>
          <w:sz w:val="28"/>
          <w:szCs w:val="28"/>
          <w:rtl w:val="true"/>
          <w:lang w:bidi="fa-IR"/>
        </w:rPr>
        <w:t>الرحمان</w:t>
      </w:r>
      <w:r>
        <w:rPr>
          <w:rStyle w:val="FootnoteAnchor"/>
          <w:rtl w:val="true"/>
        </w:rPr>
        <w:footnoteReference w:id="768"/>
      </w:r>
      <w:r>
        <w:rPr>
          <w:rFonts w:ascii="IRNazanin" w:hAnsi="IRNazanin" w:eastAsia="IRNazanin"/>
          <w:color w:val="111111"/>
          <w:sz w:val="28"/>
          <w:sz w:val="28"/>
          <w:szCs w:val="28"/>
          <w:rtl w:val="true"/>
          <w:lang w:bidi="fa-IR"/>
        </w:rPr>
        <w:t xml:space="preserve">بن جُندَب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يأمر في كلّ موطن لقينا فيه عدوّنا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القوم حتّى يبدؤوكم ،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حجّة ، وترككم إيّاهم حتّى يبدؤوكم </w:t>
      </w:r>
      <w:bookmarkStart w:id="510" w:name="pg12132_128341"/>
    </w:p>
    <w:p>
      <w:pPr>
        <w:pStyle w:val="BookText"/>
        <w:rPr/>
      </w:pPr>
      <w:bookmarkEnd w:id="510"/>
      <w:r>
        <w:rPr>
          <w:rFonts w:ascii="Amiri" w:hAnsi="Amiri" w:eastAsia="Amiri" w:cs="Amiri"/>
          <w:color w:val="111111"/>
          <w:sz w:val="28"/>
          <w:sz w:val="28"/>
          <w:szCs w:val="28"/>
          <w:rtl w:val="true"/>
          <w:lang w:bidi="ar-SA"/>
        </w:rPr>
        <w:t>حجّة اُخرى لكم ، فإذا هزمتموهم فلا تقتلوا مُدبراً ، ولا تُجهِزوا على جريح ، ولا تكشفوا عورة ، ولا تُمثّلوا بقتيل</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1" w:name="__RefHeading___Toc3352908_417432637"/>
      <w:bookmarkStart w:id="512" w:name="_Toc175"/>
      <w:bookmarkEnd w:id="511"/>
      <w:r>
        <w:rPr>
          <w:rtl w:val="true"/>
        </w:rPr>
        <w:t>نتيجة ما أصّلناه</w:t>
      </w:r>
      <w:bookmarkEnd w:id="512"/>
    </w:p>
    <w:p>
      <w:pPr>
        <w:pStyle w:val="BookText"/>
        <w:rPr/>
      </w:pPr>
      <w:r>
        <w:rPr>
          <w:rFonts w:ascii="Amiri" w:hAnsi="Amiri" w:eastAsia="Amiri" w:cs="Amiri"/>
          <w:color w:val="111111"/>
          <w:sz w:val="28"/>
          <w:sz w:val="28"/>
          <w:szCs w:val="28"/>
          <w:rtl w:val="true"/>
          <w:lang w:bidi="ar-SA"/>
        </w:rPr>
        <w:t xml:space="preserve">إذا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نفي الضرر والضرار قد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عبادة بن الصامت في ضمن قضايا رسول اللّه رحمهما اللّه  ولفظه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أن لا ضرر ولا ضرار</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وقد اتّضح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كون المقضيّ به من أحكام رسول اللّه بما أ نّه سلطان أو قاض ؛ وليس من قبيل تبليغ أحكام اللّه وكشف مراده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ليس من قبيل القضاء وفصل الخصومة ، كما هو واضح ،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أن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أ نّه من أحكامه بما أ نّه سلطان ، وأ نّه نهى عن الضرر والضرار بما أ نّه سائس الاُمّة ورئيس الملّة وسلطانهم وأميرهم ؛ فيكون مفاده أ نّه حكم رسول اللّه وأمر بأن لا يضرّ أحد أحداً ، ولا يجعله في ضيق وحرج ومشقّة ، فيجب على الاُمّة طاعة هذا النهي المولوي السلطاني بما أ نّها طاعة السلطان المفترض الطاعة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فالحمل على النهي الإلهي وكونه نهياً من قِبل اللّه وإنّما أخبر به رسول اللّه رحمهما اللّه كما اختاره العلاّمة شيخ الشريعة</w:t>
      </w:r>
      <w:r>
        <w:rPr>
          <w:rStyle w:val="FootnoteAnchor"/>
          <w:rtl w:val="true"/>
        </w:rPr>
        <w:footnoteReference w:id="771"/>
      </w:r>
      <w:r>
        <w:rPr>
          <w:rFonts w:ascii="Amiri" w:hAnsi="Amiri" w:eastAsia="Amiri" w:cs="Amiri"/>
          <w:color w:val="111111"/>
          <w:sz w:val="28"/>
          <w:sz w:val="28"/>
          <w:szCs w:val="28"/>
          <w:rtl w:val="true"/>
          <w:lang w:bidi="ar-SA"/>
        </w:rPr>
        <w:t xml:space="preserve">تبعاً لشُرّاح الحديث ، خلاف الظاهر ، </w:t>
      </w:r>
    </w:p>
    <w:p>
      <w:pPr>
        <w:pStyle w:val="BookText"/>
        <w:rPr/>
      </w:pPr>
      <w:r>
        <w:rPr>
          <w:rFonts w:ascii="Amiri" w:hAnsi="Amiri" w:eastAsia="Amiri" w:cs="Amiri"/>
          <w:color w:val="111111"/>
          <w:sz w:val="28"/>
          <w:sz w:val="28"/>
          <w:szCs w:val="28"/>
          <w:rtl w:val="true"/>
          <w:lang w:bidi="ar-SA"/>
        </w:rPr>
        <w:t xml:space="preserve">مع أنّ شُرّاح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الأثير</w:t>
      </w:r>
      <w:r>
        <w:rPr>
          <w:rStyle w:val="FootnoteAnchor"/>
          <w:rtl w:val="true"/>
        </w:rPr>
        <w:footnoteReference w:id="772"/>
      </w:r>
      <w:r>
        <w:rPr>
          <w:rFonts w:ascii="Amiri" w:hAnsi="Amiri" w:eastAsia="Amiri" w:cs="Amiri"/>
          <w:color w:val="111111"/>
          <w:sz w:val="28"/>
          <w:sz w:val="28"/>
          <w:szCs w:val="28"/>
          <w:rtl w:val="true"/>
          <w:lang w:bidi="ar-SA"/>
        </w:rPr>
        <w:t>والسيوطي</w:t>
      </w:r>
      <w:r>
        <w:rPr>
          <w:rStyle w:val="FootnoteAnchor"/>
          <w:rtl w:val="true"/>
        </w:rPr>
        <w:footnoteReference w:id="773"/>
      </w:r>
      <w:r>
        <w:rPr>
          <w:rFonts w:ascii="Amiri" w:hAnsi="Amiri" w:eastAsia="Amiri" w:cs="Amiri"/>
          <w:color w:val="111111"/>
          <w:sz w:val="28"/>
          <w:sz w:val="28"/>
          <w:szCs w:val="28"/>
          <w:rtl w:val="true"/>
          <w:lang w:bidi="ar-SA"/>
        </w:rPr>
        <w:t>وغيرهما</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من عبارتهم المنقولة إلاّ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 يضرّ أخاه ، وأمّا كون النهي من قِبل اللّه ، أو من قِبل رسول اللّه بما أ نّه سلطان وحاكم ، فلم يظهر منهم اختيار فيه ، ولعلّ المتبحّر المتقدّم ذكره أيضاً لم يكن بصدد ذلك ، بل مقصوده أيضاً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نهياً في مقابل الأقوال الاُخر وإن كان المتبادر منه هو كون النهي إلهياً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النهي إلهياً خلاف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نفي الحكم الشرعي الضرري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 نّه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 لعدم التناسب بين قضائه وبين نفي الحكم الضرري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حال ما ورد من طرقهم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ثبت وروده من طرقنا فهو قضيّة سَمُرة بن جُندَب ، وورود الحديث في ذيلها من غير تصديره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القضيّة وذيلها وشأن صدور الحديث ممّا يكاد أن يشرف بالفقيه على القطع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صادر منه رحمهما اللّه بنحو الآمرية والحاكمية بما أ نّه سلطان ودافع للظلم عن الرعية ؛ فإنّ الأنصاري لمّا ظُلم ووَقع في الحرج والمضيقة بورود 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الفاسق الفاجر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أهله من غير استئذان منه ، وفي حالة يكره وروده عليه وهو فيها ، شكا إلى رسول اللّه رحمهما اللّه بما أ نّه سلطان ورئيس على الملّة ؛ حتّى يدفع الظلم عنه ، فأرسل رسول اللّه إليه فأحضره ، وكلّمه بما هو في الأخبار ، فلمّا تأبّى حكم بالقلع ودفع الفساد ، وحكم بأ نّه لا يضرّ أحد أخاه في حمى سلطاني وحوزة حكومتي ، فليس المقام بيان حكم اللّه ، وأنّ الأحكام الواقعية ممّا لا ضرر فيها ، وأ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 حكماً ضررياً ، أو أخبر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الضرر ؛ فإنّ كلّ ذلك أجنبيّ عن المقام ، فليس فيهما شبهة حكمية ولا موضوعية ، بل لم يكن شيء إلاّ تعدّي ظالم على مظلوم وتخلّف طاغٍ عن حكم السلطان بعد أمره بالاستئذان ، فلمّا تخلّف حكَمَ بقلع الشجرة ، وأمر بأ نّه 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الرعية ممنوعون عن الضرر 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دفاعاً عن المظلوم وسياسة لحوزة سلطانه وحمى حكومته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ما في أحاديثنا موافقاً للمنقول عن العامّة بطريق عبادة بن الصامت الذي صرّحوا بإتقانه وضبطه ، وأ نّه من أجلاّء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الكشي ،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من السابقين الذين رجعوا إلى أمير المؤمنين علیه السلام كحذيفة ، وخزيمة بن ثابت ، وابن التيِّهان ، وجابر بن عبد اللّه ، وأبي سعيد الخُدري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ممّن شهِد العَقَبة الاُولى والثانية ، وشهِد بدراً واُحداً والخندق والمشاهد كلّها مع رسول اللّه رحمهما اللّه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513" w:name="pg12132_128344"/>
    </w:p>
    <w:p>
      <w:pPr>
        <w:pStyle w:val="BookText"/>
        <w:rPr/>
      </w:pPr>
      <w:bookmarkEnd w:id="513"/>
      <w:r>
        <w:rPr>
          <w:rFonts w:ascii="Amiri" w:hAnsi="Amiri" w:eastAsia="Amiri" w:cs="Amiri"/>
          <w:color w:val="111111"/>
          <w:sz w:val="28"/>
          <w:sz w:val="28"/>
          <w:szCs w:val="28"/>
          <w:rtl w:val="true"/>
          <w:lang w:bidi="ar-SA"/>
        </w:rPr>
        <w:t xml:space="preserve">ويؤيّد إتقانه وضبطه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القضايا التي نقلها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وجمعها في حديث واحد ، تكون غالباً بألفاظها أو قريباً منها في أحاديثنا متفرّقةً في الموارد المحتاج إليها ، منقولةً عن الصادقين علیهما السلام </w:t>
      </w:r>
      <w:r>
        <w:rPr>
          <w:rFonts w:eastAsia="IRNazanin" w:cs="IRNazanin"/>
          <w:color w:val="111111"/>
          <w:sz w:val="28"/>
          <w:szCs w:val="28"/>
          <w:rtl w:val="true"/>
          <w:lang w:bidi="fa-IR"/>
        </w:rPr>
        <w:t>.</w:t>
      </w:r>
    </w:p>
    <w:p>
      <w:pPr>
        <w:pStyle w:val="Heading2"/>
        <w:numPr>
          <w:ilvl w:val="1"/>
          <w:numId w:val="1"/>
        </w:numPr>
        <w:rPr/>
      </w:pPr>
      <w:bookmarkStart w:id="514" w:name="__RefHeading___Toc3352910_417432637"/>
      <w:bookmarkStart w:id="515" w:name="_Toc176"/>
      <w:bookmarkEnd w:id="514"/>
      <w:r>
        <w:rPr>
          <w:rtl w:val="true"/>
        </w:rPr>
        <w:t>المختار وآراء الأعلام</w:t>
      </w:r>
      <w:bookmarkEnd w:id="515"/>
    </w:p>
    <w:p>
      <w:pPr>
        <w:pStyle w:val="BookText"/>
        <w:rPr/>
      </w:pPr>
      <w:r>
        <w:rPr>
          <w:rFonts w:ascii="Amiri" w:hAnsi="Amiri" w:eastAsia="Amiri" w:cs="Amiri"/>
          <w:color w:val="111111"/>
          <w:sz w:val="28"/>
          <w:sz w:val="28"/>
          <w:szCs w:val="28"/>
          <w:rtl w:val="true"/>
          <w:lang w:bidi="ar-SA"/>
        </w:rPr>
        <w:t xml:space="preserve">وأنت إذا تأمّلتَ فيما ذكرناه من المقدّمات ، وتدبّرت الأخبار الحاكية لقضيّة الأنصاري وسَمُرة بن جُنْدَب ، وراجعت الإشكالات الواردة على احتمالات القوم ، لا أظنّك أن تشكّ في ترجيح ما ذكرنا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احتمال الشيخ قدّس سرّه بالوجوه المتقدّمة</w:t>
      </w:r>
      <w:r>
        <w:rPr>
          <w:rStyle w:val="FootnoteAnchor"/>
          <w:rtl w:val="true"/>
        </w:rPr>
        <w:footnoteReference w:id="779"/>
      </w:r>
      <w:r>
        <w:rPr>
          <w:rFonts w:ascii="Amiri" w:hAnsi="Amiri" w:eastAsia="Amiri" w:cs="Amiri"/>
          <w:color w:val="111111"/>
          <w:sz w:val="28"/>
          <w:sz w:val="28"/>
          <w:szCs w:val="28"/>
          <w:rtl w:val="true"/>
          <w:lang w:bidi="ar-SA"/>
        </w:rPr>
        <w:t>فواضح ؛ لما ذكرنا من الإشكالات الغير المنحلّة</w:t>
      </w:r>
      <w:r>
        <w:rPr>
          <w:rStyle w:val="FootnoteAnchor"/>
          <w:rtl w:val="true"/>
        </w:rPr>
        <w:footnoteReference w:id="780"/>
      </w:r>
      <w:r>
        <w:rPr>
          <w:rFonts w:ascii="Amiri" w:hAnsi="Amiri" w:eastAsia="Amiri" w:cs="Amiri"/>
          <w:color w:val="111111"/>
          <w:sz w:val="28"/>
          <w:sz w:val="28"/>
          <w:szCs w:val="28"/>
          <w:rtl w:val="true"/>
          <w:lang w:bidi="ar-SA"/>
        </w:rPr>
        <w:t xml:space="preserve">مضافاً إلى عدم التناسب بين صدر القضيّة وذيلها على هذا الاحتمال ، وعدم تناسب تعليل قلع الشجرة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ومخالفته لكون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قضايا رسول اللّه رحمهما اللّه ، بل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أشهر قضاياه</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وعدم معهودية استعمال هذا التركيب وإرادة هذا المعنى ، كما يظهر من التدبّر فيما تقدّم من موارد استعماله وفي غيره ممّا هو متفرّق في الأخبار والآثار وكلمات الفصحاء ؛ فإنّ غالبها يكون من قبيل نفي الأثر والحكم بنفي الموضوع ، وكثير </w:t>
      </w:r>
    </w:p>
    <w:p>
      <w:pPr>
        <w:pStyle w:val="BookText"/>
        <w:rPr/>
      </w:pPr>
      <w:r>
        <w:rPr>
          <w:rFonts w:ascii="Amiri" w:hAnsi="Amiri" w:eastAsia="Amiri" w:cs="Amiri"/>
          <w:color w:val="111111"/>
          <w:sz w:val="28"/>
          <w:sz w:val="28"/>
          <w:szCs w:val="28"/>
          <w:rtl w:val="true"/>
          <w:lang w:bidi="ar-SA"/>
        </w:rPr>
        <w:t xml:space="preserve">منها من قبيل النهي بلسان النفي ، وأمّا نفي عنوان وإرادة نفي الحكم الذي يكون مُنشأً لهذا العنوان ، لا بنحو السببية والعلّية ، بل بنحو من الدخالة في بعث المكلّف نحو الموضوع الذي هو سبب للضرر ، فلم أجد استعمال هذا التركيب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w:t>
      </w:r>
      <w:r>
        <w:rPr>
          <w:rStyle w:val="FootnoteAnchor"/>
          <w:rtl w:val="true"/>
        </w:rPr>
        <w:footnoteReference w:id="782"/>
      </w:r>
      <w:r>
        <w:rPr>
          <w:rFonts w:ascii="Amiri" w:hAnsi="Amiri" w:eastAsia="Amiri" w:cs="Amiri"/>
          <w:color w:val="111111"/>
          <w:sz w:val="28"/>
          <w:sz w:val="28"/>
          <w:szCs w:val="28"/>
          <w:rtl w:val="true"/>
          <w:lang w:bidi="ar-SA"/>
        </w:rPr>
        <w:t xml:space="preserve">أنّ نفي الحكم بلسان نفي الموضوع الذي يكون هذا التركيب شائع الاستعمال فيه ، ممّا لا وجه له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الأحكام الشرعية ليست من آثار الضرر وأحكامه ، ولا الضرر موضوعها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الحكم الضرري في الإسلام نادراً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ينزّل منزلة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نفي الضرر وإرادة نفي الحكم الضرري بنحو تنزيل الموجود منزلة المعدوم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دعويين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دعوى كون المسبّب عين السبب ، وثانيتهما كون النادر معدوماً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هذا المجاز من استعمال اللفظ الموضوع للمسبّب في السبب على المشهور ، وبعد هذا المعنى المجازي لا بدّ من تنزيل الموجود منزلة المعدوم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هذا المجاز الوحشي الغريب عن ارتكاز العرف والعقلاء ، مضافاً إلى عدم معهوديته أصلاً ، فلا يمكن أن يصار إليه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 مّا إرادة النهي من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الأثير ، والسيوطي ، وغيرهما من مَهَرة أهل اللسان</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ببعيد ، بل الظاهر منه ذلك ، والاختلاف بين ما </w:t>
      </w:r>
      <w:bookmarkStart w:id="516" w:name="pg12132_128346"/>
    </w:p>
    <w:p>
      <w:pPr>
        <w:pStyle w:val="BookText"/>
        <w:rPr/>
      </w:pPr>
      <w:bookmarkEnd w:id="516"/>
      <w:r>
        <w:rPr>
          <w:rFonts w:ascii="Amiri" w:hAnsi="Amiri" w:eastAsia="Amiri" w:cs="Amiri"/>
          <w:color w:val="111111"/>
          <w:sz w:val="28"/>
          <w:sz w:val="28"/>
          <w:szCs w:val="28"/>
          <w:rtl w:val="true"/>
          <w:lang w:bidi="ar-SA"/>
        </w:rPr>
        <w:t xml:space="preserve">رجّحناه وبين ما ذكره هؤلاء إنّما هو في كون النهي من نواهي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شرب الخمر والقمار ، فطبّق رسول اللّه رحمهما اللّه الكبرى الكلّية على المورد ، واتّكل في ردع سَمُرة بن جُندَب فقط أو في أمره بقلع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شيخ الشريعة</w:t>
      </w:r>
      <w:r>
        <w:rPr>
          <w:rStyle w:val="FootnoteAnchor"/>
          <w:rtl w:val="true"/>
        </w:rPr>
        <w:footnoteReference w:id="784"/>
      </w:r>
      <w:r>
        <w:rPr>
          <w:rFonts w:ascii="Amiri" w:hAnsi="Amiri" w:eastAsia="Amiri" w:cs="Amiri"/>
          <w:color w:val="111111"/>
          <w:sz w:val="28"/>
          <w:sz w:val="28"/>
          <w:szCs w:val="28"/>
          <w:rtl w:val="true"/>
          <w:lang w:bidi="ar-SA"/>
        </w:rPr>
        <w:t xml:space="preserve">، ولعلّه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 أو أنّ النهي مولوي صدر منه رحمهما اللّه بما أ نّه سلطان في الرعية وسائس في الملّة كما هو أرجح عندي ، وعرفت وجهه مستقصىً ، فإن رجح ذلك في نظرك فالشكر للّه تعالى وله المنّة ، وإلاّ فاجعله أحد المحتملات في قبال سائرها ، ولعلّ اللّه يُحدث بعد ذلك أمراً </w:t>
      </w:r>
      <w:r>
        <w:rPr>
          <w:rFonts w:eastAsia="Amiri" w:cs="Amiri" w:ascii="Amiri" w:hAnsi="Amiri"/>
          <w:color w:val="111111"/>
          <w:sz w:val="28"/>
          <w:szCs w:val="28"/>
          <w:rtl w:val="true"/>
          <w:lang w:bidi="ar-SA"/>
        </w:rPr>
        <w:t>.</w:t>
      </w:r>
    </w:p>
    <w:p>
      <w:pPr>
        <w:pStyle w:val="Heading2"/>
        <w:numPr>
          <w:ilvl w:val="1"/>
          <w:numId w:val="1"/>
        </w:numPr>
        <w:rPr/>
      </w:pPr>
      <w:bookmarkStart w:id="517" w:name="__RefHeading___Toc3352912_417432637"/>
      <w:bookmarkStart w:id="518" w:name="_Toc177"/>
      <w:bookmarkEnd w:id="517"/>
      <w:r>
        <w:rPr>
          <w:rtl w:val="true"/>
        </w:rPr>
        <w:t>إشكال ودفع</w:t>
      </w:r>
      <w:bookmarkEnd w:id="518"/>
    </w:p>
    <w:p>
      <w:pPr>
        <w:pStyle w:val="BookText"/>
        <w:rPr/>
      </w:pPr>
      <w:r>
        <w:rPr>
          <w:rFonts w:ascii="Amiri" w:hAnsi="Amiri" w:eastAsia="Amiri" w:cs="Amiri"/>
          <w:color w:val="111111"/>
          <w:sz w:val="28"/>
          <w:sz w:val="28"/>
          <w:szCs w:val="28"/>
          <w:rtl w:val="true"/>
          <w:lang w:bidi="ar-SA"/>
        </w:rPr>
        <w:t xml:space="preserve">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رحمهما اللّه اتّكل في حكمه بقلع الشجرة والرمي بها إلى سَمُرة على قاعدة شرعية وحكم إلهي ؛ حيث قال للأنصاري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فاقلعها وارمِ بها إليه ؛ فإنّه لا ضرَر ولا ضرار</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فإنّ ظاهر التعليل أ نّه اتّكل على القاعدة الشرعية والحكم الإلهي ،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نفسه ؛ فإنّ تعليل عمله بحكم نفسه غير مناسب كما لا يخفى ، فلا بدّ 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النهي الإلهي ، أو نفي التشريع الضرري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لكنّك غفلت عن ممنوعية هذا الظهور ، وأنّ الظاهر خلافه ؛ لأنّ المقام لمّا كان </w:t>
      </w:r>
    </w:p>
    <w:p>
      <w:pPr>
        <w:pStyle w:val="BookText"/>
        <w:rPr/>
      </w:pPr>
      <w:r>
        <w:rPr>
          <w:rFonts w:ascii="Amiri" w:hAnsi="Amiri" w:eastAsia="Amiri" w:cs="Amiri"/>
          <w:color w:val="111111"/>
          <w:sz w:val="28"/>
          <w:sz w:val="28"/>
          <w:szCs w:val="28"/>
          <w:rtl w:val="true"/>
          <w:lang w:bidi="ar-SA"/>
        </w:rPr>
        <w:t xml:space="preserve">مقام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شكواه إلى السلطان ، لا السؤال عن الحكم الشرعي ،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فاقلعها وارمِ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حكماً سياسياً تأديبياً صادراً منه بما أ نّه سلطان ، علّل بالحكم السياسي الكلّي ؛ أي أنّ الضرر والضرار لا بدّ وأن لا يكون في حمى سلطاني وحوزة حكومتي ، ولمّا كان سَمُرة مُضارّاً ، ومتخلّفاً عن حكم السلطان ، فاقلع نخلته وارمِ بها إليه ، وهذا أنسب من تعليل القلع بالنهي الشرعي أو رفع الحكم الضرري ؛ لعدم التناسب حينئذٍ بين العلّة والمعلول أبداً ، فهذا التعليل ممّا يؤيّد ما ذكرنا ، ويُبعد محتملات القوم ؛ فإنّ تعليل حكمه بالقلع بأنّ الشارع لم يشرّع حكماً ضررياً ، أو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الضرر والضرار ، مع أنّ نفس القلع ضرر ، والحكم به ضرري ، تعليل باطل ، يحتاج إلى التأويل ، ونرجع إلى توضيح ذلك عن قريب</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مسكان عن زرارة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رجل مُضارّ ، ولا ضرر ولا ضرار على مؤمن</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فإنّ التقييد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الظهور في النهي ، وهي وإن كانت مرسلة ، لكن ملاحظة مضمونها وموافقتها لموثّقة زرارة ربما توجب الوثوق بصدورها ، ولا أقلّ من صلاحيتها للتأييد لما قلنا في مقابل قول الشيخ وبعض الفحول ، وبضميمة قرينة الصدر والمورد يؤكّد كون النهي مولوياً سلطانياً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التنبيه على اُمور </w:t>
      </w:r>
      <w:r>
        <w:rPr>
          <w:rFonts w:eastAsia="Amiri" w:cs="Amiri" w:ascii="Amiri" w:hAnsi="Amiri"/>
          <w:color w:val="111111"/>
          <w:sz w:val="28"/>
          <w:szCs w:val="28"/>
          <w:rtl w:val="true"/>
          <w:lang w:bidi="ar-SA"/>
        </w:rPr>
        <w:t xml:space="preserve">: </w:t>
      </w:r>
      <w:bookmarkStart w:id="519" w:name="pg12132_128348"/>
    </w:p>
    <w:p>
      <w:pPr>
        <w:pStyle w:val="BookText"/>
        <w:rPr/>
      </w:pPr>
      <w:bookmarkEnd w:id="519"/>
      <w:r>
        <w:rPr>
          <w:rFonts w:ascii="Amiri" w:hAnsi="Amiri" w:eastAsia="Amiri" w:cs="Amiri"/>
          <w:color w:val="111111"/>
          <w:sz w:val="28"/>
          <w:sz w:val="28"/>
          <w:szCs w:val="28"/>
          <w:rtl w:val="true"/>
          <w:lang w:bidi="ar-SA"/>
        </w:rPr>
        <w:t>تنبيهات</w:t>
      </w:r>
    </w:p>
    <w:p>
      <w:pPr>
        <w:pStyle w:val="Heading2"/>
        <w:numPr>
          <w:ilvl w:val="1"/>
          <w:numId w:val="1"/>
        </w:numPr>
        <w:rPr/>
      </w:pPr>
      <w:bookmarkStart w:id="520" w:name="__RefHeading___Toc3352914_417432637"/>
      <w:bookmarkStart w:id="521" w:name="_Toc178"/>
      <w:bookmarkEnd w:id="520"/>
      <w:r>
        <w:rPr>
          <w:rtl w:val="true"/>
        </w:rPr>
        <w:t>التنبيه الأوّل في الإشكال على القاعدة</w:t>
      </w:r>
      <w:bookmarkEnd w:id="521"/>
    </w:p>
    <w:p>
      <w:pPr>
        <w:pStyle w:val="BookText"/>
        <w:rPr/>
      </w:pPr>
      <w:r>
        <w:rPr>
          <w:rFonts w:ascii="Amiri" w:hAnsi="Amiri" w:eastAsia="Amiri" w:cs="Amiri"/>
          <w:color w:val="111111"/>
          <w:sz w:val="28"/>
          <w:sz w:val="28"/>
          <w:szCs w:val="28"/>
          <w:rtl w:val="true"/>
          <w:lang w:bidi="ar-SA"/>
        </w:rPr>
        <w:t xml:space="preserve">قال الشيخ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القصّة إشكال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رحمهما اللّه بقلع العَذق ، مع أنّ القواعد لا تقتضيه ، ونفي الضرر لا يوجب ذلك ، لكن لا يُخلّ بالاستدلال</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إخلاله بالاستدلال ، فهو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فلا يرد على ما ذكرنا ؛ ضرورة أنّ المورد مندرج تحت الحكم السلطاني الكلّي ، فيكون الأمر بالقلع لقطع مادّة الفساد المتوقّع في مثل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غيره فالإشكال وارد ؛ لأنّ عدم تشريع الحكم الضرري ونهي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الإضرار بالغير ، لا يقتضيان الإضرار بالغير بقطع شجرته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الإشكال ظهور موثّقة زرارة في كون المستند للقلع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لوقوعه تعليلاً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فاقلع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وقعوا </w:t>
      </w:r>
      <w:bookmarkStart w:id="522" w:name="pg12132_128349"/>
    </w:p>
    <w:p>
      <w:pPr>
        <w:pStyle w:val="BookText"/>
        <w:rPr/>
      </w:pPr>
      <w:bookmarkEnd w:id="5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عنه في حَيْصَ بَيْصَ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الأجوبة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بالقلع يكون لحكومته وسلطنته الإلهية</w:t>
      </w:r>
      <w:r>
        <w:rPr>
          <w:rStyle w:val="FootnoteAnchor"/>
          <w:rtl w:val="true"/>
        </w:rPr>
        <w:footnoteReference w:id="789"/>
      </w:r>
      <w:r>
        <w:rPr>
          <w:rFonts w:ascii="Amiri" w:hAnsi="Amiri" w:eastAsia="Amiri" w:cs="Amiri"/>
          <w:color w:val="111111"/>
          <w:sz w:val="28"/>
          <w:sz w:val="28"/>
          <w:szCs w:val="28"/>
          <w:rtl w:val="true"/>
          <w:lang w:bidi="ar-SA"/>
        </w:rPr>
        <w:t xml:space="preserve">، مع أ نّه مخالف للتعليل في الموثّقة ، فيبقى الإشكال بحاله </w:t>
      </w:r>
      <w:r>
        <w:rPr>
          <w:rFonts w:eastAsia="Amiri" w:cs="Amiri" w:ascii="Amiri" w:hAnsi="Amiri"/>
          <w:color w:val="111111"/>
          <w:sz w:val="28"/>
          <w:szCs w:val="28"/>
          <w:rtl w:val="true"/>
          <w:lang w:bidi="ar-SA"/>
        </w:rPr>
        <w:t>.</w:t>
      </w:r>
    </w:p>
    <w:p>
      <w:pPr>
        <w:pStyle w:val="Heading2"/>
        <w:numPr>
          <w:ilvl w:val="1"/>
          <w:numId w:val="1"/>
        </w:numPr>
        <w:rPr/>
      </w:pPr>
      <w:bookmarkStart w:id="523" w:name="__RefHeading___Toc3352916_417432637"/>
      <w:bookmarkStart w:id="524" w:name="_Toc179"/>
      <w:bookmarkEnd w:id="523"/>
      <w:r>
        <w:rPr>
          <w:rtl w:val="true"/>
        </w:rPr>
        <w:t>في جواب بعض الأعاظم عن الإشكال</w:t>
      </w:r>
      <w:bookmarkEnd w:id="524"/>
    </w:p>
    <w:p>
      <w:pPr>
        <w:pStyle w:val="BookText"/>
        <w:rPr/>
      </w:pPr>
      <w:r>
        <w:rPr>
          <w:rFonts w:ascii="IRNazanin" w:hAnsi="IRNazanin" w:eastAsia="IRNazanin"/>
          <w:color w:val="111111"/>
          <w:sz w:val="28"/>
          <w:sz w:val="28"/>
          <w:szCs w:val="28"/>
          <w:rtl w:val="true"/>
          <w:lang w:bidi="fa-IR"/>
        </w:rPr>
        <w:t xml:space="preserve">ولقد تصدّى للجواب عنه بعض أعاظم العصر بما حاصله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علة للقلع ، بل علة لوجوب الاستئذان ، وإنّما أمر بالقلع لسقوط احترام ماله بإصراره على الإضرار ، فأمر به من باب الولاية العامّة حسماً للفساد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علّيته للقلع إلاّ أ نّه لا ينافي القواعد ؛ 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قاعدة السلطنة التي من فروعها احترام مال المسلم الذي هو عبارة عن سلطنة المالك على منع غيره من التصرّف في ماله ، وقاعدة السلطنة وإن كانت مركّبة من أمر وجودي هو كون المالك مسلّطاً على التصرّف في ماله ، وأمر سلبي هو سلطنته على منع غيره منه ، والضرر يرد على الأنصاري من تصرّف سَمُرة في ماله بما يشاء ، لا من منع الأنصاري عن قلع عَذقه ، ولا بدّ أن يرفع بدليل الضرر الجزء الأخير من علّة الضرر ، وليس إلاّ دخوله بلا استئذان ، لا كون ماله محترماً ، لكن هذا التركيب انحلالي عقلي ، لا أ نّها مركّبة من حكمين ، فلا معنى 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الجزءين ، والدخول بلا استئذان وإن كان هو الجزء الأخير من العلّة ، لكنّه متفرّع على إبقاء النخلة ، فالضرر نشأ من علّة </w:t>
      </w:r>
      <w:bookmarkStart w:id="525" w:name="pg12132_128350"/>
    </w:p>
    <w:p>
      <w:pPr>
        <w:pStyle w:val="BookText"/>
        <w:rPr/>
      </w:pPr>
      <w:bookmarkEnd w:id="525"/>
      <w:r>
        <w:rPr>
          <w:rFonts w:ascii="Amiri" w:hAnsi="Amiri" w:eastAsia="Amiri" w:cs="Amiri"/>
          <w:color w:val="111111"/>
          <w:sz w:val="28"/>
          <w:sz w:val="28"/>
          <w:szCs w:val="28"/>
          <w:rtl w:val="true"/>
          <w:lang w:bidi="ar-SA"/>
        </w:rPr>
        <w:t>العلل ، فينفى حقّ الإبقاء ؛ لأنّ سَمُرة لم يكن مالكاً إلاّ للنخلة ، وله حقّ إبقائها في البستان ، وهذا علّة لجواز الدخول بلا استئذان ، فلو كان المعلول مستلزماً للضرر ، فدليل الضرر رافع لعلّته ؛ لأنّ الضرر في الحقيقة نشأ من استحقاق سَمُرة لإبقاء عَذقه ، فقاعدة الضرر ترفع هذا الاستحقاق ، والنقض برفع دليل الضرر اللزوم في العقد الغبني دون الصحّة ، غير وارد ؛ لأنّ الصحّة واللزوم حكمان مستقلاّن ملاكاً ودليلاً ، ولا ربط بينهما ولا علّية بينهما ، وأ مّا جواز الدخول بلا استئذان مع كونه مترتّباً على استحقاق إبقاء العَذق يكون من آثاره ، فالضرر معلول الاستحقاق ، كما أنّ الضرر في الوضوء معلول الإيجاب الشرعي وإن نشأ من اختيار المكلّف</w:t>
      </w:r>
      <w:r>
        <w:rPr>
          <w:rStyle w:val="FootnoteAnchor"/>
          <w:rtl w:val="true"/>
        </w:rPr>
        <w:footnoteReference w:id="790"/>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Heading2"/>
        <w:numPr>
          <w:ilvl w:val="1"/>
          <w:numId w:val="1"/>
        </w:numPr>
        <w:rPr/>
      </w:pPr>
      <w:bookmarkStart w:id="526" w:name="__RefHeading___Toc3352918_417432637"/>
      <w:bookmarkStart w:id="527" w:name="_Toc180"/>
      <w:bookmarkEnd w:id="526"/>
      <w:r>
        <w:rPr>
          <w:rtl w:val="true"/>
        </w:rPr>
        <w:t>مناقشة الجواب المتقدّم</w:t>
      </w:r>
      <w:bookmarkEnd w:id="527"/>
    </w:p>
    <w:p>
      <w:pPr>
        <w:pStyle w:val="BookText"/>
        <w:rPr/>
      </w:pPr>
      <w:r>
        <w:rPr>
          <w:rFonts w:ascii="Amiri" w:hAnsi="Amiri" w:eastAsia="Amiri" w:cs="Amiri"/>
          <w:color w:val="111111"/>
          <w:sz w:val="28"/>
          <w:sz w:val="28"/>
          <w:szCs w:val="28"/>
          <w:rtl w:val="true"/>
          <w:lang w:bidi="ar-SA"/>
        </w:rPr>
        <w:t>وفيه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موثّقة زرارة 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للأمر بالقلع ، وهذا لفظها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إحضار سَمُرة وإخباره بقول الأنصاري وما شكا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أردت الدخول فاستأذن ، فأبى ، فلمّا أبى ساومه ، حتّى بلغ به من الثمن ما شاء اللّه ، فأبى أن يبيع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بها عَذق يُمدّ لك في الجنّة ، فأبى أن يقبل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رحمهما اللّه للأنصاري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 وارمِ بها إليه ؛ فإنّه لا ضرر ولا ضرار</w:t>
      </w:r>
      <w:r>
        <w:rPr>
          <w:rFonts w:eastAsia="Amiri" w:cs="Amiri" w:ascii="Amiri" w:hAnsi="Amiri"/>
          <w:color w:val="111111"/>
          <w:sz w:val="28"/>
          <w:szCs w:val="28"/>
          <w:rtl w:val="true"/>
          <w:lang w:bidi="ar-SA"/>
        </w:rPr>
        <w:t>»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غاية الظهور في كونه علّة للأمر بالقلع ، ولا يجوز </w:t>
      </w:r>
    </w:p>
    <w:p>
      <w:pPr>
        <w:pStyle w:val="BookText"/>
        <w:rPr/>
      </w:pPr>
      <w:r>
        <w:rPr>
          <w:rFonts w:ascii="Amiri" w:hAnsi="Amiri" w:eastAsia="Amiri" w:cs="Amiri"/>
          <w:color w:val="111111"/>
          <w:sz w:val="28"/>
          <w:sz w:val="28"/>
          <w:szCs w:val="28"/>
          <w:rtl w:val="true"/>
          <w:lang w:bidi="ar-SA"/>
        </w:rPr>
        <w:t xml:space="preserve">حمله على كونه علّة لوجوب الاستئذان ؛ لأنّ وجوبه المستفاد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يكون في ضمن مقاولته رحمهما اللّه سَمُرةَ ، ثمّ بعد ما ساومه بكلام طويل ، أعرض عنه وأقبل إلى الأنصاري ، وقال له مستأنفاً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فاقلعها ، وارمِ بها إليه ؛ فإنّه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يمكن أن يكون هذا الكلام المستقلّ مع الأنصاري تعليلاً للوجوب المستفاد من كلام مستقلّ مع سَمُرة مع هذا الفصل الطويل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خروج عن طريق المحاورة وقانون التكلّم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الإصرار على الإضرار بالغير لا يوجب سقوط احترام مال المُضرّ ، فأيّة قاعدة عقلية أو شرعية تقتضي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للسلطان أن يأمر بالقلع حسماً لمادّة الفساد ، لكن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القوم لا يناسب كونه تعليلاً للأمر بالقلع ، وأمّا بناءً على ما ذكرنا فالمناسبة بين 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ظهور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قاعدة السلطنة وتفسير الاحترام بأ نّه عبارة عن سلطنة المالك على منع غيره من التصرّف في ماله ممّا لا ينبغي أن يصغى إليه ، فإنّهما قاعدتان مستقلّتان عند العقلاء وفي الشريعة دليلاً</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وملاكاً ؛ فإنّ قاعدة السلطنة قاعدة عقلائية هي من أحكام المالكية عند العقلاء ؛ فإنّ المالك للشيء مسلّط عليه بأنحاء التسلّط عندهم ، وقد أمضاها الشارع وأنفذها بقوله في النبوي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وقاعدة حرمة المال عبارة عن كونه في حريم المملوكية ومحترماً ، لا يجوز لأحد </w:t>
      </w:r>
    </w:p>
    <w:p>
      <w:pPr>
        <w:pStyle w:val="BookText"/>
        <w:rPr/>
      </w:pPr>
      <w:r>
        <w:rPr>
          <w:rFonts w:ascii="Amiri" w:hAnsi="Amiri" w:eastAsia="Amiri" w:cs="Amiri"/>
          <w:color w:val="111111"/>
          <w:sz w:val="28"/>
          <w:sz w:val="28"/>
          <w:szCs w:val="28"/>
          <w:rtl w:val="true"/>
          <w:lang w:bidi="ar-SA"/>
        </w:rPr>
        <w:t xml:space="preserve">التصرّف فيه بلا إذن من مالكه ، ومع الإتلاف كان ضامناً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سلطنة المالك على ماله وجواز دفع الغير عن التصرّف فيه ،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عقلائية أمضاها الشارع ، والدليل عليها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قوله رحمهما اللّه في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دماءكم وأموالكم عليكم حرام ، كحرمة يومكم هذا ، في شهركم هذا ، في بلدكم هذا ، إلى يوم يلقونه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وكمرسلة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 وقتاله كفر ، وأكل لحمه من معصية اللّه ، وحرمة ماله كحرمة دمه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موثّقة أبي بصير عن أبي جعفر نحوها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 أحدهما من فروع الآخر في غير محلّه ، وممّا ذكرنا يعلم أنّ تفسير احترام مال المسلم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فحكومة دليل نفي الضرر على قاعدة السلطنة غير مربوطة بقاعدة حرمة مال المسلم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السلطنة مركّبة من أمر وجودي هو كون المالك مسلّطاً على التصرّف في ماله ، وأمر سلبي هو سلطنته على منع غيره من التصرّف في ماله ، أو انحلالها إلى أمر وجودي وسلبي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 فإنّ السلطنة على منع الغير من أنحاء تسلّط المالك على ماله ، والكثرة إنّما هي في المتعلّق ، مع أنّ السلطنة على منع الغير ليست أمراً سلبياً ولو كان 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الغير 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سلبياً ، والحال أنّ 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بسلبي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سلّم كون القاعدة مركّبة من أمر وجودي هو السلطنة على تصرّفه في ماله بما يشاء ، وأمر سلبي هو السلطنة على منع الغير عن التصرّف فيه ، لكن دخول سَمُرة بلا استئذان في منزل الأنصاري ليس من أنحاء سلطنته على التصرّف في عَذقه ، بل من المقدّمات الوجودية للتصرّف فيه ، ولا يعقل أن تكون القاعدة منحلّة إلى السلطنة على الشيء ومقدّمته الوجودية بما أ نّها مقدّمته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السلطنة على العذق لا توجب السلطنة على مال الأنصاري وجواز الدخول في بيته بلا استئذان منه ، ولو كان الدخول مقدّمة للتصرّف في عذقه ، فلا محالة كان له حقّ الجواز إلى عذقه ما دام موجوداً في بستانه ، ودليل نفي الضرار ينفي السلطنة على دخوله بلا استئذان ، وأ مّا الدخول مع الاستئذان ، وأنحاء التصرّف في عذقه ، وحرمة ماله ، كلّها باقية على حالها من غير دليل حاكم عليها </w:t>
      </w:r>
      <w:r>
        <w:rPr>
          <w:rFonts w:eastAsia="Amiri" w:cs="Amiri" w:ascii="Amiri" w:hAnsi="Amiri"/>
          <w:color w:val="111111"/>
          <w:sz w:val="28"/>
          <w:szCs w:val="28"/>
          <w:rtl w:val="true"/>
          <w:lang w:bidi="ar-SA"/>
        </w:rPr>
        <w:t xml:space="preserve">. </w:t>
      </w:r>
      <w:bookmarkStart w:id="528" w:name="pg12132_128354"/>
    </w:p>
    <w:p>
      <w:pPr>
        <w:pStyle w:val="Heading2"/>
        <w:numPr>
          <w:ilvl w:val="1"/>
          <w:numId w:val="1"/>
        </w:numPr>
        <w:rPr/>
      </w:pPr>
      <w:bookmarkStart w:id="529" w:name="__RefHeading___Toc3352920_417432637"/>
      <w:bookmarkStart w:id="530" w:name="_Toc181"/>
      <w:bookmarkEnd w:id="528"/>
      <w:bookmarkEnd w:id="529"/>
      <w:r>
        <w:rPr>
          <w:rtl w:val="true"/>
        </w:rPr>
        <w:t xml:space="preserve">التنبيه الثاني </w:t>
      </w:r>
      <w:r>
        <w:rPr>
          <w:rtl w:val="true"/>
        </w:rPr>
        <w:t xml:space="preserve">: </w:t>
      </w:r>
      <w:r>
        <w:rPr>
          <w:rtl w:val="true"/>
        </w:rPr>
        <w:t>في حكومة القاعدة على أدلّة الأحكام الأوّلية</w:t>
      </w:r>
      <w:bookmarkEnd w:id="530"/>
    </w:p>
    <w:p>
      <w:pPr>
        <w:pStyle w:val="BookText"/>
        <w:rPr/>
      </w:pPr>
      <w:r>
        <w:rPr>
          <w:rFonts w:ascii="Amiri" w:hAnsi="Amiri" w:eastAsia="Amiri" w:cs="Amiri"/>
          <w:color w:val="111111"/>
          <w:sz w:val="28"/>
          <w:sz w:val="28"/>
          <w:szCs w:val="28"/>
          <w:rtl w:val="true"/>
          <w:lang w:bidi="ar-SA"/>
        </w:rPr>
        <w:t xml:space="preserve">بناءً على ما ذهبنا إليه في حديث نفي الضرر لا يكون دليله حاكماً على أدلّة الأحكام الأوّلية سوى قاعدة السلطنة ؛ فإنّ دليل نفي الضرر ورد لكسر سَورة تلك القاعدة الموجبة للضرر والضرار على الناس ، وهو رحمهما اللّه بأمره الصادر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سلطان على الاُمّة ، وبما أنّ حكمه على الأوّلين حكمه على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الرعية عن الإضرار والضرار ، فدخول سَمُرة بن جُندَب في دار الأنصاري فجأة ، والإشراف على أهله ضرار وإيصال مكروهٍ وحرجٍ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 فهو ممنوع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 مّا نفي اللزوم في المعاملة الغبنية ، ونفي وجوب الوضوء الضرري ، وأمثالهما ، فأجنبيّ عن مفاد الحديث ، ولا يلزم منه فقدان الدليل في كثير من الفروع المسلّمة الفقهية ، كخيار الغبن ؛ لأ نّه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يكون الدليل منحصراً به ؛ بحيث يلزم من عدم التمسّك به فقدان الدليل فيه ، وهذا خيار الغبن ، وهو من أوضح موارد النقض لا يكون ثبوته متقوّماً بدليل الضرر ؛ لإمكان دعوى كون خيار الغبن عرفياً عقلائياً ، لا لأجل الشرط الضمني على مساواة الثمن والمثمن ، كما قيل</w:t>
      </w:r>
      <w:r>
        <w:rPr>
          <w:rStyle w:val="FootnoteAnchor"/>
          <w:rtl w:val="true"/>
        </w:rPr>
        <w:footnoteReference w:id="796"/>
      </w:r>
      <w:r>
        <w:rPr>
          <w:rFonts w:ascii="Amiri" w:hAnsi="Amiri" w:eastAsia="Amiri" w:cs="Amiri"/>
          <w:color w:val="111111"/>
          <w:sz w:val="28"/>
          <w:sz w:val="28"/>
          <w:szCs w:val="28"/>
          <w:rtl w:val="true"/>
          <w:lang w:bidi="ar-SA"/>
        </w:rPr>
        <w:t xml:space="preserve">حتّى يكون خيار الغبن من قبيل خيار تخلّف الشرط ؛ فإنّ ذلك ممنوع ، بل لأنّ خيار الغبن بعنوانه عرفي عقلائي ، فإنّ العقلاء يرجع بعضهم إلى بعض في صورة الغبن بعنوان المغبونية ، لا بعنوان تخلّف الشرط ، كما </w:t>
      </w:r>
    </w:p>
    <w:p>
      <w:pPr>
        <w:pStyle w:val="BookText"/>
        <w:rPr/>
      </w:pPr>
      <w:r>
        <w:rPr>
          <w:rFonts w:ascii="Amiri" w:hAnsi="Amiri" w:eastAsia="Amiri" w:cs="Amiri"/>
          <w:color w:val="111111"/>
          <w:sz w:val="28"/>
          <w:sz w:val="28"/>
          <w:szCs w:val="28"/>
          <w:rtl w:val="true"/>
          <w:lang w:bidi="ar-SA"/>
        </w:rPr>
        <w:t>أنّ الرجوع في العيب إنّما يكون بعنوانه ، لا بعنوان تخلّف الشرط الضمني ، كما قيل به أيضاً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حكم العقلاء في باب العيب هو الخيار ؛ أي السلطنة على حلّ العقد ، وأ مّا في الغبن فالظاهر أنّ حكمهم بالخيار معلّق على عدم بذل الغابن التفاوت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واستفادة أمر زائد على ذلك من دليل الضرر مشكل ، كما اعترف به بعض الأعاظم ، منهم العلاّمة الأنصاري</w:t>
      </w:r>
      <w:r>
        <w:rPr>
          <w:rStyle w:val="FootnoteAnchor"/>
          <w:rtl w:val="true"/>
        </w:rPr>
        <w:footnoteReference w:id="798"/>
      </w:r>
      <w:r>
        <w:rPr>
          <w:rFonts w:ascii="Amiri" w:hAnsi="Amiri" w:eastAsia="Amiri" w:cs="Amiri"/>
          <w:color w:val="111111"/>
          <w:sz w:val="28"/>
          <w:sz w:val="28"/>
          <w:szCs w:val="28"/>
          <w:rtl w:val="true"/>
          <w:lang w:bidi="ar-SA"/>
        </w:rPr>
        <w:t>، ومنهم شيخنا العلاّمة الحائري</w:t>
      </w:r>
      <w:r>
        <w:rPr>
          <w:rStyle w:val="FootnoteAnchor"/>
          <w:rtl w:val="true"/>
        </w:rPr>
        <w:footnoteReference w:id="799"/>
      </w:r>
      <w:r>
        <w:rPr>
          <w:rFonts w:ascii="Amiri" w:hAnsi="Amiri" w:eastAsia="Amiri" w:cs="Amiri"/>
          <w:color w:val="111111"/>
          <w:sz w:val="28"/>
          <w:sz w:val="28"/>
          <w:szCs w:val="28"/>
          <w:rtl w:val="true"/>
          <w:lang w:bidi="ar-SA"/>
        </w:rPr>
        <w:t xml:space="preserve">، ونقل عن العلاّمة أيضاً ؛ حيث استشكل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مع بذل التفاوت</w:t>
      </w:r>
      <w:r>
        <w:rPr>
          <w:rStyle w:val="FootnoteAnchor"/>
          <w:rtl w:val="true"/>
        </w:rPr>
        <w:footnoteReference w:id="800"/>
      </w:r>
      <w:r>
        <w:rPr>
          <w:rFonts w:ascii="Amiri" w:hAnsi="Amiri" w:eastAsia="Amiri" w:cs="Amiri"/>
          <w:color w:val="111111"/>
          <w:sz w:val="28"/>
          <w:sz w:val="28"/>
          <w:szCs w:val="28"/>
          <w:rtl w:val="true"/>
          <w:lang w:bidi="ar-SA"/>
        </w:rPr>
        <w:t xml:space="preserve">، ويظهر من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عدم اعتماده على دليل الضرر في الخيار ؛ حيث استدلّ لثبوته بالإجماع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 على المخالف بقوله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الغبن ، بل اعتمد على الإجماع المحقّق عنده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استدلّ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خيار الغبن بقول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وهو لا يدلّ على انحصار الدليل به </w:t>
      </w:r>
      <w:r>
        <w:rPr>
          <w:rFonts w:eastAsia="Amiri" w:cs="Amiri" w:ascii="Amiri" w:hAnsi="Amiri"/>
          <w:color w:val="111111"/>
          <w:sz w:val="28"/>
          <w:szCs w:val="28"/>
          <w:rtl w:val="true"/>
          <w:lang w:bidi="ar-SA"/>
        </w:rPr>
        <w:t xml:space="preserve">. </w:t>
      </w:r>
      <w:bookmarkStart w:id="531" w:name="pg12132_128356"/>
    </w:p>
    <w:p>
      <w:pPr>
        <w:pStyle w:val="BookText"/>
        <w:rPr/>
      </w:pPr>
      <w:bookmarkEnd w:id="531"/>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دليل الضرر مثبتاً لحكم لولاه لبقي بلا دليل محلّ منع ، مع أنّ بقاء مسألة أو مسائل بلا دليل لا يوجب انعقاد ظهور لدليل الضرر أو أنّ الحكم بخلاف ظاهره ، اللهمّ إلاّ أن يكون المنظور الاستدلال بفهم الفقهاء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تامّ </w:t>
      </w:r>
      <w:r>
        <w:rPr>
          <w:rFonts w:eastAsia="Amiri" w:cs="Amiri" w:ascii="Amiri" w:hAnsi="Amiri"/>
          <w:color w:val="111111"/>
          <w:sz w:val="28"/>
          <w:szCs w:val="28"/>
          <w:rtl w:val="true"/>
          <w:lang w:bidi="ar-SA"/>
        </w:rPr>
        <w:t>.</w:t>
      </w:r>
    </w:p>
    <w:p>
      <w:pPr>
        <w:pStyle w:val="Heading2"/>
        <w:numPr>
          <w:ilvl w:val="1"/>
          <w:numId w:val="1"/>
        </w:numPr>
        <w:rPr/>
      </w:pPr>
      <w:bookmarkStart w:id="532" w:name="__RefHeading___Toc3352922_417432637"/>
      <w:bookmarkStart w:id="533" w:name="_Toc182"/>
      <w:bookmarkEnd w:id="532"/>
      <w:r>
        <w:rPr>
          <w:rtl w:val="true"/>
        </w:rPr>
        <w:t xml:space="preserve">التنبيه الثالث </w:t>
      </w:r>
      <w:r>
        <w:rPr>
          <w:rtl w:val="true"/>
        </w:rPr>
        <w:t xml:space="preserve">: </w:t>
      </w:r>
      <w:r>
        <w:rPr>
          <w:rtl w:val="true"/>
        </w:rPr>
        <w:t>في تحمّل الضرر وفيما إذا اُكره على الإضرار بالغير</w:t>
      </w:r>
      <w:bookmarkEnd w:id="533"/>
    </w:p>
    <w:p>
      <w:pPr>
        <w:pStyle w:val="BookText"/>
        <w:rPr/>
      </w:pPr>
      <w:r>
        <w:rPr>
          <w:rFonts w:ascii="Amiri" w:hAnsi="Amiri" w:eastAsia="Amiri" w:cs="Amiri"/>
          <w:color w:val="111111"/>
          <w:sz w:val="28"/>
          <w:sz w:val="28"/>
          <w:szCs w:val="28"/>
          <w:rtl w:val="true"/>
          <w:lang w:bidi="ar-SA"/>
        </w:rPr>
        <w:t xml:space="preserve">إنّ مقتضى ما ذكرنا في معنى الحديث هو ممنوعية الضرر والضرار على الناس ، أو على المؤمن ، وأ مّا لزوم تحمّل الضرر عن الغير أو دفعه عنه فأجنبيّ عن مفاده ، فلو توجّه ضرر إلى الغير لا يجب دفعه عنه ، ولا يجب تحمّل الضرر لئلاّ يتوجّه إلى غيره ، فلو توجّه السيل إلى دار الغير لا يجب عليه دفعه ولا توجيهه إلى داره لئلاّ يتضرّر جاره ، ولو توجّه إلى داره يجوز دفعه عنها وإن توجّه بنفسه إلى دار الغير ، ولا يجوز دفعه إلى دار الغير وتوجيهه إليها ؛ لكونه إضراراً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واضح ؛ لأنّ الممنوع هو الإضرار بالغير مباشرة أو تسبيباً ، لا تحمّل الضرر عنه أو وجوب الدفع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اُكره على الإضرار بالغير ، فهل يجوز له ذلك ، أو لا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حديث الرفع الجواز وعدم وجوب التقاعد عنه وتحمّل الضرر من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لحكومة حديث الرفع</w:t>
      </w:r>
      <w:r>
        <w:rPr>
          <w:rStyle w:val="FootnoteAnchor"/>
          <w:rtl w:val="true"/>
        </w:rPr>
        <w:footnoteReference w:id="804"/>
      </w:r>
      <w:r>
        <w:rPr>
          <w:rFonts w:ascii="Amiri" w:hAnsi="Amiri" w:eastAsia="Amiri" w:cs="Amiri"/>
          <w:color w:val="111111"/>
          <w:sz w:val="28"/>
          <w:sz w:val="28"/>
          <w:szCs w:val="28"/>
          <w:rtl w:val="true"/>
          <w:lang w:bidi="ar-SA"/>
        </w:rPr>
        <w:t xml:space="preserve">على دليله بناءً على كونه نهياً </w:t>
      </w:r>
    </w:p>
    <w:p>
      <w:pPr>
        <w:pStyle w:val="BookText"/>
        <w:rPr/>
      </w:pPr>
      <w:r>
        <w:rPr>
          <w:rFonts w:ascii="Amiri" w:hAnsi="Amiri" w:eastAsia="Amiri" w:cs="Amiri"/>
          <w:color w:val="111111"/>
          <w:sz w:val="28"/>
          <w:sz w:val="28"/>
          <w:szCs w:val="28"/>
          <w:rtl w:val="true"/>
          <w:lang w:bidi="ar-SA"/>
        </w:rPr>
        <w:t xml:space="preserve">شرعياً </w:t>
      </w:r>
      <w:r>
        <w:rPr>
          <w:rStyle w:val="FootnoteAnchor"/>
          <w:rtl w:val="true"/>
        </w:rPr>
        <w:footnoteReference w:id="805"/>
      </w:r>
      <w:r>
        <w:rPr>
          <w:rFonts w:ascii="Amiri" w:hAnsi="Amiri" w:eastAsia="Amiri" w:cs="Amiri"/>
          <w:color w:val="111111"/>
          <w:sz w:val="28"/>
          <w:sz w:val="28"/>
          <w:szCs w:val="28"/>
          <w:rtl w:val="true"/>
          <w:lang w:bidi="ar-SA"/>
        </w:rPr>
        <w:t xml:space="preserve">، بل وبناءً على ما ذكرنا من كونه نهياً سلطانياً </w:t>
      </w:r>
      <w:r>
        <w:rPr>
          <w:rStyle w:val="FootnoteAnchor"/>
          <w:rtl w:val="true"/>
        </w:rPr>
        <w:footnoteReference w:id="806"/>
      </w:r>
      <w:r>
        <w:rPr>
          <w:rFonts w:ascii="Amiri" w:hAnsi="Amiri" w:eastAsia="Amiri" w:cs="Amiri"/>
          <w:color w:val="111111"/>
          <w:sz w:val="28"/>
          <w:sz w:val="28"/>
          <w:szCs w:val="28"/>
          <w:rtl w:val="true"/>
          <w:lang w:bidi="ar-SA"/>
        </w:rPr>
        <w:t xml:space="preserve">لحكومته عليه أو على دليل وجوب اتّباع السلطان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وَأُولِى الأَمْرِ مِنْكُمْ </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لدعوى انصراف دليل منع الإضرار عن مثل المقام ممّا توجّه الضرر إلى الغير من قبل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ضارّ عرفاً ، كالمتولّي عن الجائر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يجب أن يعلم أنّ حديث الرفع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له حكومة على الأدلّة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يعمل على حكومته والجمود عليها في جميع الموارد ، فربّ مورد يتحقّق الإكراه بأوّل وجوده ؛ بحيث لو أوجد معه طلاقاً أو عتاقاً يحكم بالبطلان ، ولكن لا يمكن رفع اليد معه عن الأدلّة الأوّلية فيما إذا اُحرز المقتضي فيه مع أهمّيته ، كما لو اُكره على هدم الكعبة وقبر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إحراق المصحف ، أو على ردّ القرآن ، أو تأويله بما يقع الناس به في الضلالة ، أو على إبطال حجج اللّه ، أو على بعض القبائح العقلية والموبقات الشرعية ، ولو أوعده بما لو أوعده به في ترك طلاق امرأته ، أو عتق عبده ، أو بيع داره ، فأوقعها تقع باطلة ، كالإيعاد على الشتم والهتك والضرب وأخذ عشرة دنانير ؛ فإنّ الإيعاد بما ذكر ممّا يُدخل الطلاق ومثله في موضوع الإكراه ، ويرفع حكمه ، فهل يمكن الالتزام بمجرّد هذا الإيعاد بجواز ما ذكر من </w:t>
      </w:r>
      <w:bookmarkStart w:id="534" w:name="pg12132_128358"/>
    </w:p>
    <w:p>
      <w:pPr>
        <w:pStyle w:val="BookText"/>
        <w:rPr/>
      </w:pPr>
      <w:bookmarkEnd w:id="534"/>
      <w:r>
        <w:rPr>
          <w:rFonts w:ascii="Amiri" w:hAnsi="Amiri" w:eastAsia="Amiri" w:cs="Amiri"/>
          <w:color w:val="111111"/>
          <w:sz w:val="28"/>
          <w:sz w:val="28"/>
          <w:szCs w:val="28"/>
          <w:rtl w:val="true"/>
          <w:lang w:bidi="ar-SA"/>
        </w:rPr>
        <w:t xml:space="preserve">المهمّات والموبقات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الموارد لا يمكن الالتزام بالجواز مع الإيعاد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شيء يضطرّ إليه ابن آدم ، فقد أحلّه اللّه</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فلو أمر الوالي المتولّي من قبله بهتك حرمات الناس وضربهم وشتمهم وسبي نسائهم وهدم بيوتهم ونهب أموالهم ، وأوعده بما يتحقّق به أوّل مصداق من الإكراه ، فلا يمكن أن يلتزم بجوازه لدليل الرفع ، فلا يبعد الالتزام بالفرق بين الأحكام الوضعية فيقال برفعها بمجرّد الإكراه ، وبين الأحكام التكليفية فيفصّل بين مهمّاتها وغيرها </w:t>
      </w:r>
      <w:r>
        <w:rPr>
          <w:rFonts w:eastAsia="Amiri" w:cs="Amiri" w:ascii="Amiri" w:hAnsi="Amiri"/>
          <w:color w:val="111111"/>
          <w:sz w:val="28"/>
          <w:szCs w:val="28"/>
          <w:rtl w:val="true"/>
          <w:lang w:bidi="ar-SA"/>
        </w:rPr>
        <w:t>.</w:t>
      </w:r>
    </w:p>
    <w:p>
      <w:pPr>
        <w:pStyle w:val="Heading2"/>
        <w:numPr>
          <w:ilvl w:val="1"/>
          <w:numId w:val="1"/>
        </w:numPr>
        <w:rPr/>
      </w:pPr>
      <w:bookmarkStart w:id="535" w:name="__RefHeading___Toc3352924_417432637"/>
      <w:bookmarkStart w:id="536" w:name="_Toc183"/>
      <w:bookmarkEnd w:id="535"/>
      <w:r>
        <w:rPr>
          <w:rtl w:val="true"/>
        </w:rPr>
        <w:t xml:space="preserve">التنبيه الرابع </w:t>
      </w:r>
      <w:r>
        <w:rPr>
          <w:rtl w:val="true"/>
        </w:rPr>
        <w:t xml:space="preserve">: </w:t>
      </w:r>
      <w:r>
        <w:rPr>
          <w:rtl w:val="true"/>
        </w:rPr>
        <w:t>فيما يكون التصرّف في ملكه موجباً لتضرّر الغير</w:t>
      </w:r>
      <w:bookmarkEnd w:id="536"/>
    </w:p>
    <w:p>
      <w:pPr>
        <w:pStyle w:val="BookText"/>
        <w:rPr/>
      </w:pPr>
      <w:r>
        <w:rPr>
          <w:rFonts w:ascii="Amiri" w:hAnsi="Amiri" w:eastAsia="Amiri" w:cs="Amiri"/>
          <w:color w:val="111111"/>
          <w:sz w:val="28"/>
          <w:sz w:val="28"/>
          <w:szCs w:val="28"/>
          <w:rtl w:val="true"/>
          <w:lang w:bidi="ar-SA"/>
        </w:rPr>
        <w:t xml:space="preserve">لو استلزم التصرّف في ملكه الضرر على غيره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 ، ونقل عن الشيخ</w:t>
      </w:r>
      <w:r>
        <w:rPr>
          <w:rStyle w:val="FootnoteAnchor"/>
          <w:rtl w:val="true"/>
        </w:rPr>
        <w:footnoteReference w:id="810"/>
      </w:r>
      <w:r>
        <w:rPr>
          <w:rFonts w:ascii="Amiri" w:hAnsi="Amiri" w:eastAsia="Amiri" w:cs="Amiri"/>
          <w:color w:val="111111"/>
          <w:sz w:val="28"/>
          <w:sz w:val="28"/>
          <w:szCs w:val="28"/>
          <w:rtl w:val="true"/>
          <w:lang w:bidi="ar-SA"/>
        </w:rPr>
        <w:t>والحلّي</w:t>
      </w:r>
      <w:r>
        <w:rPr>
          <w:rStyle w:val="FootnoteAnchor"/>
          <w:rtl w:val="true"/>
        </w:rPr>
        <w:footnoteReference w:id="811"/>
      </w:r>
      <w:r>
        <w:rPr>
          <w:rFonts w:ascii="Amiri" w:hAnsi="Amiri" w:eastAsia="Amiri" w:cs="Amiri"/>
          <w:color w:val="111111"/>
          <w:sz w:val="28"/>
          <w:sz w:val="28"/>
          <w:szCs w:val="28"/>
          <w:rtl w:val="true"/>
          <w:lang w:bidi="ar-SA"/>
        </w:rPr>
        <w:t>وابن زهرة</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التصرّف بلا خلاف ، فها هنا صور لا بأس بذكرها وذكر ما تقتضي القاعدة فيها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تصرّفه ضرر على الجار ، وفي تركه ضرر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تركه حرج ومشقّة عليه ، وفي التصرّف ضرر على الجار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تصرّفه حرج ومشقّة على الجار ، وفي تركه ضرر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ترك تصرّفه حرج عليه ، وفي تصرّفه على الجار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تصرّفه ضرر أو حرج على الجار ، وفي تركه فقدان منفعة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تصرّفه ضرر أو حرج على الجار ، ولا يكون في تركه شيء عليه ولا فقدان نفع منه ، فحينئذٍ قد يكون تصرّفه لغواً ، وقد يكون للإضرار أو إيصال الحرج إلى الجار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ما ذكرنا في معنى حديث نفي الضرر</w:t>
      </w:r>
      <w:r>
        <w:rPr>
          <w:rStyle w:val="FootnoteAnchor"/>
          <w:rtl w:val="true"/>
        </w:rPr>
        <w:footnoteReference w:id="813"/>
      </w:r>
      <w:r>
        <w:rPr>
          <w:rFonts w:ascii="Amiri" w:hAnsi="Amiri" w:eastAsia="Amiri" w:cs="Amiri"/>
          <w:color w:val="111111"/>
          <w:sz w:val="28"/>
          <w:sz w:val="28"/>
          <w:szCs w:val="28"/>
          <w:rtl w:val="true"/>
          <w:lang w:bidi="ar-SA"/>
        </w:rPr>
        <w:t xml:space="preserve">لا يبعد انصرافه عمّا إذا كان ترك تصرّفه في ملكه موجباً لتضرّره أو وقوع الحرج عليه ؛ لأنّ النهي عن الإضرار بالغير لا يقتضي تحمّل التضرّر أو الحرج والمشقّة ، فلا يجب على المالك تحمّلهما بترك التصرّف في ملكه لأجل وقوع الضرر على جاره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يجوز إيقاع الضرر ابتداءً على الغير ولو لزم من تركه الضرر عليه ، وهذا غير لزوم الضرر عليه من التصرّف في ملكه ، كما هو ظاهر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لزم من ترك التصرّف في ملكه ضرر أو حرج عليه ، ومنه ما إذا لزم من تركه فقدان المنفعة المعتدّ بها ، فإنّ حبس المالك عن الانتفاع بملكه حرج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لزومهما فلا يجوز له التصرّف الموجب لهما </w:t>
      </w:r>
      <w:r>
        <w:rPr>
          <w:rFonts w:eastAsia="Amiri" w:cs="Amiri" w:ascii="Amiri" w:hAnsi="Amiri"/>
          <w:color w:val="111111"/>
          <w:sz w:val="28"/>
          <w:szCs w:val="28"/>
          <w:rtl w:val="true"/>
          <w:lang w:bidi="ar-SA"/>
        </w:rPr>
        <w:t xml:space="preserve">. </w:t>
      </w:r>
      <w:bookmarkStart w:id="537" w:name="pg12132_128360"/>
    </w:p>
    <w:p>
      <w:pPr>
        <w:pStyle w:val="BookText"/>
        <w:rPr/>
      </w:pPr>
      <w:bookmarkEnd w:id="537"/>
      <w:r>
        <w:rPr>
          <w:rFonts w:ascii="Amiri" w:hAnsi="Amiri" w:eastAsia="Amiri" w:cs="Amiri"/>
          <w:color w:val="111111"/>
          <w:sz w:val="28"/>
          <w:sz w:val="28"/>
          <w:szCs w:val="28"/>
          <w:rtl w:val="true"/>
          <w:lang w:bidi="ar-SA"/>
        </w:rPr>
        <w:t xml:space="preserve">وكذا على مسلك القوم في معنى الحديث يمكن دعوى ذلك الانصراف ؛ لأ نّه قاعدة امتنانية ، ومقتضى الامتنان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الضرر منصرف عمّا يلزم من رفعه إثبات الضرر ، وأمّا إذا لم يلزم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حفر بئراً لمجرّد الإضرار بالجار أو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w:t>
      </w:r>
    </w:p>
    <w:p>
      <w:pPr>
        <w:pStyle w:val="Heading2"/>
        <w:numPr>
          <w:ilvl w:val="1"/>
          <w:numId w:val="1"/>
        </w:numPr>
        <w:rPr/>
      </w:pPr>
      <w:bookmarkStart w:id="538" w:name="__RefHeading___Toc3352926_417432637"/>
      <w:bookmarkStart w:id="539" w:name="_Toc184"/>
      <w:bookmarkEnd w:id="538"/>
      <w:r>
        <w:rPr>
          <w:rtl w:val="true"/>
        </w:rPr>
        <w:t>إشكال ودفع</w:t>
      </w:r>
      <w:bookmarkEnd w:id="539"/>
    </w:p>
    <w:p>
      <w:pPr>
        <w:pStyle w:val="BookText"/>
        <w:rPr/>
      </w:pPr>
      <w:r>
        <w:rPr>
          <w:rFonts w:ascii="Amiri" w:hAnsi="Amiri" w:eastAsia="Amiri" w:cs="Amiri"/>
          <w:color w:val="111111"/>
          <w:sz w:val="28"/>
          <w:sz w:val="28"/>
          <w:szCs w:val="28"/>
          <w:rtl w:val="true"/>
          <w:lang w:bidi="ar-SA"/>
        </w:rPr>
        <w:t xml:space="preserve">وقد يقال فيما يلزم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حفر البئر ضرري ؛ لتضرّر الجار به ، ومنع تصرّف المالك في ملكه ضرري لتضرّر المالك به ، فيتعارض الضرران ، فيرجع إلى قاعدة السلطنة أو إلى الاُصول العقلية والشرعية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لزم من الحفر وتركه الحرج لَتعارضَ الحرجان ، ولو كان أحدهما حرجياً والآخر ضررياً تعارضا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الحرج حاكم على دليل الضرر ، فيختلف حكم صور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صورة تعارض الضررين أو الحرجين يقدّم حقّ المالك لقاعدة السلطنة أو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حرجية أحدهما يقدّم جانب الحرج لو قلنا بالحكومة ، وإلاّ فيرجع إلى قاعدة السلطنة أو الاُصول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المالك عن التصرّف في ملكه بنفسه حرج ، ففي جميع الصور يقدّم جانب المالك ؛ لحكومة دليل الحرج ، أو للتعارض والرجوع إلى قاعدة السلطنة أو الاُصول</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منع المالك عن التصرّف في ملكه هو بنفسه حرج منفيّ بدليل الحرج ، ممنوعة ؛ فإنّ الحرج هو الضيق والكُلفة والمشقّة ، ومطلق المنع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يلزم منه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تعارض الضررين فتقريره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حفر البئر ضرري منفيّ بدليل نفي الضرر ، ودليل الضرر الرافع للجواز ضرري على المالك ، فينفى هذا المصداق بدليل نفي الضرر ، فيتعارض دليل الضرر في مصداقين من نفسه ، وذلك لأنّ القضيّة حقيقية منحلّة إلى قضايا متكثّرة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يعقل أن يتكفّل دليلٌ نفي نفسه أو مصاديقه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لنفي الأحكام الضررية على مسلكهم ، فهذا الإنشاء لا يمكن أن ينفي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الدليل النافي نافياً لنفسه أو مُعدماً لذاته أو مصاديقه التي هي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مصداقٍ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على مصداق آخر في الشكّ السببي والمسبّبي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حكومة مصداق من الدليل على مصداق آخر لا يلزم منه إعدام الشيء نفسه ، بل إعدام مصداق للشيء مصداقاً آخر ، وذلك غير ممنوع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الشكّ السببي والمسبّبي ليست من قبيل ما نحن فيه ، بل الاستصحاب الجاري في السبب يرفع الشكّ الذي هو موضوع الأصل المسبّبي ، </w:t>
      </w:r>
    </w:p>
    <w:p>
      <w:pPr>
        <w:pStyle w:val="BookText"/>
        <w:rPr/>
      </w:pPr>
      <w:r>
        <w:rPr>
          <w:rFonts w:ascii="Amiri" w:hAnsi="Amiri" w:eastAsia="Amiri" w:cs="Amiri"/>
          <w:color w:val="111111"/>
          <w:sz w:val="28"/>
          <w:sz w:val="28"/>
          <w:szCs w:val="28"/>
          <w:rtl w:val="true"/>
          <w:lang w:bidi="ar-SA"/>
        </w:rPr>
        <w:t xml:space="preserve">فلا يجري لعدم الموضوع ، وهذا ممّا 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 مّا لو فرض في موردٍ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عدم نقض اليقين بالشكّ إعدامَ عدم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محال ، وما نحن فيه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حال الحلّ ؛ فإنّ انحلال القضيّة إلى قضايا لا يوجب إمكان إعدام الشيء نفسه ، وليس معنى الانحلال إنشاء قضايا متكثّرة ، بل ليس في البين إلاّ إنشاء واحد ، ولا يمكن أن تنحلّ قضيّة إلى مصداق ومُعدِم لمصداق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تلك الحكومة لا معنى للتعارض بين المصداقين ؛ لأنّ أحدهما الرافع للآخر حاكم عليه ، وبعد الحكومة تصير النتيجة عدم جواز تصرّف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تقرير آخر لبيان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جواز التصرّف 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التصرّف الناشئ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فيتعارضان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الجواز لا المنع من التصرّف بمعنى إثبات الحكم ، ونفي الحكم ليس حكماً حتّى يُنفى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الناشئ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ينفى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المحكوم لا بدّ أن يكون في الرتبة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 حتّى يكون شارحاً له وناظراً إليه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لا تتقوّم بالنظر والشرح ، مع أنّ النظر إلى المتأخّر رتبة </w:t>
      </w:r>
    </w:p>
    <w:p>
      <w:pPr>
        <w:pStyle w:val="BookText"/>
        <w:rPr/>
      </w:pPr>
      <w:r>
        <w:rPr>
          <w:rFonts w:ascii="Amiri" w:hAnsi="Amiri" w:eastAsia="Amiri" w:cs="Amiri"/>
          <w:color w:val="111111"/>
          <w:sz w:val="28"/>
          <w:sz w:val="28"/>
          <w:szCs w:val="28"/>
          <w:rtl w:val="true"/>
          <w:lang w:bidi="ar-SA"/>
        </w:rPr>
        <w:t xml:space="preserve">وشرحه ممّا لا يمتنع ، فإذا تحقّق بدليل نفي الضرر حكم ضرري لا مانع من نفيه بدليل الضرر ؛ فإنّه قضيّة حقيقية تنفي كلّ حكم ضرري محقّق الوجود أو مقدّره في ظرف تحقّقه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الأخبار مع الواسطة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حال تعارض دليل الحرجين ؛ فإنّ الكلام فيه كالكلام في الضرر ، وكذا الحال في تعارض الضرر والحرج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حكومة دليل نفي الحرج على نفي الضرر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أصل له بناءً على مسلك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دليل نفي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عرفت أ نّه بمعنى نفي الحرج ؛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 مّا إذا كان دليله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 عَليْكُمْ فِى الدِّينِ مِنْ حَرَجٍ </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فلأنّ لسانه كلسان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نفي تشريع الأحكام الضررية ؛ فإنّ لسانهما نفي تشريع الأحكام الحرجية أو الضررية ، فلا وجه لحكومة 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أردنا إيراده ، فلنختم الكلام بحمد اللّه تعالى والصلاة على رسوله وآله الطاهرين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من تسويده يوم الأربعاء ، غُرّة جُمادي الاُولى ، سنة ألف وثلاثمائة وثمان وستّين قمرية من الهجرة النبوية ، على مُهاجرها الصلاة والسلام والتحية </w:t>
      </w:r>
      <w:r>
        <w:rPr>
          <w:rFonts w:eastAsia="Amiri" w:cs="Amiri" w:ascii="Amiri" w:hAnsi="Amiri"/>
          <w:color w:val="111111"/>
          <w:sz w:val="28"/>
          <w:szCs w:val="28"/>
          <w:rtl w:val="true"/>
          <w:lang w:bidi="ar-SA"/>
        </w:rPr>
        <w:t xml:space="preserve">. </w:t>
      </w:r>
      <w:bookmarkStart w:id="540" w:name="pg12132_128364"/>
    </w:p>
    <w:p>
      <w:pPr>
        <w:pStyle w:val="Heading2"/>
        <w:numPr>
          <w:ilvl w:val="1"/>
          <w:numId w:val="1"/>
        </w:numPr>
        <w:rPr/>
      </w:pPr>
      <w:bookmarkStart w:id="541" w:name="__RefHeading___Toc3352928_417432637"/>
      <w:bookmarkStart w:id="542" w:name="_Toc185"/>
      <w:bookmarkEnd w:id="540"/>
      <w:bookmarkEnd w:id="541"/>
      <w:r>
        <w:rPr>
          <w:rtl w:val="true"/>
        </w:rPr>
        <w:t>الفهارس العامّة</w:t>
      </w:r>
      <w:bookmarkEnd w:id="542"/>
    </w:p>
    <w:p>
      <w:pPr>
        <w:pStyle w:val="Heading3"/>
        <w:numPr>
          <w:ilvl w:val="2"/>
          <w:numId w:val="1"/>
        </w:numPr>
        <w:rPr/>
      </w:pPr>
      <w:bookmarkStart w:id="543" w:name="__RefHeading___Toc3352930_417432637"/>
      <w:bookmarkStart w:id="544" w:name="_Toc186"/>
      <w:bookmarkEnd w:id="543"/>
      <w:r>
        <w:rPr>
          <w:rtl w:val="true"/>
        </w:rPr>
        <w:t>اشارة</w:t>
      </w:r>
      <w:bookmarkEnd w:id="5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12132_128366"/>
      <w:bookmarkStart w:id="546" w:name="pg12132_128366"/>
      <w:bookmarkEnd w:id="546"/>
    </w:p>
    <w:p>
      <w:pPr>
        <w:pStyle w:val="Heading3"/>
        <w:numPr>
          <w:ilvl w:val="2"/>
          <w:numId w:val="1"/>
        </w:numPr>
        <w:rPr/>
      </w:pPr>
      <w:bookmarkStart w:id="547" w:name="pg12132_128366"/>
      <w:bookmarkStart w:id="548" w:name="__RefHeading___Toc3352932_417432637"/>
      <w:bookmarkStart w:id="549" w:name="_Toc187"/>
      <w:bookmarkEnd w:id="547"/>
      <w:bookmarkEnd w:id="548"/>
      <w:r>
        <w:rPr/>
        <w:t>1</w:t>
      </w:r>
      <w:r>
        <w:rPr>
          <w:rtl w:val="true"/>
        </w:rPr>
        <w:t xml:space="preserve"> - </w:t>
      </w:r>
      <w:r>
        <w:rPr>
          <w:rtl w:val="true"/>
        </w:rPr>
        <w:t>فهرس الآيات الكريمة</w:t>
      </w:r>
      <w:bookmarkEnd w:id="549"/>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رَفَثَ وَلاَ فُسُوقَ وَلاَ جِدَالَ فِى</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تُمْسِكُوهُنَّ ضِرَاراً لِتَعْتَدُوا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وَلاَ مَوْلُودٌ</w:t>
      </w:r>
    </w:p>
    <w:p>
      <w:pPr>
        <w:pStyle w:val="BookText"/>
        <w:rPr/>
      </w:pPr>
      <w:r>
        <w:rPr>
          <w:rFonts w:ascii="Amiri" w:hAnsi="Amiri" w:eastAsia="Amiri" w:cs="Amiri"/>
          <w:color w:val="111111"/>
          <w:sz w:val="28"/>
          <w:sz w:val="28"/>
          <w:szCs w:val="28"/>
          <w:rtl w:val="true"/>
          <w:lang w:bidi="ar-SA"/>
        </w:rPr>
        <w:t xml:space="preserve">لَهُ بِوَلَدِهِ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وَلا مَوْلُودٌ</w:t>
      </w:r>
    </w:p>
    <w:p>
      <w:pPr>
        <w:pStyle w:val="BookText"/>
        <w:rPr/>
      </w:pPr>
      <w:r>
        <w:rPr>
          <w:rFonts w:ascii="Amiri" w:hAnsi="Amiri" w:eastAsia="Amiri" w:cs="Amiri"/>
          <w:color w:val="111111"/>
          <w:sz w:val="28"/>
          <w:sz w:val="28"/>
          <w:szCs w:val="28"/>
          <w:rtl w:val="true"/>
          <w:lang w:bidi="ar-SA"/>
        </w:rPr>
        <w:t>لَهُ بِوَلَدِهِ وَعَلَى الْوارِثِ مِثْلُ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يُضَارَّ كَاتِبٌ وَلاَ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w:t>
      </w:r>
    </w:p>
    <w:p>
      <w:pPr>
        <w:pStyle w:val="BookText"/>
        <w:rPr/>
      </w:pPr>
      <w:r>
        <w:rPr>
          <w:rFonts w:ascii="Amiri" w:hAnsi="Amiri" w:eastAsia="Amiri" w:cs="Amiri"/>
          <w:color w:val="111111"/>
          <w:sz w:val="28"/>
          <w:sz w:val="28"/>
          <w:szCs w:val="28"/>
          <w:rtl w:val="true"/>
          <w:lang w:bidi="ar-SA"/>
        </w:rPr>
        <w:t xml:space="preserve">غَيرَ مُضَارٍّ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وَأُوْلِى</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w:t>
      </w:r>
    </w:p>
    <w:p>
      <w:pPr>
        <w:pStyle w:val="BookText"/>
        <w:rPr/>
      </w:pPr>
      <w:r>
        <w:rPr>
          <w:rFonts w:ascii="Amiri" w:hAnsi="Amiri" w:eastAsia="Amiri" w:cs="Amiri"/>
          <w:color w:val="111111"/>
          <w:sz w:val="28"/>
          <w:sz w:val="28"/>
          <w:szCs w:val="28"/>
          <w:rtl w:val="true"/>
          <w:lang w:bidi="ar-SA"/>
        </w:rPr>
        <w:t>يُحَكِّمُوكَ فِيمَا شَجَرَ بَيْنَهُمْ ثُمّ</w:t>
      </w:r>
    </w:p>
    <w:p>
      <w:pPr>
        <w:pStyle w:val="BookText"/>
        <w:rPr/>
      </w:pPr>
      <w:r>
        <w:rPr>
          <w:rFonts w:ascii="Amiri" w:hAnsi="Amiri" w:eastAsia="Amiri" w:cs="Amiri"/>
          <w:color w:val="111111"/>
          <w:sz w:val="28"/>
          <w:sz w:val="28"/>
          <w:szCs w:val="28"/>
          <w:rtl w:val="true"/>
          <w:lang w:bidi="ar-SA"/>
        </w:rPr>
        <w:t>لاَ يَجِدُوا فِى أَنفُسِهِمْ حَرَجاً مِمَّا</w:t>
      </w:r>
    </w:p>
    <w:p>
      <w:pPr>
        <w:pStyle w:val="BookText"/>
        <w:rPr/>
      </w:pPr>
      <w:r>
        <w:rPr>
          <w:rFonts w:ascii="Amiri" w:hAnsi="Amiri" w:eastAsia="Amiri" w:cs="Amiri"/>
          <w:color w:val="111111"/>
          <w:sz w:val="28"/>
          <w:sz w:val="28"/>
          <w:szCs w:val="28"/>
          <w:rtl w:val="true"/>
          <w:lang w:bidi="ar-SA"/>
        </w:rPr>
        <w:t xml:space="preserve">قَضَيْتَ وَيُسَلِّمُوا تَسْلِيماً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مَسْجِداً ضِرَاراً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w:t>
      </w:r>
    </w:p>
    <w:p>
      <w:pPr>
        <w:pStyle w:val="BookText"/>
        <w:rPr/>
      </w:pPr>
      <w:r>
        <w:rPr>
          <w:rFonts w:ascii="Amiri" w:hAnsi="Amiri" w:eastAsia="Amiri" w:cs="Amiri"/>
          <w:color w:val="111111"/>
          <w:sz w:val="28"/>
          <w:sz w:val="28"/>
          <w:szCs w:val="28"/>
          <w:rtl w:val="true"/>
          <w:lang w:bidi="ar-SA"/>
        </w:rPr>
        <w:t xml:space="preserve">وَكُفْراً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 الَّتِى كُنَّا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 الَّتِى كُنَّا فِيهَا وَالْعِيرَ</w:t>
      </w:r>
    </w:p>
    <w:p>
      <w:pPr>
        <w:pStyle w:val="BookText"/>
        <w:rPr/>
      </w:pPr>
      <w:r>
        <w:rPr>
          <w:rFonts w:ascii="Amiri" w:hAnsi="Amiri" w:eastAsia="Amiri" w:cs="Amiri"/>
          <w:color w:val="111111"/>
          <w:sz w:val="28"/>
          <w:sz w:val="28"/>
          <w:szCs w:val="28"/>
          <w:rtl w:val="true"/>
          <w:lang w:bidi="ar-SA"/>
        </w:rPr>
        <w:t xml:space="preserve">الَّتِى أَقْبَلْنَا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 فِى الْحَيَوةِ أَنْ تَقُولَ</w:t>
      </w:r>
    </w:p>
    <w:p>
      <w:pPr>
        <w:pStyle w:val="BookText"/>
        <w:rPr/>
      </w:pPr>
      <w:r>
        <w:rPr>
          <w:rFonts w:ascii="Amiri" w:hAnsi="Amiri" w:eastAsia="Amiri" w:cs="Amiri"/>
          <w:color w:val="111111"/>
          <w:sz w:val="28"/>
          <w:sz w:val="28"/>
          <w:szCs w:val="28"/>
          <w:rtl w:val="true"/>
          <w:lang w:bidi="ar-SA"/>
        </w:rPr>
        <w:t xml:space="preserve">لاَمِسَاسَ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الحج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فِى الدِّينِ مِنْ</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w:t>
      </w:r>
    </w:p>
    <w:p>
      <w:pPr>
        <w:pStyle w:val="BookText"/>
        <w:rPr/>
      </w:pPr>
      <w:r>
        <w:rPr>
          <w:rFonts w:ascii="Amiri" w:hAnsi="Amiri" w:eastAsia="Amiri" w:cs="Amiri"/>
          <w:color w:val="111111"/>
          <w:sz w:val="28"/>
          <w:sz w:val="28"/>
          <w:szCs w:val="28"/>
          <w:rtl w:val="true"/>
          <w:lang w:bidi="ar-SA"/>
        </w:rPr>
        <w:t>اللّه‌ُ ورَسُولُهُ أَمْراً أَنْ يَكُونَ لهُمُ الْخِيَرَةُ</w:t>
      </w:r>
    </w:p>
    <w:p>
      <w:pPr>
        <w:pStyle w:val="BookText"/>
        <w:rPr/>
      </w:pPr>
      <w:r>
        <w:rPr>
          <w:rFonts w:ascii="Amiri" w:hAnsi="Amiri" w:eastAsia="Amiri" w:cs="Amiri"/>
          <w:color w:val="111111"/>
          <w:sz w:val="28"/>
          <w:sz w:val="28"/>
          <w:szCs w:val="28"/>
          <w:rtl w:val="true"/>
          <w:lang w:bidi="ar-SA"/>
        </w:rPr>
        <w:t>مِنْ أَمْرِهِمْ وَمَنْ يَعْصِ اللّه‌َ وَرَسُولَهُ</w:t>
      </w:r>
    </w:p>
    <w:p>
      <w:pPr>
        <w:pStyle w:val="BookText"/>
        <w:rPr/>
      </w:pPr>
      <w:r>
        <w:rPr>
          <w:rFonts w:ascii="Amiri" w:hAnsi="Amiri" w:eastAsia="Amiri" w:cs="Amiri"/>
          <w:color w:val="111111"/>
          <w:sz w:val="28"/>
          <w:sz w:val="28"/>
          <w:szCs w:val="28"/>
          <w:rtl w:val="true"/>
          <w:lang w:bidi="ar-SA"/>
        </w:rPr>
        <w:t xml:space="preserve">فَقَدْ ضَلَّ ضَلاَلاً مُبِيناً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تُضَارُّوهُنَّ لِتُضَيِّقُوا عَلَيْهِنَّ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12132_128370"/>
      <w:bookmarkStart w:id="551" w:name="pg12132_128370"/>
      <w:bookmarkEnd w:id="551"/>
    </w:p>
    <w:p>
      <w:pPr>
        <w:pStyle w:val="Heading3"/>
        <w:numPr>
          <w:ilvl w:val="2"/>
          <w:numId w:val="1"/>
        </w:numPr>
        <w:rPr/>
      </w:pPr>
      <w:bookmarkStart w:id="552" w:name="pg12132_128370"/>
      <w:bookmarkStart w:id="553" w:name="__RefHeading___Toc3352934_417432637"/>
      <w:bookmarkStart w:id="554" w:name="_Toc188"/>
      <w:bookmarkEnd w:id="552"/>
      <w:bookmarkEnd w:id="553"/>
      <w:r>
        <w:rPr/>
        <w:t>2</w:t>
      </w:r>
      <w:r>
        <w:rPr>
          <w:rtl w:val="true"/>
        </w:rPr>
        <w:t xml:space="preserve"> - </w:t>
      </w:r>
      <w:r>
        <w:rPr>
          <w:rtl w:val="true"/>
        </w:rPr>
        <w:t>فهرس الأحاديث الشريفة</w:t>
      </w:r>
      <w:bookmarkEnd w:id="554"/>
    </w:p>
    <w:p>
      <w:pPr>
        <w:pStyle w:val="BookText"/>
        <w:rPr/>
      </w:pPr>
      <w:r>
        <w:rPr>
          <w:rFonts w:ascii="Amiri" w:hAnsi="Amiri" w:eastAsia="Amiri" w:cs="Amiri"/>
          <w:color w:val="111111"/>
          <w:sz w:val="28"/>
          <w:sz w:val="28"/>
          <w:szCs w:val="28"/>
          <w:rtl w:val="true"/>
          <w:lang w:bidi="ar-SA"/>
        </w:rPr>
        <w:t xml:space="preserve">أجاز رسول اللّه رحمهما اللّه شهادة شاهد مع يمين طالب الحقّ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إذا أردت الدخول فاستأذن ، فأبى ، فلمّا أبى ساومه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اذهب فاقلعها وارمِ بها إليه ؛ فإنّه لا ضرَر ولا ضرار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الإسلام يزيد ولا ينقص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إنّ الجار كالنفس غير مُضارّ ولا آثم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أنّ النبي رحمهما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المشركين واستحيوا شيوخهم وصبيانهم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أنّ النبي رحمهما اللّه قضى في هوائر النخل أن تكون النخلة والنخلتان للرجل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أنت رجل مُضارّ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أنّ رسول اللّه رحمهما اللّه قد قضى بشاهد ويمين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 سَمُرة بن جُندَب كان له عَذْق في حائط لرجل من الأنصار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إنّ سَمُرة بن جُندَب كان له عَذْق ، وكان طريقه إليه في جوف منزل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انطلق فاغرسها حيث شئت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إنّك رجل مُضارّ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إنّك رجل مضارّ ، ولا ضرَرَ ولا ضرار على مؤمن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التقيّة في كلّ شيء يضطرّ إليه ابن آدم ، فقد أحلّه اللّه </w:t>
      </w:r>
      <w:r>
        <w:rPr>
          <w:rFonts w:eastAsia="Amiri" w:cs="Amiri" w:ascii="Amiri" w:hAnsi="Amiri"/>
          <w:color w:val="111111"/>
          <w:sz w:val="28"/>
          <w:szCs w:val="28"/>
          <w:lang w:bidi="ar-SA"/>
        </w:rPr>
        <w:t>91</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 أولى بذلك ما لم يكن مُضارّاً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الرجل يطلّق حتّى إذا كادت أن يخلو أجلها راجعها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سباب المؤمن فسوق ، وقتاله كفر ، وأكل لحمه من معصية اللّه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على حسب أن لا يضرّ إحداهما بالاُخرى إن شاء اللّه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على مؤمن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غزت معنا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فاقلع الشجرة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فاقلعها وارمِ بها إليه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فإنّ دماءكم وأموالكم عليكم حرام ، كحرمة يومكم هذا ، في شهركم هذا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فإنّه لا ضرر ولا ضرار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فذهب الرجل إلى رسول اللّه رحمهما اللّه فشكاه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فليس له ذلك ؛ هذا الضرار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والأيمان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قرأت في كتاب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رحمهما اللّه كتب كتاباً </w:t>
      </w:r>
      <w:r>
        <w:rPr>
          <w:rFonts w:eastAsia="IRNazanin" w:cs="IRNazanin"/>
          <w:color w:val="111111"/>
          <w:sz w:val="28"/>
          <w:szCs w:val="28"/>
          <w:rtl w:val="true"/>
          <w:lang w:bidi="fa-IR"/>
        </w:rPr>
        <w:t xml:space="preserve">. . .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قضى النبي رحمهما اللّه في رجل باع نخلاً ، واستثنى عليه نخلة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قضى أ نّه لا ضرر ولا ضِرار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قضى بذلك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قضى رسول اللّه رحمهما اللّه بالشفعة بين الشركاء في الأرضين والمساكن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قضى رسول اللّه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الاُولى أخذت ماء الأخيرة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قضى رسول اللّه رحمهما اللّه بين أهل المدينة في مشارب النخل أ نّه لا يمنع نفع الشيء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قضى رسول اللّه في أهل البوادي أن لا يمنعوا فضل ماء ولا يبيعوا فضل كلاء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قضى رسول اللّه رحمهما اللّه في سيل وادي مهزور للزرع إلى الشراك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كان رسول اللّه إذا أراد أن يبعث سريّة دعاهم ، فأجلسهم بين يديه </w:t>
      </w:r>
      <w:r>
        <w:rPr>
          <w:rFonts w:eastAsia="Amiri" w:cs="Amiri" w:ascii="Amiri" w:hAnsi="Amiri"/>
          <w:color w:val="111111"/>
          <w:sz w:val="28"/>
          <w:szCs w:val="28"/>
          <w:lang w:bidi="ar-SA"/>
        </w:rPr>
        <w:t>73</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رحمهما اللّه يحكم بين الناس بالبيّنات والأيمان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رسول اللّه رحمهما اللّه يقضي بشاهد واحد مع يمين صاحب الحقّ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كان لسَمُرة بن جُندَب نخلة في حائط بني فلان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لا إخصاء في الإسلام ، ولا بنيان كنيسة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لا إيلاء حتّى يدخل بها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لا تجار حرمة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لا تقتلوا القوم حتّى يبدؤوكم ،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لا جَلَبَ ، ولا جَنَبَ ، ولا اعتراض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لا جَلَبَ ، ولا جَنَبَ ، ولا شِغارَ في الإسلام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لا حمى إلاّ ما حمى اللّه ورسوله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لا حمى في الأراك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لا حمى في الإسلام ولا مُناجشة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لا سَبْقَ إلاّ في خُفّ أو حافر أو نصل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لا سهوَ في نافلة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لا سهوَ لمن أقرّ على نفسه بسهو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لا صرورة في الإسلام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لا صُماتَ يومٍ إلى الليل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لا ضرار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لا ضررَ ولا ضِرار على مؤمن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لا ضرَرَ ولا ضِرار في الإسلام ، فالإسلام يزيد المسلم خيراً ولا يزيده شرّاً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لا طلاق إلاّ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شاهدين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لا طلاق إلاّ على طُهر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لا طلاق إلاّ ما اُريد به الطلاق ، ولا ظِهار إلاّ ما اُريد به الظهار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لا طلاق السكران الذي لا يعقل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لا طلاق فيما لا تملك ، ولا عتق فيما لا تملك ، ولا بيع فيما لا تملك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لا طلاق قبل النكاح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لا ظِهار إلاّ في طهر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لا عِتقَ قبل المِلْك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لا غشّ بين المسلمين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لا نَذْر فيما لا يملكه ابن آدم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لا نذر في معصية اللّه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لا نكاح للعبد ولا طلاق إلاّ بإذن مولاه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لا هَجْر بين المسلمين فوق ثلاثة أيّام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لا يترك ، وذلك أنّ رسول اللّه رحمهما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lang w:bidi="ar-SA"/>
        </w:rPr>
        <w:t>8</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يُتْمَ بعد احتلام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يحلّ لأحد أن يتصرّف في مال غيره بغير إذنه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لا يمين إلاّ باللّه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لا يمين في استكراه ، ولا على سكر ، ولا على معصية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لا يمين في قطيعة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لا يمين فيما لا يبذل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لا يمين في معصية اللّه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لا يمين للولد مع والده ، ولا للمملوك مع مولاه ، ولا للمرأة مع زوجها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لا يمين لمكرَه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لا ينبغي للرجل أن يُطلّق امرأته ، ثمّ يُراجعها وليس له فيها حاجة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لا ينبغي للرجل أن يمتنع من جماع المرأة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لصاحب الدرهمين خُمس ما بلغ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لو كان الأمر إلينا أجزْنا شهادة الرجل الواحد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ليس يُجبر على ذلك ، إلاّ أن يكون وجب ذلك لصاحب الدار الاُخرى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ما أراك يا سَمُرة إلاّ مُضارّاً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المطلّقة الحبلى يُنفق عليها حتّى تضع حملها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من أوصى ولم يُحْفِ ولم يضارّ كان كمن تصدّق في حياته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 ضارّ مسلماً فليس منّا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 ضارّ مسلماً فليس منّا ولسنا منه في الدنيا والآخرة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من منع فضل الماء ليمنع به الكلاء منعه اللّه فضل رحمته يوم القيامة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وقضى أن لا ضرَر ولا ضرار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وقضى أن لا ضرر ولا ضرار ، وقضى أ نّه ليس لعرْقٍ ظالمٍ حقّ </w:t>
      </w:r>
      <w:r>
        <w:rPr>
          <w:rFonts w:eastAsia="Amiri" w:cs="Amiri" w:ascii="Amiri" w:hAnsi="Amiri"/>
          <w:color w:val="111111"/>
          <w:sz w:val="28"/>
          <w:szCs w:val="28"/>
          <w:lang w:bidi="ar-SA"/>
        </w:rPr>
        <w:t>22</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بالشفعة بين الشركاء في الأرضين والدور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وقضى رسول اللّه رحمهما اللّه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الاُولى أخذت ماء الأخيرة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ولا إضرار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ولا شفعة إلاّ لشريك غير مقاسم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ولا ضرر ولا ضِرار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ومن أضرّ بامرأةٍ حتّى تفتدي منه نفسها لم يرضَ اللّه له بعقوبة دون النار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ومن ضارّ مسلماً فليس منّا ولسنا منه في الدنيا والآخرة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يا أشباه الرجال ولا رجال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يتقاسمان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بحقائب البئر ليلة ليلة </w:t>
      </w:r>
      <w:r>
        <w:rPr>
          <w:rFonts w:eastAsia="Amiri" w:cs="Amiri" w:ascii="Amiri" w:hAnsi="Amiri"/>
          <w:color w:val="111111"/>
          <w:sz w:val="28"/>
          <w:szCs w:val="28"/>
          <w:lang w:bidi="ar-SA"/>
        </w:rPr>
        <w:t>10</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يتّقي اللّه ، ويعمل في ذلك بالمعروف ، ولا يضرّ أخاه المؤمن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55" w:name="pg12132_128376"/>
    </w:p>
    <w:p>
      <w:pPr>
        <w:pStyle w:val="Heading3"/>
        <w:numPr>
          <w:ilvl w:val="2"/>
          <w:numId w:val="1"/>
        </w:numPr>
        <w:rPr/>
      </w:pPr>
      <w:bookmarkStart w:id="556" w:name="__RefHeading___Toc3352936_417432637"/>
      <w:bookmarkStart w:id="557" w:name="_Toc189"/>
      <w:bookmarkEnd w:id="555"/>
      <w:bookmarkEnd w:id="556"/>
      <w:r>
        <w:rPr/>
        <w:t>3</w:t>
      </w:r>
      <w:r>
        <w:rPr>
          <w:rtl w:val="true"/>
        </w:rPr>
        <w:t xml:space="preserve"> - </w:t>
      </w:r>
      <w:r>
        <w:rPr>
          <w:rtl w:val="true"/>
        </w:rPr>
        <w:t>فهرس أسماء المعصومين علیهم السلام</w:t>
      </w:r>
      <w:bookmarkEnd w:id="557"/>
    </w:p>
    <w:p>
      <w:pPr>
        <w:pStyle w:val="BookText"/>
        <w:rPr/>
      </w:pPr>
      <w:r>
        <w:rPr>
          <w:rFonts w:ascii="Amiri" w:hAnsi="Amiri" w:eastAsia="Amiri" w:cs="Amiri"/>
          <w:color w:val="111111"/>
          <w:sz w:val="28"/>
          <w:sz w:val="28"/>
          <w:szCs w:val="28"/>
          <w:rtl w:val="true"/>
          <w:lang w:bidi="ar-SA"/>
        </w:rPr>
        <w:t xml:space="preserve">النبي، محمّد،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رحمهما اللّه ، نبي الإسلام</w:t>
      </w:r>
    </w:p>
    <w:p>
      <w:pPr>
        <w:pStyle w:val="BookText"/>
        <w:rPr/>
      </w:pPr>
      <w:r>
        <w:rPr>
          <w:rFonts w:ascii="Amiri" w:hAnsi="Amiri" w:eastAsia="Amiri" w:cs="Amiri"/>
          <w:color w:val="111111"/>
          <w:sz w:val="28"/>
          <w:sz w:val="28"/>
          <w:szCs w:val="28"/>
          <w:rtl w:val="true"/>
          <w:lang w:bidi="ar-SA"/>
        </w:rPr>
        <w:t xml:space="preserve">محمّد بن عبداللّه رحمهما اللّه ، نبي الإسلام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الباقر ،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 السلام ، الإمام السادس </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علیه السلام الإمام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علیه السلام ، الإمام الحادي عشر</w:t>
      </w:r>
    </w:p>
    <w:p>
      <w:pPr>
        <w:pStyle w:val="BookText"/>
        <w:rPr/>
      </w:pPr>
      <w:r>
        <w:rPr>
          <w:rFonts w:ascii="IRNazanin" w:hAnsi="IRNazanin" w:eastAsia="IRNazanin"/>
          <w:color w:val="111111"/>
          <w:sz w:val="28"/>
          <w:sz w:val="28"/>
          <w:szCs w:val="28"/>
          <w:rtl w:val="true"/>
          <w:lang w:bidi="fa-IR"/>
        </w:rPr>
        <w:t xml:space="preserve">الحسن بن علي علیه السلام ، الإمام الحادي عشر </w:t>
      </w:r>
      <w:r>
        <w:rPr>
          <w:rFonts w:eastAsia="IRNazanin" w:cs="IRNazanin"/>
          <w:color w:val="111111"/>
          <w:sz w:val="28"/>
          <w:szCs w:val="28"/>
          <w:lang w:bidi="fa-IR"/>
        </w:rPr>
        <w:t>10</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558" w:name="pg12132_128378"/>
    </w:p>
    <w:p>
      <w:pPr>
        <w:pStyle w:val="Heading3"/>
        <w:numPr>
          <w:ilvl w:val="2"/>
          <w:numId w:val="1"/>
        </w:numPr>
        <w:rPr/>
      </w:pPr>
      <w:bookmarkStart w:id="559" w:name="__RefHeading___Toc3352938_417432637"/>
      <w:bookmarkStart w:id="560" w:name="_Toc190"/>
      <w:bookmarkEnd w:id="558"/>
      <w:bookmarkEnd w:id="559"/>
      <w:r>
        <w:rPr/>
        <w:t>4</w:t>
      </w:r>
      <w:r>
        <w:rPr>
          <w:rtl w:val="true"/>
        </w:rPr>
        <w:t xml:space="preserve"> - </w:t>
      </w:r>
      <w:r>
        <w:rPr>
          <w:rtl w:val="true"/>
        </w:rPr>
        <w:t>فهرس الأعلام</w:t>
      </w:r>
      <w:bookmarkEnd w:id="560"/>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 xml:space="preserve">ابن أبي جمهور، محمّد بن زين الدين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ابن أبي عمير، محمّد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ابن أثير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ابن إدريس، محمّد بن أحمد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ابن التيهان، أبو الهيثم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ابن حنبل، أحمد بن 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 xml:space="preserve">ابن زهرة، حمزة بن علي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شاذان، الفضل بن شاذان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عبّاس، عبداللّه بن عبّاس</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ابن مسعود، عبداللّه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مسكان</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الخدري، أبو سعيد</w:t>
      </w:r>
    </w:p>
    <w:p>
      <w:pPr>
        <w:pStyle w:val="BookText"/>
        <w:rPr/>
      </w:pPr>
      <w:r>
        <w:rPr>
          <w:rFonts w:ascii="IRNazanin" w:hAnsi="IRNazanin" w:eastAsia="IRNazanin"/>
          <w:color w:val="111111"/>
          <w:sz w:val="28"/>
          <w:sz w:val="28"/>
          <w:szCs w:val="28"/>
          <w:rtl w:val="true"/>
          <w:lang w:bidi="fa-IR"/>
        </w:rPr>
        <w:t xml:space="preserve">أبو عامر الراهب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زياد بن عيسى</w:t>
      </w:r>
    </w:p>
    <w:p>
      <w:pPr>
        <w:pStyle w:val="BookText"/>
        <w:rPr/>
      </w:pPr>
      <w:r>
        <w:rPr>
          <w:rFonts w:ascii="Amiri" w:hAnsi="Amiri" w:eastAsia="Amiri" w:cs="Amiri"/>
          <w:color w:val="111111"/>
          <w:sz w:val="28"/>
          <w:sz w:val="28"/>
          <w:szCs w:val="28"/>
          <w:rtl w:val="true"/>
          <w:lang w:bidi="ar-SA"/>
        </w:rPr>
        <w:t xml:space="preserve">أبو عمرو، عامر بن شراحيل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أبو مسلم، محمّد بن بحر الأصفهاني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أحمد بن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أحمد بن محمّد بن خالد</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أحمد بن محمّد</w:t>
      </w:r>
    </w:p>
    <w:p>
      <w:pPr>
        <w:pStyle w:val="BookText"/>
        <w:rPr/>
      </w:pPr>
      <w:r>
        <w:rPr>
          <w:rFonts w:ascii="Amiri" w:hAnsi="Amiri" w:eastAsia="Amiri" w:cs="Amiri"/>
          <w:color w:val="111111"/>
          <w:sz w:val="28"/>
          <w:sz w:val="28"/>
          <w:szCs w:val="28"/>
          <w:rtl w:val="true"/>
          <w:lang w:bidi="ar-SA"/>
        </w:rPr>
        <w:t xml:space="preserve">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أحمد بن محمّد</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p>
    <w:p>
      <w:pPr>
        <w:pStyle w:val="BookText"/>
        <w:rPr/>
      </w:pPr>
      <w:r>
        <w:rPr>
          <w:rFonts w:ascii="Amiri" w:hAnsi="Amiri" w:eastAsia="Amiri" w:cs="Amiri"/>
          <w:color w:val="111111"/>
          <w:sz w:val="28"/>
          <w:sz w:val="28"/>
          <w:szCs w:val="28"/>
          <w:rtl w:val="true"/>
          <w:lang w:bidi="ar-SA"/>
        </w:rPr>
        <w:t xml:space="preserve">الأنصاري، جابر بن عبداللّه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البرقي، أحمد بن محمّد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جابر بن عبداللّه</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الحذّاء، زياد بن عيسى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حذيفة بن اليمان الصحابي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الصحابي</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محمّد بن أحمد</w:t>
      </w:r>
    </w:p>
    <w:p>
      <w:pPr>
        <w:pStyle w:val="BookText"/>
        <w:rPr/>
      </w:pPr>
      <w:r>
        <w:rPr>
          <w:rFonts w:ascii="Amiri" w:hAnsi="Amiri" w:eastAsia="Amiri" w:cs="Amiri"/>
          <w:color w:val="111111"/>
          <w:sz w:val="28"/>
          <w:sz w:val="28"/>
          <w:szCs w:val="28"/>
          <w:rtl w:val="true"/>
          <w:lang w:bidi="ar-SA"/>
        </w:rPr>
        <w:t xml:space="preserve">الخدري، أبو سعيد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 xml:space="preserve">الخزّاز، محمّد بن يحيى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زياد بن عيسى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السيوطي، عبدالرحمان بن أبي بكر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الشريعة الأصفهاني، فتح اللّه بن محمّد جواد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 علي</w:t>
      </w:r>
    </w:p>
    <w:p>
      <w:pPr>
        <w:pStyle w:val="BookText"/>
        <w:rPr/>
      </w:pPr>
      <w:r>
        <w:rPr>
          <w:rFonts w:ascii="Amiri" w:hAnsi="Amiri" w:eastAsia="Amiri" w:cs="Amiri"/>
          <w:color w:val="111111"/>
          <w:sz w:val="28"/>
          <w:sz w:val="28"/>
          <w:szCs w:val="28"/>
          <w:rtl w:val="true"/>
          <w:lang w:bidi="ar-SA"/>
        </w:rPr>
        <w:t>الشهيد الثاني، زين الدين بن علي</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الشريعة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الأصفهاني، فتح اللّه بن محمّد جواد </w:t>
      </w:r>
    </w:p>
    <w:p>
      <w:pPr>
        <w:pStyle w:val="BookText"/>
        <w:rPr/>
      </w:pP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صاحب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الزبيدي، محمّد بن محمّد</w:t>
      </w:r>
    </w:p>
    <w:p>
      <w:pPr>
        <w:pStyle w:val="BookText"/>
        <w:rPr/>
      </w:pPr>
      <w:r>
        <w:rPr>
          <w:rFonts w:ascii="Amiri" w:hAnsi="Amiri" w:eastAsia="Amiri" w:cs="Amiri"/>
          <w:color w:val="111111"/>
          <w:sz w:val="28"/>
          <w:sz w:val="28"/>
          <w:szCs w:val="28"/>
          <w:rtl w:val="true"/>
          <w:lang w:bidi="ar-SA"/>
        </w:rPr>
        <w:t xml:space="preserve">صاحب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 فخر الدين بن محمّد</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 xml:space="preserve">الصيقل، الحسن بن زياد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الطريحي، فخر الدين بن محمّد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عبدالرحمان بن جندب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عبداللّه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w:t>
      </w:r>
    </w:p>
    <w:p>
      <w:pPr>
        <w:pStyle w:val="BookText"/>
        <w:rPr/>
      </w:pPr>
      <w:r>
        <w:rPr>
          <w:rFonts w:ascii="Amiri" w:hAnsi="Amiri" w:eastAsia="Amiri" w:cs="Amiri"/>
          <w:color w:val="111111"/>
          <w:sz w:val="28"/>
          <w:sz w:val="28"/>
          <w:szCs w:val="28"/>
          <w:rtl w:val="true"/>
          <w:lang w:bidi="ar-SA"/>
        </w:rPr>
        <w:t xml:space="preserve">عبداللّه بن مسكان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العلاّمة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علي بن محمّد بن بندار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عمرو بن عوف </w:t>
      </w:r>
      <w:r>
        <w:rPr>
          <w:rFonts w:eastAsia="IRNazanin" w:cs="IRNazanin"/>
          <w:color w:val="111111"/>
          <w:sz w:val="28"/>
          <w:szCs w:val="28"/>
          <w:lang w:bidi="fa-IR"/>
        </w:rPr>
        <w:t>34</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غنم بن عوف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الغنوي، هارون بن حمزة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 الحسن</w:t>
      </w:r>
    </w:p>
    <w:p>
      <w:pPr>
        <w:pStyle w:val="BookText"/>
        <w:rPr/>
      </w:pPr>
      <w:r>
        <w:rPr>
          <w:rFonts w:ascii="Amiri" w:hAnsi="Amiri" w:eastAsia="Amiri" w:cs="Amiri"/>
          <w:color w:val="111111"/>
          <w:sz w:val="28"/>
          <w:sz w:val="28"/>
          <w:szCs w:val="28"/>
          <w:rtl w:val="true"/>
          <w:lang w:bidi="ar-SA"/>
        </w:rPr>
        <w:t xml:space="preserve">فخر المحقّقين، محمّد بن الحسن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 الحسن</w:t>
      </w:r>
    </w:p>
    <w:p>
      <w:pPr>
        <w:pStyle w:val="BookText"/>
        <w:rPr/>
      </w:pPr>
      <w:r>
        <w:rPr>
          <w:rFonts w:ascii="IRNazanin" w:hAnsi="IRNazanin" w:eastAsia="IRNazanin"/>
          <w:color w:val="111111"/>
          <w:sz w:val="28"/>
          <w:sz w:val="28"/>
          <w:szCs w:val="28"/>
          <w:rtl w:val="true"/>
          <w:lang w:bidi="fa-IR"/>
        </w:rPr>
        <w:t xml:space="preserve">الفرزدق، همام بن غالب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الفضل بن شاذان</w:t>
      </w:r>
    </w:p>
    <w:p>
      <w:pPr>
        <w:pStyle w:val="BookText"/>
        <w:rPr/>
      </w:pPr>
      <w:r>
        <w:rPr>
          <w:rFonts w:ascii="Amiri" w:hAnsi="Amiri" w:eastAsia="Amiri" w:cs="Amiri"/>
          <w:color w:val="111111"/>
          <w:sz w:val="28"/>
          <w:sz w:val="28"/>
          <w:szCs w:val="28"/>
          <w:rtl w:val="true"/>
          <w:lang w:bidi="ar-SA"/>
        </w:rPr>
        <w:t xml:space="preserve">الكشّي، محمّد بن عمر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p>
    <w:p>
      <w:pPr>
        <w:pStyle w:val="BookText"/>
        <w:rPr/>
      </w:pPr>
      <w:r>
        <w:rPr>
          <w:rFonts w:ascii="IRNazanin" w:hAnsi="IRNazanin" w:eastAsia="IRNazanin"/>
          <w:color w:val="111111"/>
          <w:sz w:val="28"/>
          <w:sz w:val="28"/>
          <w:szCs w:val="28"/>
          <w:rtl w:val="true"/>
          <w:lang w:bidi="fa-IR"/>
        </w:rPr>
        <w:t xml:space="preserve">محمّد بن عبداللّه بن هلال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محمّد بن يحيى</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محمّد بن يعقوب</w:t>
      </w:r>
    </w:p>
    <w:p>
      <w:pPr>
        <w:pStyle w:val="BookText"/>
        <w:rPr/>
      </w:pPr>
      <w:r>
        <w:rPr>
          <w:rFonts w:ascii="Amiri" w:hAnsi="Amiri" w:eastAsia="Amiri" w:cs="Amiri"/>
          <w:color w:val="111111"/>
          <w:sz w:val="28"/>
          <w:sz w:val="28"/>
          <w:szCs w:val="28"/>
          <w:rtl w:val="true"/>
          <w:lang w:bidi="ar-SA"/>
        </w:rPr>
        <w:t xml:space="preserve">المرتضى الزبيدي، محمّد بن محمّد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إسحاق شعر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12132_128384"/>
      <w:bookmarkStart w:id="562" w:name="pg12132_128384"/>
      <w:bookmarkEnd w:id="562"/>
    </w:p>
    <w:p>
      <w:pPr>
        <w:pStyle w:val="Heading3"/>
        <w:numPr>
          <w:ilvl w:val="2"/>
          <w:numId w:val="1"/>
        </w:numPr>
        <w:rPr/>
      </w:pPr>
      <w:bookmarkStart w:id="563" w:name="pg12132_128384"/>
      <w:bookmarkStart w:id="564" w:name="__RefHeading___Toc3352940_417432637"/>
      <w:bookmarkStart w:id="565" w:name="_Toc191"/>
      <w:bookmarkEnd w:id="563"/>
      <w:bookmarkEnd w:id="564"/>
      <w:r>
        <w:rPr/>
        <w:t>5</w:t>
      </w:r>
      <w:r>
        <w:rPr>
          <w:rtl w:val="true"/>
        </w:rPr>
        <w:t xml:space="preserve"> - </w:t>
      </w:r>
      <w:r>
        <w:rPr>
          <w:rtl w:val="true"/>
        </w:rPr>
        <w:t>فهرس الكتب الواردة في المتن</w:t>
      </w:r>
      <w:bookmarkEnd w:id="565"/>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أنوار الهداية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w:t>
      </w:r>
    </w:p>
    <w:p>
      <w:pPr>
        <w:pStyle w:val="BookText"/>
        <w:rPr/>
      </w:pP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التعليقة على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في الحاشية على الفرائد</w:t>
      </w:r>
    </w:p>
    <w:p>
      <w:pPr>
        <w:pStyle w:val="BookText"/>
        <w:rPr/>
      </w:pPr>
      <w:r>
        <w:rPr>
          <w:rFonts w:ascii="Amiri" w:hAnsi="Amiri" w:eastAsia="Amiri" w:cs="Amiri"/>
          <w:color w:val="111111"/>
          <w:sz w:val="28"/>
          <w:sz w:val="28"/>
          <w:szCs w:val="28"/>
          <w:rtl w:val="true"/>
          <w:lang w:bidi="ar-SA"/>
        </w:rPr>
        <w:t xml:space="preserve">التعليقة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الهداية</w:t>
      </w:r>
    </w:p>
    <w:p>
      <w:pPr>
        <w:pStyle w:val="BookText"/>
        <w:rPr/>
      </w:pPr>
      <w:r>
        <w:rPr>
          <w:rFonts w:ascii="IRNazanin" w:hAnsi="IRNazanin" w:eastAsia="IRNazanin"/>
          <w:color w:val="111111"/>
          <w:sz w:val="28"/>
          <w:sz w:val="28"/>
          <w:szCs w:val="28"/>
          <w:rtl w:val="true"/>
          <w:lang w:bidi="fa-IR"/>
        </w:rPr>
        <w:t xml:space="preserve">تفسير الإمام العسكري علیه السلام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النثير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درر اللآلي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p>
    <w:p>
      <w:pPr>
        <w:pStyle w:val="BookText"/>
        <w:rPr/>
      </w:pPr>
      <w:r>
        <w:rPr>
          <w:rFonts w:ascii="Amiri" w:hAnsi="Amiri" w:eastAsia="Amiri" w:cs="Amiri"/>
          <w:color w:val="111111"/>
          <w:sz w:val="28"/>
          <w:sz w:val="28"/>
          <w:szCs w:val="28"/>
          <w:rtl w:val="true"/>
          <w:lang w:bidi="ar-SA"/>
        </w:rPr>
        <w:t xml:space="preserve">رسالة لا ضرر للشيخ الأنصاري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رسالة لا ضرر للشيخ الشريعة الأصفهاني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رسالة لا ضرر للمحقّق النائيني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المسند لأحمد بن حنبل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لأحمد بن حنبل</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p>
    <w:p>
      <w:pPr>
        <w:pStyle w:val="BookText"/>
        <w:rPr/>
      </w:pP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2132_128388"/>
      <w:bookmarkStart w:id="567" w:name="pg12132_128388"/>
      <w:bookmarkEnd w:id="567"/>
    </w:p>
    <w:p>
      <w:pPr>
        <w:pStyle w:val="Heading3"/>
        <w:numPr>
          <w:ilvl w:val="2"/>
          <w:numId w:val="1"/>
        </w:numPr>
        <w:rPr/>
      </w:pPr>
      <w:bookmarkStart w:id="568" w:name="pg12132_128388"/>
      <w:bookmarkStart w:id="569" w:name="__RefHeading___Toc3352942_417432637"/>
      <w:bookmarkStart w:id="570" w:name="_Toc192"/>
      <w:bookmarkEnd w:id="568"/>
      <w:bookmarkEnd w:id="569"/>
      <w:r>
        <w:rPr/>
        <w:t>6</w:t>
      </w:r>
      <w:r>
        <w:rPr>
          <w:rtl w:val="true"/>
        </w:rPr>
        <w:t xml:space="preserve"> - </w:t>
      </w:r>
      <w:r>
        <w:rPr>
          <w:rtl w:val="true"/>
        </w:rPr>
        <w:t>فهرس مصادر التحقيق</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إبراهيم البهادري ومحمّد هادي به ، الطبعة الاُولى ، مجلّدان ، قم ، منشورات اُسوة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حسن المصطفوي ، جامعة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إفاضة القدير في أحكام العصير ،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شيخ الشريعة الأصفهاني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إشكالات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بن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عدّة من العلماء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المطبعة العلمية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الفوائد في شرح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حسن الآشتياني ، الطبعة الحجرية ، مكتبة آية اللّه المرعشي ، قم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محمّد مرتضى الحسيني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بيروت ، منشورات دار مكتبة الحياة ،</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الحسن بن يوسف بن المطهّر ، 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صدر منه حتّى الآن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طيّب الموسوي الجزائري ، الطبعة الثالثة ، مجلّدان ، قم ، مؤسّسة دار الكتاب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مدرسة الإمام المهديّ علیه السلام ، الطبعة الاُولى ، قم ، مدرسة الإمام المهديّ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بالاُفست عن طبعة النجف الأشرف ، المطبعة</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طهران ، مكتبة الصدوق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أو الأشعثيات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محمّد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نينوى الحديثة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علي أكبر الغفّاري ، الطبعة الثانية ، جزءان في مجلّد واحد ،</w:t>
      </w:r>
    </w:p>
    <w:p>
      <w:pPr>
        <w:pStyle w:val="BookText"/>
        <w:rPr/>
      </w:pP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 النشر</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الحائري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الأراكي ، الطبعة الاُولى ، قم ، المطبعة مهر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 نشر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محمّد كاظم الهروي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شمس الدين ، الطبعة الاُولى ، طهران ، مؤسّسة الطبع والنشر التابعة لوزارة الثقافة والإرشاد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الأحسائي ، مخطوط في المكتبة المرعشيّة ، تحت رقم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مجيد طراد ، الطبعة الثالثة ، مجلّدان ، بيروت ، دار الكتاب العربي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فقهية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تحقيق تراث الشيخ الأعظم ، الطبعة الاُولى ، قم ، مكتبة الفقهية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وروح الجنان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أبي الفتوح رازي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علي بن محمّد بن أحمد الخزاعي النيسابوري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الفتوح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دكتر محمّد جعفر ياحقي ودكتر محمّد مهديّ ناصح ، چاپ دوم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مشهد ، انتشارات آستان قدس رضوى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عبدالباقي ، مجلّدان ، بيروت ، 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كمال يوسف الحوت ، الطبعة الاُولى ، مجلّدان ، بيروت ، دار الجنان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بيروت ، دار إحياء التراث العربي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عبد الرحمان السمرقندي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بيروت ، دار الفكر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يوسف عبدالرحمان المرعشلي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المعرفة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العلم للملايين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الشيخ قاسم الشمّاعي الرفاعي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القلم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مركز الأبحاث والدراسات الإسلامية ، الطبعة الاُولى ، قم ، مكتب الإعلام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 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المكارم السيّد حمزة بن علي بن زهرة الحلبي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مجلّدان ، قم ، مؤسّسة الإمام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مشهد المقدّس ، المؤتمر العالمي للإمام الرضا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المهديّ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صادق بحر العلوم وحسين بحر العلوم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مكتبة الصادق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طهران ، مكتبة الصدوق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المكتبة المرتضوية لإحياء الآثار الجعفرية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المعارف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المعارف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جزءان في مجلّد واحد ، قم ،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حمدي عبدالمجيد السلفي ، الطبعة الثانية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إحياء التراث العربي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w:t>
      </w:r>
    </w:p>
    <w:p>
      <w:pPr>
        <w:pStyle w:val="BookText"/>
        <w:rPr/>
      </w:pP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محمّد حسين دانش الآشتياني والسيّد هاشم الرسولي المحلاّتي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العلاّمة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 الطبعة الثالثة والثلاثون ، بيروت ، دار المشرق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أطراف الحديث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أبو هاجر محمّد السعيد بن بسيوني زغلول ، الطبعة الاُولى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عالم التراث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بن محمّد 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أحمد التراوي ومحمود محمّد الطناحي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إسماعيليان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من كلام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صالح ، انتشارات الهجرة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عبداللّه بن محمّد البُشروي الخراساني المعروف بالفاضل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حسين الرضوي الكشميري ، الطبعة الاُولى ، قم ، مجمع الفكر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571" w:name="pg12132_128398"/>
    </w:p>
    <w:p>
      <w:pPr>
        <w:pStyle w:val="Heading3"/>
        <w:numPr>
          <w:ilvl w:val="2"/>
          <w:numId w:val="1"/>
        </w:numPr>
        <w:rPr/>
      </w:pPr>
      <w:bookmarkStart w:id="572" w:name="__RefHeading___Toc3352944_417432637"/>
      <w:bookmarkStart w:id="573" w:name="_Toc193"/>
      <w:bookmarkEnd w:id="571"/>
      <w:bookmarkEnd w:id="572"/>
      <w:r>
        <w:rPr/>
        <w:t>7</w:t>
      </w:r>
      <w:r>
        <w:rPr>
          <w:rtl w:val="true"/>
        </w:rPr>
        <w:t xml:space="preserve"> - </w:t>
      </w:r>
      <w:r>
        <w:rPr>
          <w:rtl w:val="true"/>
        </w:rPr>
        <w:t>فهرس الموضوعات</w:t>
      </w:r>
      <w:bookmarkEnd w:id="573"/>
    </w:p>
    <w:p>
      <w:pPr>
        <w:pStyle w:val="BookText"/>
        <w:rPr/>
      </w:pPr>
      <w:r>
        <w:rPr>
          <w:rFonts w:ascii="Amiri" w:hAnsi="Amiri" w:eastAsia="Amiri" w:cs="Amiri"/>
          <w:color w:val="111111"/>
          <w:sz w:val="28"/>
          <w:sz w:val="28"/>
          <w:szCs w:val="28"/>
          <w:rtl w:val="true"/>
          <w:lang w:bidi="ar-SA"/>
        </w:rPr>
        <w:t>بدائع الدرر في قاعدة نفي الضرر</w:t>
      </w:r>
    </w:p>
    <w:p>
      <w:pPr>
        <w:pStyle w:val="BookText"/>
        <w:rPr/>
      </w:pPr>
      <w:r>
        <w:rPr>
          <w:rFonts w:ascii="Amiri" w:hAnsi="Amiri" w:eastAsia="Amiri" w:cs="Amiri"/>
          <w:color w:val="111111"/>
          <w:sz w:val="28"/>
          <w:sz w:val="28"/>
          <w:szCs w:val="28"/>
          <w:rtl w:val="true"/>
          <w:lang w:bidi="ar-SA"/>
        </w:rPr>
        <w:t xml:space="preserve">وفيها مقدّمة وفصول وتنبيهات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الأحاديث المربوطة بالمقام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القضايا ومستقلاًّ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الإشكالات الواردة على وروده في ذيل الشفعة ومنع فضول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تأييد عدم وروده في ذيل القضيّتين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مفردات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الفرق بين الضرر والضرار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مفاد الجملة التركيبية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تحليل نظرية الشيخ الأنصاري ومحتملات كلامه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في محتملات كلام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الإشكالات المشتركة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الإشكالات الغير المشتركة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الاحتمال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المذهب المختار في معنى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نتيجة ما أصّلناه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المختار وآراء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على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جواب بعض الأعاظم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مناقشة الجواب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القاعدة على أدلّة الأحكام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تحمّل الضرر وفيما إذا اُكره على الإضرار بالغير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التصرّف في ملكه موجباً لتضرّر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الأولى في ترتيب مباحث الاُصول أن يبحثوا عن القطع بقسميه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التفصيلي والإجمالي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 ويدرجوا فيه بعض مباحث الاشتغال والتخيير ممّا كان الحكم معلوماً إجمالاً بالعلم القطعي ، ثمّ يردفوه بمبحث الظنّ والأمارات ، سواء كانت الأمارة تفصيلية أو إجمالية ، ويدرجوا فيه سائر مباحث الاشتغال والتخيير ، ويدرجوا بحث التعادل والتراجيح في ذيل حجّية الخبر الواحد ، ثمّ يردفوه ببحث الاستصحاب ، ثمّ مبحث البراءة ؛ حتّى يكون ترتيب المباحث حسب ترتيب حالات المكلّف ؛ فإنّه إمّا قاطع بالحكم إجمالاً أو تفصيلاً ، أو ظانّ بظنّ معتبر تفصيلاً أو إجمالاً ، أو شاكّ وقامت حجّة على الحكم الواقعي أو لا ، فالأوّل مبحث القطع بقسميه ، والثاني مبحث الظنّ والطرق بقسميها من التفصيلي والإجمالي ، ومبحث التعادل مناسب لمبحث الظنّ ، والثالث مبحث الاستصحاب ؛ فإنّه حجّة على الحكم الواقعي من غير أن يكون طريقاً ، والرابع مبحث البراءة ، والأمر سهل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من بعض أهل التحقيق ؛ حيث زعم رفع الإشكال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الموصول لم يستعمل إلاّ في معناه الكلّي العامّ ، وأنّ إفادة الخصوصيات إنّما هي بتوسيط دالّ آخر خارجي ، وكذا في تعلّق الفعل بالموصول ؛ حيث لا يكون إلاّ نحو تعلّق واحد ، والتعدّد بالتحليل إلى نحو التعلّق بالمفعول به والمفعول المطلق لا يقتضي تعدّده بالنسبة إلى الجامع ؛ أي الموصول ، غاية الأمر يحتاج إلى تعدّد الدالّ والمدلولأ ، انتهى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كلامه هذا مع عدم رجوعه إلى محصّل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أنّ تعلّق البعث بالبعث بنحو المفعول به لا معنى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لازمه الجمع بين الاعتبارين المتنافيين ؛ فإنّ حاصل المصدر في رتبة متأخّرة عن المصدر ، والمفعول به في الاعتبار مقدّم على المصدر ؛ لأ نّه إضافة إليه ، فيلزم ممّا ذكره اعتبار المتأخّر في الاعتبار متقدّماً بالاعتبار في حال كونه متأخّراً ، فتدبّر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منع كون حديث الرفع إنشاء ، بل هو إخبار عن الواقع الثابت وهو رفع اللّه‌تعالى هذه التسعة منّةً على هذه الاُمّة ، وليس رسول اللّه صلى‌الله‌عليه‌و‌آله‌وسلم مشرّعاً حتّى يحمل إخباره على الإنشاء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الموصول في تمام الفقرات مستعمل في معناه ، وكذا الصلات ، ولا يكون شيء منها مستعملاً في المصاديق الخارجية ، والاختلاف بينها إنّما هو في تطبيق العناوين على الخارجيات ، وهو غير مربوط بمقام الاستعمال ووحدة السياق ، وكثيراً ما يقع هذا الخلط ؛ أي بين المستعمل فيه وما ينطبق عليه ، كما في باب الإطلاق ؛ حيث توهّم إفادة العموم لأجل الخلط بين الدلالة وانطباق المدلول على الخارج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الدعوى الاُولى محتاج إليها بلحاظ الآثار الغير الشرعية ، فلا بدّ من دعوى كون غير الآثار الشرعية في حكم العدم ، ثمّ ادّعي الدعوى الثانية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إلى أنّ الرفع الادّعائي لا مانع من تعلّقه بالعدم ، والمصحّح له هو عدم ترتّب الآثار عليه ، كما أنّ الرفع لم يتعلّق بالوجوديات حقيقةً ، بل ادّعاءً بلحاظ الآثار ، فكذا في جانب العدم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ذكر غير تامّ ؛ لأنّ النسيان إذا تعلّق بالموضوع ولم يكن الحكم منسيّاً ، لا ترتفع جزئية الجزء للمركّب ؛ لعدم نسيانها ، فلا بدّ من التسليم بمصداق واجد للجزء حتّى ينطبق عليه عنوان المأمور به ، ولا معنى لرفع الجزء والشرط من مصداق المأمور به ، ومع رفعهما فرضاً لا يكون مصداقاً للمأمور به ما لم يدلّ دليل على رفع الجزئية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الركوع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رفع الشرائط خلاف الامتنان في حقّ المكلّف ؛ لأنّ لازمه اقتضاء الوضع الذي هو التكليف بالوفاء بالفاقدأ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باختصاص مجرى الرفع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اُكرهوا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بباب المعاملات بالمعنى الأخصّ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بعكس عنوان الاضطرار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يجري في التكليفيات ؛ لصدق الإكراه بمجرّد التوعّد اليسير ، ولا يمكن الالتزام بجواز ارتكاب المحرّم لأجله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صدر الموثَّقةأ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كونها رواية مستقلّة كما هو ظاهر بعضهمأ ، وأمّا لو كانت صدر رواية مسعدة ابن صدقة ففي دلالتها إشكال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يستدلّ به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في سعة ما لا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إذ لو كان الاحتياط واجباً لما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عليه‌السلامعن رجلين أصابا صيداً ، وهما محرمان ، الجزاء بينهما ؟ أو على كلّ واحد منهما جزاء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 بل عليهما أن يجزي كلّ واحد منهما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بعض أصحابنا سألني عن ذلك ، فلم أدر ما عليه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أصبتم مثل هذا فلم تدروا فعليكم بالاحتياط حتّى تسألوا عنه فتعلموا</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كتب إلى العبد الصالح عليه‌السلام يسأله عن وقت المغرب والإفطار ؟ فكتب إليه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لك أن تنتظر حتّى تذهب الحمرة ، وتأخذ بالحائطة لدينك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كمقبولة عمر بن حنظلة عن أبي عبداللّه عليه‌السلام في حديث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الاُمور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بيّن رشده فيتّبع ، وأمر بيّن غيّه فيجتنب ، وأمر مشكل يردّ علمه إلى اللّه</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رجعنا عنه في الدورة اللاحقة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الطهارة ، الإمام الخميني قدس‌سره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درر الفوائد ، والظاهر أ نّه استفاده قدس‌سره من مجلس بحثه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عدلنا عمّا هاهنا من اشتمال جميع القضايا على النسبة ، وفصّلنا بين القضايا ، وحقّقنا حالها بما لا مزيد عليه في بحث أوضاع الحروفأ ، وفي العامّ والخاصّ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موضوع الأثر المرأة حال الوجود ، ويكفي في الاستصحاب كون الموضوع ذا أثر في زمان الشكّ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في شرح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والأواني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مكان المصلّي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تفاوت يسير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أوامر الاحتياط تعلّقت بعنوانه ، ولا يمكن التعدّي منه إلى ما ينطبق عليه خارجاً ، ولهذا يكون الاحتياط في الواجب بنحو ، وفي المحرّم بنحوٍ آخر ، فلو كان مرجع الأمر به إلى التعلّق بذات العمل يلزم أن يكون الأمر بالاحتياط أمراً ونهياً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المزار وما يناسبه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عدلنا عنه في باب الأوامر ، فراجعأ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حكم عرفي ولو كان النهي طلب الترك ، كما قلنا في غير المقامأ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حقّقنا حقيقة الواجب التخييري بحيث لا يلزم محذور منه عقلاً ، فراجعأ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 نّه على فرض صحّته لا يلزم عدم الواجب التخييري ؛ لإمكان كون كلّ من الطرفين واجداً لملاك تامّ ، لكن يكون لإيجابهما محذور ملاكي أو خطابي ، أو كانت مصلحة التسهيل أوجبت الإيجاب تخييراً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رجعنا عنه بما هو الحقّأ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يكون مراده تقسيم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ظاهره هو تقسيم التخيير وإن جعل المقسم الواجب التخييري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التحقيق عدم التقي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يد أصلاً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هنا مطلب آخر ، وهو أ نّه بناءً على أنّ الواجب هو الجامع يكون الخطاب المتعلّق بالمصداق إرشادياً ، لا مولوياً ، ومع الشكّ في التعيّن والتخيير يشكّ في إرشادية الطلب ومولويته ، فلا يكون حجّة على المكلّف بالنسبة إلى الخصوصية حتّى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الاشتغال اليقيني بها يقتضي البراءة اليقينية ، فلا حجّة للمولى بالنسبة إليها ، فالقاعدة تقتضي البراءة ، وكون الأمر ظاهراً في المولوية خلاف مفروض البحث العقلي المناسب للمقام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فيه ما تقدّم بالنسبة إلى سائر احتمالات الواجب التخييري ، ولا جدوى في تكراره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غاية ما يمكن أن يقال في تقرير الاشتغال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في علم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أفاده بعض المحقّقين في وجه عدم جريان الاُصول عقليةً وشرعيةً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الترخيص الظاهري بمناط عدم البيان إنّما هو في طرف سقوط العلم الإجمالي عن التأثير ، والمسقط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حكم العقل بمناط الاضطرار ، فلا يبقى مجال لجريان البراءة العقلية والشرعية ؛ نظراً إلى حصول الترخيص حينئذٍ في الرتبة السابقة عن جريانها بحكم العقل بالتخيير بين الفعل والتركأ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ما ذكره يختصّ دليل أصالة الإباحة بمورد الدوران بين المحذورين ؛ لبطلان جعل الترخيص في طرف الفعل في مورد الشبهة الوجوبية ، وفي طرف الترك في مورد الشبهة التحريمية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دليل على أصالة الإباحة بالمعنى الذي ذكره ، بل مفاد الأدلّة أصالة الحلّ ، وهي مختصّة بالشبهات التحريمية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تفصيل المطلب في ورقة على حدة ، ورجعنا عمّا في الكتاب إلى ما هو التحقيق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تفاوت يسير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سهو القلم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الورقة العلى حِدة ما هو التحقيق في المقام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والقائلون باستهجان الخطاب ولو بنحو العموم لا محيص لهم إلاّ الالتزام بأنّ الخطاباتوالأحكام الوضعية أيضاً مختصّة بما هو محلّ الابتلاء ؛ لأنّ جعل الحكم الوضعي إن كان تبعاً للتكليف فواضح ، ومع عدم التبعية فالجعل إنّما هو بلحاظ الأثر ، ولهذا لا يمكن جعل ما ليس له أثر مطلقاً ، فجعل النجاسة للخمر والبول للآثار المترتّبة عليهما ، كالشرب ، والصلاة فيه ، وأمثال ذلك ، والفرض أنّ الآثار مع عدم كون الموضوع محلّ الابتلاء ، لا يجوز أن يترتّب عليها ، فلا بدّ من القول بأنّ النجاسة والحلّية وغيرهما من الوضعيات من الاُمور النسبية بلحاظ المكلّفين ، فالخمر والبول نجسان بالنسبة إلى من كان مبتلى بهما دون غيرهما ، ولا أظنّ التزامهم بذلك ؛ للزوم الاختلال في الفقه ، والدليل العقلي غير قابل للتخصيص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وجهاً آخر لعدم جريان الاُصول في بعض الأطرافأ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الاستدلال على المطلوب بطوائف من الروايات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ولكنّ الحقّ هو التفصيل الذي اختاره المحقّق الخراساني رحمه‌اللهأ ؛ فإنّ شرط منجّزية العلم الإجمالي هو أن يكون كاشفاً فعلياً ومنجّزاً فعلياً على جميع التقادير ، ومع تعلّق العلم بالملاقي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والطرف يكون العلم كاشفاً فعلياً عن التكليف بينهما ومنجّزاً فعلياً على جميع التقادير ، فإذا حصل العلم بأنّ نجاسة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الملاقى ، يحدث علم إجمالي ، لكنّه لا يمكن أن يتّصف بالكاشفية الفعلية ولا بالمنجّزية الفعلية على جميع التقادير ؛ فإنّه على تقدير كون النجس هو الطرف يكون مكشوفاً فعلياً بالعلم الأوّل ومنجّزاً فعلياً به ، ولا يعقل تعلّق كشف فوق الكشف ، ولا تنجيز فوق التنجيز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وتوهّم انقلاب العلم والتنظير بالعلم بوقوع القطرة في غير محلّه ؛ لأنّ العلم الأوّل باقٍ على ما هو عليه بالضرورة ، بخلافه في المثال المتقدّم ؛ لأ نّه إذا علم بعد العلم بوقوع قطرة في إحدى الكؤوس أ نّه وقعت قطرة قبل القطرة المعلومة أوّلاً في إحدى الكأسين يعلم بأنّ علمه بالتكليف على أيّ تقدير كان جهلاً مركّباً ؛ لأنّ القطرة إذا كانت واقعة فيما وقعت فيه القطرة قبلاً لم تحدث تكليفاً ، فالعلم الثاني يكشف عن بطلان العلم الأوّل ، بخلاف ما نحن فيه ؛ فإنّ العلم الأوّل باقٍ على ما هو عليه ، ومانع عن وقوع كشف وتنجيز بالنسبة إلى التكليف ثانياً لو كان في الطرف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وهاهنا إشكال آخر أوردناه في باب الأصل السببي والمسبّبي في الاستصحاب ، فراجعأ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 أفاده قدس‌سره في مجلس بحثه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في الجواب عن الإشكال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تسليم كون الأصل المسبّبي لا يجري مع السببي ، والإغماض عمّا أوردنا عليه في الاستصحابأ ، وبعد تسليم وجود الدليل على قاعدة الحلّ في كلّ مشتبه ، والإغماض عمّا أوردنا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 الإغماض عن أنّ أصالة الحلّ جارية في عرض أصالة الطهارة ، وأنّ تقديم الشكّ السببي على المسبّبي في مثل المقام لا أصل له ؛ لعدم الدليل على أنّ كلّ طاهر 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أصالة الطهارة في الملاقي في الصورة التي تقدّم العلم الإجمالي بنجاسة الملاقى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والطرف غير معارضة لأصالة الحلّ في الطرف ، فلا مانع لجريانها ؛ لأنّ التعارض بين أصل الطهارة فيه وأصل الحلّ في الطرف متقوّم بالعلم الإجمالي المنجّز ؛ حتّى يلزم من جريانهما المخالفة العملية الغير الجائزة ، وفي المقام لا تأثير للعلم الإجمالي الثاني لما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فمخالفة هذا العلم الغير المنجّز لا مانع منها ، فلا يوجب ذلك منع جريان الأصل في أطرافه ، وفي المقام يكون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العلم الغير المنجّز ، فيجري الأصل فيه بلا معارض ، وعدم جواز ارتكاب الطرف للملاقى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للعلم الإجمالي الثاني ، بل للأوّل المنجّز ، فحينئذٍ يجري أصل الطهارة ولا يعارض أصل الحلّ في الطرف ، لكن يعارض أصلُ الحلّ في الطرف أصلَ الحلّ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لكونهما طرفي علم إجمالي منجّز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المضاف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الاشتغال متقوّم بتعلّق العلم الإجمالي بتكليف واحد مقتضٍ للاجتناب عن النجس وملاقيه ، فيكون علم إجمالي واحد متعلّق بتكليف واحد مع هذا الاقتضاء ، ومع التردّد في أنّ الحكم على الأعيان النجسة كذلك أو لا ، لا يمكن تنجيز العلم الإجمالي الأوّل للتكليف مع تلك الخصوصية المشكوك فيها ، والعلم الإجمالي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منجّز كما مرّ سابقاً ، ومع عدم تمامية حجّة المولى وعدم منجّزية العلم الإجمالي للخصوصية تجري البراءة العقلية والشرعية ؛ لعدم المانع في الثانية بعد جريان الاُولى ، فتبصّر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في تقريرات العَلَمين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وجيه جدّاً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لباس المصلّي،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تقريرات المحقّق النائيني 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الفرق بين الأقلّ والأكثر الاستقلاليين والارتباطيين ظاهر ، والفرق بينهما إنّما هو قبل تعلّق التكليف وفي مرتبة الغرض القائم بالموضوع ، فما 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الفرق إنّما هو بوحدة التكليف وكثرتهأ غير وجيه ، إلاّ أن يراد بيان فرق آخر غير مربوط بموضوع الأقلّ والأكثر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الصور في المركّبات الاعتبارية غير مغايرة للأجزاء بالأسر ، بل هي هي ، والاختلاف بينهما بالوحدة والكثرة ، فلا تكون صور المركّبات بالنسبة إلى أجزائها كالمحصَّل والمحصِّل ؛ ضرورة أنّ الأمر لم يتعلّق بأمر خارج من الأجزاء تكون هي محصّلة له ، فالأمر بالعشرة عين الأمر بالوحدات في لحاظ الكثرة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 وهذا لا ينافي ما ذكرنا في مبحث مقدّمة الواجبأ من أنّ كلّ جزء مقدّمة، وهو غير الكلّ ، وفيه مناط المقدّمية ، فلا تغفل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ينبغي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عقد البحث بأنّ الواجب يتردّد بين الأقلّ والأكثر لا يخلو من مسامحة ؛ لأنّ الأمر متعلّق بالصورة الوحدانية ، وفي هذا اللحاظ لا أقلّ ولا أكثر في البين ، وإنّما الدوران في صورة لحاظ الكثرة وباعتبار الانحلال ، والأمر سهل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نسبه المحقّق النائيني قدس‌سره إلى صاحب الحاشية ، والظاهر أنّ هذا الإشكال غير ما ذكره صاحب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ذكرنا في المقام في تقسيم اللا بشرط إلى الأقسام وكيفيته ، إنّما هو موافق لظاهر كلام القوم والمشهور بينهم ، وأمّا التحقيق عندنا فغير ذلك ، وقد ذكرنا نبذة ممّا هو التحقيق في باب المطلق والمقيّدأ ، وبعض موارد اُخر في مباحث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تجد 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العقل لا يحكم إلاّ بالخروج عن العهدة بمقدار الاشتغال ، والغرض إذا لم تقمحجّة عليه لا يحكم العقل بلزوم تحصيله ، ولمّا لم تقم حجّة إلاّ على الأقلّ فلا يحكم العقل إلاّ بإتيانه ، فلو لم يسقط لأجل بقاء الغرض يكون من قِبل قصور المولى ؛ لعدم إقامة الحجّة أو إيجاب الاحتياط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مع فرض الوجوب الغيري للأجزاء فيمكن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الآتي بالأقلّ يمكنه قصد التقرّب ، وما لا يمكن له إنّما هو الجزم بالنيّة ، وهو غير معتبر في العبادات ، ولهذا كان التحقيق صحّة عمل الاحتياط وترك طريقي الاجتهاد والتقليد ، وكما أنّ الجزم بالنيّة غير ميسور مع الإتيان بالأقلّ غير ميسور مع الإتيان بالأكثر أيضاً ؛ للشكّ في أنّ الواجب هو الأقلّ أو الأكثر ، ومعه لا يمكن الجزم بالنيّة ، فقصد القربة ممكن منهما والجزم غير ممكن منهما بلا افتراق بينهما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ذكرنا سابقاً ، لكن عدلنا عنه في باب الإجزاءأ وفي الاجتهاد والتقليد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رسائل ابن سينا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 ذكره هو الدليل على انحلال العلم الإجمالي ؛ لأنّ إطعام الإنسان إذا كان إطعام الحيوان أيضاً لا بدّ وأن يكون عنوان الحيوان منطبقاً عليه ، ومعه يكون الحيوان متيقّناً والزائد مشكوكاً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ومحطّ البحث في المقام هو العلم بتعلّق الأمر بطبيعة ، ولا يكون في محطّ الأمر ومتعلّقه شكّ بين الأقلّ والأكثر ، وإنّما الشكّ في أسبابه ومحصّلاته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تقريرات المحقّق النائيني 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الحال فيما إذا تعلّق الأمر بالمجموع ، فإنّ الاشتغال بهذا العنوان مقتضاه البراءة اليقينية منه ، كما مرّ فيما سلف ، فراجع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 عنوان الكلّ مأخوذاً في الموضوع حتّى يكون الشكّ من قبيل الشكّ في الأداء ، بل يكون بالنسبة إلى المشكوك فيه الشكّ في الاشتغال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عدم رجوع جعل المانع إلى جعل عدمه شرطاًأ ، والسرّ في جريان البراءة هو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لو جعل العدم قيداً فلا محيص من الاشتغال في مثل المقام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القراءة في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تقريرات المحقّق النائيني 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أنّ النسيان إنّما يتعلّق بطبيعة الجزء لا بوجودها الخارجي ، ويصير النسيان للطبيعة منشأً لعدم الإيجاد ، فرفع النسيان يقتضي رفع جميع الآثار بعد إرجاعه إلى رفع ما يكون النسيان منشأً للابتلاء به ؛ إمّا لكونه منسيّاً ، أو لكون النسيان موجباً له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يدفع ما 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غاية ما يقتضي الحديث إنّما هو رفع إبقاء الأمر الفعلي والجزئية الفعلية حال النسيان ، الملازم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بمقتضى الارتباطية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لسقوط التكليف عن البقيّة ما دام النسيان ، وأمّا اقتضاؤه لسقوط المنسيّ عن الجزئية والشرطية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النسيان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لطبيعة الصلاة المأمور بها رأساً ، على نحو يستتبع تحديد دائرة الطبيعة في حال النسيان بالبقيّة ، ويقتضي الأمر بإتيانها ، فلا ؛ بداهة عدم تكفّل الحديث لإثبات الوضع والتكليف ؛ لأنّ شأنه هو الرفع محضاًأ ، انتهى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تصدّى بعض المحقّقين لتصوير الزيادة الحقيقية ، وأوضحه بمقدّمات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أصرّ المحقّق الحائري أعلى اللّه مقامه على هذا التقرير ، كما صرّح به المؤلّف قدس‌سره ، راجع ما تقدّم في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عدم تحقّق المانع فيها ملازم عقلاً لكونها بلا مانع ، نظير استصحاب عدالة زيد لإثبات كونه عادلاً ، فإنّ الظاهر أ نّه مثبت أيضاً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القراءة في الصلاة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المسافر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القراءة في الصلاة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التخلّص عن الإشكال بحمل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زاد في صلاته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زيادة الركعة أو الركن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ادّعى شيخنا ظهورها في الأوّلأ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أقرب إلى فتاوى الأصحاب ، وإن ضعّفناه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أنّ النسخة التي بأيدينا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محمّد بن مسلم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شكّ بعد ما سجد أ نّه لم يركع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استيقن فليلق السجدتين اللتين لا ركعة لهما فيبني على التمام ، وإن كان لم يستيقن إلاّ بعد ما فرغ وانصرف فليقم فليصلّ ركعة وسجدتين ولا تثنى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الركوع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وظنّي أنّ الكليني لم يروِ الرواية تارةً مع الزيادة واُخرى مع النقيصة ، بل رواها مع الزيادة ، ولمّا احتمل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بمعنى الركوع أثبتها في باب سهو الركوع ، ولمّا كان ظاهرها زيادة الركعة أثبتها في السهو في الركعات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القراءة في الصلاة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الكسوف والآيات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القراءة في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رجوعه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في صورة حكومة دليل اعتبارهما يصير المركّب متعذّراً ، فيسقط الأمر به ، وفي صورة عدم الحكومة يكون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لا تترك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محكّماً ، فيجب الإتيان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ما ذكرنا إنّما هو على فرض جريان حديث الرفع في الاضطرار على الترك ، وأمّا على عدمه فلا ، وجريان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لا مانع منه ولا فرق فيه بين الموارد ، لكنّه لا يفيد في المقام على الظاهر ، ويشكل القول بحكومته على دليل الجزء ، ومعأ تعارضه مع دليل المركّب حتّى يبقى دليل المركّب قابلاً للتمسّك به لإثبات وجوب البقيّة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ذكر يتّضح فساد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عدم السقوط عدم سقوطه بما له من الحكم الوجوبي أو الاستحبابى ؛ لظهور الحديث في ثبوت ما ثبت سابقاً بعين ثبوته أوّلاً ، الراجع إلى إبقاء الأمر السابق ، نظير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 اليقين بالشكّ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الشامل للوجوب والاستحباب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المرجع في تعيين الميسور هو العرف كما في جميع الموضوعات ، من غير فرق بين الموضوعات العرفية والشرعية ؛ لأنّ الظاهر أنّ موضوع القاعدة هو نفس الطبائع المأمور بها كما أشرنا إليه ، ولا شبهة في أنّ العرف يشخّص الميسور منها ؛ ضرورة أنّ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طبيعة قد تصدق بنظر العرف على الناقص لشرط أو جزء وقد لا تصدق ، فوضوء ذي الجبيرة وضوء ناقص إذا كانت الجبيرة في بعض العضو ، وإن عمّت جميع الأعضاء وبقي منها جزء كموضوع المسح لا يصدق عليه الوضوء ، وقد يشكّ في الصدق مثل الشكّ في الموضوعات العرفية ، فالتفصيل بين الموضوعات الشرعية والعرفيةأفي غير محلّه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في الجواب عن إشكال أخصّية الدليل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 نّه متّجه لو كان متعلّق العلم الإجمالي مطلقاً ، أو كان مقيّداً بالظفر به على تقدير الفحص ، ولكن كان تقريب العلم الإجمالي هو كونه بمقدار من الأحكام على وجه لو تفحّص ولو في مقدار من المسائل لظفر به ، وأمّا لو كان تقريبه بأ نّا نعلم بمقدار من الأحكام في مجموع المسائل المحرّرة على وجه لو تفحّص في كلّ مسألة تكون مظانّ وجود محتمله لظفر به فلايرد إشكال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تفاوت يسير فيهما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مع قطع النظر عن روايات الباب وملاحظة حكم العقل أنّ حكمه يدور مدار مخالفة الواقع ، وأ نّها مع البيان توجب الاستحقاق وبلا بيان لا توجبه ، ولمّا كان وصول البيان إنّما هو بوروده في الكتاب والسنّة يحكم العقل بلزوم الفحص ، ومع عدمه يحكم باستحقاقه العقاب على الواقع ؛ لعدم كون العقاب عليه بلا بيان ، فلا قبح لترك الفحص بذاته ، ولا نفسية للفحص عند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ظلم على المولى بنفسهأ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القراءة في الصلاة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المسافر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الحاصرتين مقتبس من تهذيب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تتميماً للنقص الحاصل في المخطوطة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يدفع الإشكال بتعدّد الطلب والمطلوب ؛ بتعلّق أمر بالطبيعة الجامعة وأمر آخر بالواجد للخصوصية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الترتّب مع فرض معقوليته غير صحيح في المقام ؛ إذ العصيان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المنوط به الأمر بالإتمام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بترك القصر في تمام الوقت ، والمفروض بقاء الوقت ، ولا يحصل العصيان إلاّ بخروجه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التحقيق أنّ في مثل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الموضوع هو عدم العلم الوجداني حتّى تكون أدلّة الأمارات والاُصول الحاكمة عليه من قبيل المخصّص له ؛ لاستهجان مثله ولو كان بنحو الحكومة ، بل الموضوع هو عدم الحجّة ، فكأ 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ما لا حجّة عليه، ولا إشكال في أنّ الحجّة الموجودة في الكتاب والسنّة حجّة واصلة بحسب المتعارف ، فمع عدم الفحص لا يعلم تحقّق موضوع الأصل ، وهذا واضح لدى التأمّل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الأدلّة لا تصلح لتقييد المطلقات ؛ لظهورها في الإرشاد إلى حكم العقل ، فتكون المطلقات واردة عليها كما وردت على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إمكان دعوى اختصاصها بصورة العلم الإجمالي ، فتكون إرشادية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 نّها قاصرة عن إفادة تمام المطلوب ؛ لأ نّها ظاهرة في الاختصاص بصورة يكون الفحص مؤدّياً إلى العلم بالواقع ، والمطلوب أعمّ من ذلكأ ، انتهى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في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 ، النخلة بحملها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سند الكافي في الصفحة السابقة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عيسى ثقة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مدح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الموجودة عندي ، وفي رواية عبادة بن الصامت الآتية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وقضى بين أهل المدينة في النخل لا يُمنع نقع بئر ، وقضى بين أهل البادية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آخره ، وهي أظهر ، ولا يبعد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 لقربهما في الكتب العربي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حُدّدت الحدود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الشفعة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موانع الإرث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أحمد بن حنبل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22677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وثاقته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الحيوان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ثقة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وما يناسبه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الشفعة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المراسيل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أحمد بن حنبل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22677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 شيخ الشريعة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الشفعة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وجوبه وشرائطه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أعداد الفرائض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وجوب الصوم ونيّته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ما تجب فيه الزكاة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الأغسال المسنونة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نكتة التشريع ليست سلب الضرر عن الشريك فقط ؛ حتّى يقال ما ذكر ، بل هو وسلب الضرر عن صاحب المال ، فإنّه لو جعل الخيار للشريك بفسخ المعاملة بقي ملك صاحب المال الشريك له بلا مشترٍ ، فربما يقع في</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إحياء الموات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لعرق ظالمٍ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يجيء الرجل إلى أرض قد أحياها رجل قبله ، فيغرس فيها غرساً غصباً ليستوجب به الأرض ، والرواية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بالتنوين ، وهو على حذف المضاف ، أي لذي عِرق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وهو أحد عروق الشجرة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22677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 شيخ الشريعة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الشفعة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الإسلامية</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شيخ الشريعة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 شيخ الشريعة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ضرر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أقسام الطلاق وأحكامه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تمتنع عن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أحكام الأولاد ،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أحكام الأولاد ،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أحكام الأولاد ،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أقسام الطلاق وأحكامه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وما يناسبه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في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 شيخ الشريعة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شيخ الشريعة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جلب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الجَلَب في الرهان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يركب فرسه رجلاً ، فإذا قرب من الغاية تبع فرسه فجلب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ليكون هو السابق ، وهو ضرب من الخديعة ، وقيل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يجعل الرجل بجانبه مع فرسه عند الرهان فرساً آخر ، لكي يتحوّل عليه إن خاف أن يُسبق على الأوّل ، وقيل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 الاُخت أو البنت في مقابل الآخر بضعاً ببضع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وأولياء العقد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15919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44417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المناجشة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 الطعام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الإصرار على ترك التزويج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أطراف الحديث النبوي الشريف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شيخ الشريعة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أبواب النذر والعهد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وروح الجنان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أبواب النذر والعهد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وشروطه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وشروطه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وشروطه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الظهار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الظهار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الإيلاء والكفّارات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وأحكام الدعوى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وأحكام الدعوى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وأحكام الدعوى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وأحكام الدعوى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وأحكام الدعوى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وأحكام الدعوى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وأحكام الدعوى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هوائر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مسقط ثمرتها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وما يناسبه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وما يناسبه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المصدر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وما يناسبه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أحمد بن حنبل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22677</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 شيخ الشريعة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أوّل هذه الرسالة مفصّلاً ، فراجع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 بحرالعلوم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أحمد بن حنبل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22677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شيخ الشريعة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وما يناسبه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 شيخ الشريعة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png"/><Relationship Id="rId11" Type="http://schemas.openxmlformats.org/officeDocument/2006/relationships/image" Target="media/image3.pn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image" Target="media/image4.png"/><Relationship Id="rId529" Type="http://schemas.openxmlformats.org/officeDocument/2006/relationships/image" Target="media/image4.png"/><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image" Target="media/image5.png"/><Relationship Id="rId533" Type="http://schemas.openxmlformats.org/officeDocument/2006/relationships/image" Target="media/image5.png"/><Relationship Id="rId534" Type="http://schemas.openxmlformats.org/officeDocument/2006/relationships/footer" Target="footer523.xml"/><Relationship Id="rId535" Type="http://schemas.openxmlformats.org/officeDocument/2006/relationships/image" Target="media/image6.png"/><Relationship Id="rId536" Type="http://schemas.openxmlformats.org/officeDocument/2006/relationships/image" Target="media/image6.png"/><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footer" Target="footer588.xml"/><Relationship Id="rId602" Type="http://schemas.openxmlformats.org/officeDocument/2006/relationships/footer" Target="footer589.xml"/><Relationship Id="rId603" Type="http://schemas.openxmlformats.org/officeDocument/2006/relationships/footer" Target="footer590.xml"/><Relationship Id="rId604" Type="http://schemas.openxmlformats.org/officeDocument/2006/relationships/footer" Target="footer591.xml"/><Relationship Id="rId605" Type="http://schemas.openxmlformats.org/officeDocument/2006/relationships/footer" Target="footer592.xml"/><Relationship Id="rId606" Type="http://schemas.openxmlformats.org/officeDocument/2006/relationships/footer" Target="footer593.xml"/><Relationship Id="rId607" Type="http://schemas.openxmlformats.org/officeDocument/2006/relationships/footer" Target="footer594.xml"/><Relationship Id="rId608" Type="http://schemas.openxmlformats.org/officeDocument/2006/relationships/footer" Target="footer595.xml"/><Relationship Id="rId609" Type="http://schemas.openxmlformats.org/officeDocument/2006/relationships/footer" Target="footer596.xml"/><Relationship Id="rId610" Type="http://schemas.openxmlformats.org/officeDocument/2006/relationships/footer" Target="footer597.xml"/><Relationship Id="rId611" Type="http://schemas.openxmlformats.org/officeDocument/2006/relationships/footer" Target="footer598.xml"/><Relationship Id="rId612" Type="http://schemas.openxmlformats.org/officeDocument/2006/relationships/footer" Target="footer599.xml"/><Relationship Id="rId613" Type="http://schemas.openxmlformats.org/officeDocument/2006/relationships/footer" Target="footer600.xml"/><Relationship Id="rId614" Type="http://schemas.openxmlformats.org/officeDocument/2006/relationships/footer" Target="footer601.xml"/><Relationship Id="rId615" Type="http://schemas.openxmlformats.org/officeDocument/2006/relationships/footer" Target="footer602.xml"/><Relationship Id="rId616" Type="http://schemas.openxmlformats.org/officeDocument/2006/relationships/footer" Target="footer603.xml"/><Relationship Id="rId617" Type="http://schemas.openxmlformats.org/officeDocument/2006/relationships/footer" Target="footer604.xml"/><Relationship Id="rId618" Type="http://schemas.openxmlformats.org/officeDocument/2006/relationships/footer" Target="footer605.xml"/><Relationship Id="rId619" Type="http://schemas.openxmlformats.org/officeDocument/2006/relationships/footer" Target="footer606.xml"/><Relationship Id="rId620" Type="http://schemas.openxmlformats.org/officeDocument/2006/relationships/footer" Target="footer607.xml"/><Relationship Id="rId621" Type="http://schemas.openxmlformats.org/officeDocument/2006/relationships/footer" Target="footer608.xml"/><Relationship Id="rId622" Type="http://schemas.openxmlformats.org/officeDocument/2006/relationships/footer" Target="footer609.xml"/><Relationship Id="rId623" Type="http://schemas.openxmlformats.org/officeDocument/2006/relationships/footer" Target="footer610.xml"/><Relationship Id="rId624" Type="http://schemas.openxmlformats.org/officeDocument/2006/relationships/footer" Target="footer611.xml"/><Relationship Id="rId625" Type="http://schemas.openxmlformats.org/officeDocument/2006/relationships/footer" Target="footer612.xml"/><Relationship Id="rId626" Type="http://schemas.openxmlformats.org/officeDocument/2006/relationships/footer" Target="footer613.xml"/><Relationship Id="rId627" Type="http://schemas.openxmlformats.org/officeDocument/2006/relationships/footer" Target="footer614.xml"/><Relationship Id="rId628" Type="http://schemas.openxmlformats.org/officeDocument/2006/relationships/footer" Target="footer615.xml"/><Relationship Id="rId629" Type="http://schemas.openxmlformats.org/officeDocument/2006/relationships/footer" Target="footer616.xml"/><Relationship Id="rId630" Type="http://schemas.openxmlformats.org/officeDocument/2006/relationships/footer" Target="footer617.xml"/><Relationship Id="rId631" Type="http://schemas.openxmlformats.org/officeDocument/2006/relationships/footer" Target="footer618.xml"/><Relationship Id="rId632" Type="http://schemas.openxmlformats.org/officeDocument/2006/relationships/footer" Target="footer619.xml"/><Relationship Id="rId633" Type="http://schemas.openxmlformats.org/officeDocument/2006/relationships/footer" Target="footer620.xml"/><Relationship Id="rId634" Type="http://schemas.openxmlformats.org/officeDocument/2006/relationships/footer" Target="footer621.xml"/><Relationship Id="rId635" Type="http://schemas.openxmlformats.org/officeDocument/2006/relationships/footer" Target="footer622.xml"/><Relationship Id="rId636" Type="http://schemas.openxmlformats.org/officeDocument/2006/relationships/footer" Target="footer623.xml"/><Relationship Id="rId637" Type="http://schemas.openxmlformats.org/officeDocument/2006/relationships/footer" Target="footer624.xml"/><Relationship Id="rId638" Type="http://schemas.openxmlformats.org/officeDocument/2006/relationships/footer" Target="footer625.xml"/><Relationship Id="rId639" Type="http://schemas.openxmlformats.org/officeDocument/2006/relationships/footer" Target="footer626.xml"/><Relationship Id="rId640" Type="http://schemas.openxmlformats.org/officeDocument/2006/relationships/footer" Target="footer627.xml"/><Relationship Id="rId641" Type="http://schemas.openxmlformats.org/officeDocument/2006/relationships/footer" Target="footer628.xml"/><Relationship Id="rId642" Type="http://schemas.openxmlformats.org/officeDocument/2006/relationships/footer" Target="footer629.xml"/><Relationship Id="rId643" Type="http://schemas.openxmlformats.org/officeDocument/2006/relationships/footer" Target="footer630.xml"/><Relationship Id="rId644" Type="http://schemas.openxmlformats.org/officeDocument/2006/relationships/footer" Target="footer631.xml"/><Relationship Id="rId645" Type="http://schemas.openxmlformats.org/officeDocument/2006/relationships/footer" Target="footer632.xml"/><Relationship Id="rId646" Type="http://schemas.openxmlformats.org/officeDocument/2006/relationships/footer" Target="footer633.xml"/><Relationship Id="rId647" Type="http://schemas.openxmlformats.org/officeDocument/2006/relationships/footer" Target="footer634.xml"/><Relationship Id="rId648" Type="http://schemas.openxmlformats.org/officeDocument/2006/relationships/footer" Target="footer635.xml"/><Relationship Id="rId649" Type="http://schemas.openxmlformats.org/officeDocument/2006/relationships/footer" Target="footer636.xml"/><Relationship Id="rId650" Type="http://schemas.openxmlformats.org/officeDocument/2006/relationships/footer" Target="footer637.xml"/><Relationship Id="rId651" Type="http://schemas.openxmlformats.org/officeDocument/2006/relationships/footer" Target="footer638.xml"/><Relationship Id="rId652" Type="http://schemas.openxmlformats.org/officeDocument/2006/relationships/footer" Target="footer639.xml"/><Relationship Id="rId653" Type="http://schemas.openxmlformats.org/officeDocument/2006/relationships/footer" Target="footer640.xml"/><Relationship Id="rId654" Type="http://schemas.openxmlformats.org/officeDocument/2006/relationships/footer" Target="footer641.xml"/><Relationship Id="rId655" Type="http://schemas.openxmlformats.org/officeDocument/2006/relationships/footer" Target="footer642.xml"/><Relationship Id="rId656" Type="http://schemas.openxmlformats.org/officeDocument/2006/relationships/footer" Target="footer643.xml"/><Relationship Id="rId657" Type="http://schemas.openxmlformats.org/officeDocument/2006/relationships/footer" Target="footer644.xml"/><Relationship Id="rId658" Type="http://schemas.openxmlformats.org/officeDocument/2006/relationships/footer" Target="footer645.xml"/><Relationship Id="rId659" Type="http://schemas.openxmlformats.org/officeDocument/2006/relationships/footer" Target="footer646.xml"/><Relationship Id="rId660" Type="http://schemas.openxmlformats.org/officeDocument/2006/relationships/footer" Target="footer647.xml"/><Relationship Id="rId661" Type="http://schemas.openxmlformats.org/officeDocument/2006/relationships/footer" Target="footer648.xml"/><Relationship Id="rId662" Type="http://schemas.openxmlformats.org/officeDocument/2006/relationships/footer" Target="footer649.xml"/><Relationship Id="rId663" Type="http://schemas.openxmlformats.org/officeDocument/2006/relationships/footer" Target="footer650.xml"/><Relationship Id="rId664" Type="http://schemas.openxmlformats.org/officeDocument/2006/relationships/footer" Target="footer651.xml"/><Relationship Id="rId665" Type="http://schemas.openxmlformats.org/officeDocument/2006/relationships/footer" Target="footer652.xml"/><Relationship Id="rId666" Type="http://schemas.openxmlformats.org/officeDocument/2006/relationships/footer" Target="footer653.xml"/><Relationship Id="rId667" Type="http://schemas.openxmlformats.org/officeDocument/2006/relationships/footer" Target="footer654.xml"/><Relationship Id="rId668" Type="http://schemas.openxmlformats.org/officeDocument/2006/relationships/footer" Target="footer655.xml"/><Relationship Id="rId669" Type="http://schemas.openxmlformats.org/officeDocument/2006/relationships/footer" Target="footer656.xml"/><Relationship Id="rId670" Type="http://schemas.openxmlformats.org/officeDocument/2006/relationships/image" Target="media/image2.jpeg"/><Relationship Id="rId671" Type="http://schemas.openxmlformats.org/officeDocument/2006/relationships/image" Target="media/image2.jpeg"/><Relationship Id="rId672" Type="http://schemas.openxmlformats.org/officeDocument/2006/relationships/footer" Target="footer657.xml"/><Relationship Id="rId673" Type="http://schemas.openxmlformats.org/officeDocument/2006/relationships/footnotes" Target="footnotes.xml"/><Relationship Id="rId674" Type="http://schemas.openxmlformats.org/officeDocument/2006/relationships/numbering" Target="numbering.xml"/><Relationship Id="rId675" Type="http://schemas.openxmlformats.org/officeDocument/2006/relationships/fontTable" Target="fontTable.xml"/><Relationship Id="rId676" Type="http://schemas.openxmlformats.org/officeDocument/2006/relationships/settings" Target="settings.xml"/><Relationship Id="rId6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695</Pages>
  <Words>95988</Words>
  <Characters>379101</Characters>
  <CharactersWithSpaces>472152</CharactersWithSpaces>
  <Paragraphs>3384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2026-08-23T09:59:28Z</dcterms:created>
  <dc:creator>ghaemiyeh.com</dc:creator>
  <dc:description/>
  <dc:language>en-US</dc:language>
  <cp:lastModifiedBy/>
  <dcterms:modified xsi:type="dcterms:W3CDTF">2026-08-23T13:29:43Z</dcterms:modified>
  <cp:revision>1</cp:revision>
  <dc:subject/>
  <dc:title>موسوعة الامام الخمینی قدس سرة الشریف المجلد 3 و 4 انوار الهدایة فی التعلیقة علی الکفایة جلد 2</dc:title>
</cp:coreProperties>
</file>

<file path=docProps/custom.xml><?xml version="1.0" encoding="utf-8"?>
<Properties xmlns="http://schemas.openxmlformats.org/officeDocument/2006/custom-properties" xmlns:vt="http://schemas.openxmlformats.org/officeDocument/2006/docPropsVTypes"/>
</file>