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23789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723791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723793_73709187">
            <w:r>
              <w:rPr>
                <w:webHidden/>
                <w:rStyle w:val="IndexLink"/>
                <w:rtl w:val="true"/>
              </w:rPr>
              <w:t>تتمة باب الرابع وإزالة الشعر من غير ضرورة</w:t>
            </w:r>
            <w:r>
              <w:rPr>
                <w:rStyle w:val="IndexLink"/>
                <w:rtl w:val="true"/>
              </w:rPr>
              <w:t>.</w:t>
              <w:tab/>
            </w:r>
            <w:r>
              <w:rPr>
                <w:rStyle w:val="IndexLink"/>
              </w:rPr>
              <w:t>11</w:t>
            </w:r>
          </w:hyperlink>
        </w:p>
        <w:p>
          <w:pPr>
            <w:pStyle w:val="Contents3"/>
            <w:tabs>
              <w:tab w:val="clear" w:pos="8459"/>
              <w:tab w:val="right" w:pos="9026" w:leader="dot"/>
            </w:tabs>
            <w:rPr/>
          </w:pPr>
          <w:hyperlink w:anchor="__RefHeading___Toc10723795_73709187">
            <w:r>
              <w:rPr>
                <w:webHidden/>
                <w:rStyle w:val="IndexLink"/>
                <w:rtl w:val="true"/>
              </w:rPr>
              <w:t>حرمة إزالة الشعر على المُحرِم</w:t>
            </w:r>
            <w:r>
              <w:rPr>
                <w:rStyle w:val="IndexLink"/>
                <w:rtl w:val="true"/>
              </w:rPr>
              <w:tab/>
            </w:r>
            <w:r>
              <w:rPr>
                <w:rStyle w:val="IndexLink"/>
              </w:rPr>
              <w:t>11</w:t>
            </w:r>
          </w:hyperlink>
        </w:p>
        <w:p>
          <w:pPr>
            <w:pStyle w:val="Contents3"/>
            <w:tabs>
              <w:tab w:val="clear" w:pos="8459"/>
              <w:tab w:val="right" w:pos="9026" w:leader="dot"/>
            </w:tabs>
            <w:rPr/>
          </w:pPr>
          <w:hyperlink w:anchor="__RefHeading___Toc10723797_73709187">
            <w:r>
              <w:rPr>
                <w:webHidden/>
                <w:rStyle w:val="IndexLink"/>
                <w:rtl w:val="true"/>
              </w:rPr>
              <w:t>جواز إزالة الشعر للمُحرِم عند الضرورة</w:t>
            </w:r>
            <w:r>
              <w:rPr>
                <w:rStyle w:val="IndexLink"/>
                <w:rtl w:val="true"/>
              </w:rPr>
              <w:tab/>
            </w:r>
            <w:r>
              <w:rPr>
                <w:rStyle w:val="IndexLink"/>
              </w:rPr>
              <w:t>14</w:t>
            </w:r>
          </w:hyperlink>
        </w:p>
        <w:p>
          <w:pPr>
            <w:pStyle w:val="Contents3"/>
            <w:tabs>
              <w:tab w:val="clear" w:pos="8459"/>
              <w:tab w:val="right" w:pos="9026" w:leader="dot"/>
            </w:tabs>
            <w:rPr/>
          </w:pPr>
          <w:hyperlink w:anchor="__RefHeading___Toc10723799_73709187">
            <w:r>
              <w:rPr>
                <w:webHidden/>
                <w:rStyle w:val="IndexLink"/>
                <w:rtl w:val="true"/>
              </w:rPr>
              <w:t>استعمال الدُّهن</w:t>
            </w:r>
            <w:r>
              <w:rPr>
                <w:rStyle w:val="IndexLink"/>
                <w:rtl w:val="true"/>
              </w:rPr>
              <w:tab/>
            </w:r>
            <w:r>
              <w:rPr>
                <w:rStyle w:val="IndexLink"/>
              </w:rPr>
              <w:t>17</w:t>
            </w:r>
          </w:hyperlink>
        </w:p>
        <w:p>
          <w:pPr>
            <w:pStyle w:val="Contents3"/>
            <w:tabs>
              <w:tab w:val="clear" w:pos="8459"/>
              <w:tab w:val="right" w:pos="9026" w:leader="dot"/>
            </w:tabs>
            <w:rPr/>
          </w:pPr>
          <w:hyperlink w:anchor="__RefHeading___Toc10723801_73709187">
            <w:r>
              <w:rPr>
                <w:webHidden/>
                <w:rStyle w:val="IndexLink"/>
                <w:rtl w:val="true"/>
              </w:rPr>
              <w:t>حرمة تغطية الرأس على المُحرِم</w:t>
            </w:r>
            <w:r>
              <w:rPr>
                <w:rStyle w:val="IndexLink"/>
                <w:rtl w:val="true"/>
              </w:rPr>
              <w:tab/>
            </w:r>
            <w:r>
              <w:rPr>
                <w:rStyle w:val="IndexLink"/>
              </w:rPr>
              <w:t>17</w:t>
            </w:r>
          </w:hyperlink>
        </w:p>
        <w:p>
          <w:pPr>
            <w:pStyle w:val="Contents3"/>
            <w:tabs>
              <w:tab w:val="clear" w:pos="8459"/>
              <w:tab w:val="right" w:pos="9026" w:leader="dot"/>
            </w:tabs>
            <w:rPr/>
          </w:pPr>
          <w:hyperlink w:anchor="__RefHeading___Toc10723803_73709187">
            <w:r>
              <w:rPr>
                <w:webHidden/>
                <w:rStyle w:val="IndexLink"/>
                <w:rtl w:val="true"/>
              </w:rPr>
              <w:t>الستر باليد</w:t>
            </w:r>
            <w:r>
              <w:rPr>
                <w:rStyle w:val="IndexLink"/>
                <w:rtl w:val="true"/>
              </w:rPr>
              <w:tab/>
            </w:r>
            <w:r>
              <w:rPr>
                <w:rStyle w:val="IndexLink"/>
              </w:rPr>
              <w:t>21</w:t>
            </w:r>
          </w:hyperlink>
        </w:p>
        <w:p>
          <w:pPr>
            <w:pStyle w:val="Contents3"/>
            <w:tabs>
              <w:tab w:val="clear" w:pos="8459"/>
              <w:tab w:val="right" w:pos="9026" w:leader="dot"/>
            </w:tabs>
            <w:rPr/>
          </w:pPr>
          <w:hyperlink w:anchor="__RefHeading___Toc10723805_73709187">
            <w:r>
              <w:rPr>
                <w:webHidden/>
                <w:rStyle w:val="IndexLink"/>
                <w:rtl w:val="true"/>
              </w:rPr>
              <w:t>المستثنيات</w:t>
            </w:r>
            <w:r>
              <w:rPr>
                <w:rStyle w:val="IndexLink"/>
                <w:rtl w:val="true"/>
              </w:rPr>
              <w:tab/>
            </w:r>
            <w:r>
              <w:rPr>
                <w:rStyle w:val="IndexLink"/>
              </w:rPr>
              <w:t>25</w:t>
            </w:r>
          </w:hyperlink>
        </w:p>
        <w:p>
          <w:pPr>
            <w:pStyle w:val="Contents3"/>
            <w:tabs>
              <w:tab w:val="clear" w:pos="8459"/>
              <w:tab w:val="right" w:pos="9026" w:leader="dot"/>
            </w:tabs>
            <w:rPr/>
          </w:pPr>
          <w:hyperlink w:anchor="__RefHeading___Toc10723807_73709187">
            <w:r>
              <w:rPr>
                <w:webHidden/>
                <w:rStyle w:val="IndexLink"/>
                <w:rtl w:val="true"/>
              </w:rPr>
              <w:t>تغطية المُحرِم وجهه</w:t>
            </w:r>
            <w:r>
              <w:rPr>
                <w:rStyle w:val="IndexLink"/>
                <w:rtl w:val="true"/>
              </w:rPr>
              <w:tab/>
            </w:r>
            <w:r>
              <w:rPr>
                <w:rStyle w:val="IndexLink"/>
              </w:rPr>
              <w:t>27</w:t>
            </w:r>
          </w:hyperlink>
        </w:p>
        <w:p>
          <w:pPr>
            <w:pStyle w:val="Contents3"/>
            <w:tabs>
              <w:tab w:val="clear" w:pos="8459"/>
              <w:tab w:val="right" w:pos="9026" w:leader="dot"/>
            </w:tabs>
            <w:rPr/>
          </w:pPr>
          <w:hyperlink w:anchor="__RefHeading___Toc10723809_73709187">
            <w:r>
              <w:rPr>
                <w:webHidden/>
                <w:rStyle w:val="IndexLink"/>
                <w:rtl w:val="true"/>
              </w:rPr>
              <w:t>ارتماس المُحرِم في الماء</w:t>
            </w:r>
            <w:r>
              <w:rPr>
                <w:rStyle w:val="IndexLink"/>
                <w:rtl w:val="true"/>
              </w:rPr>
              <w:tab/>
            </w:r>
            <w:r>
              <w:rPr>
                <w:rStyle w:val="IndexLink"/>
              </w:rPr>
              <w:t>29</w:t>
            </w:r>
          </w:hyperlink>
        </w:p>
        <w:p>
          <w:pPr>
            <w:pStyle w:val="Contents3"/>
            <w:tabs>
              <w:tab w:val="clear" w:pos="8459"/>
              <w:tab w:val="right" w:pos="9026" w:leader="dot"/>
            </w:tabs>
            <w:rPr/>
          </w:pPr>
          <w:hyperlink w:anchor="__RefHeading___Toc10723811_73709187">
            <w:r>
              <w:rPr>
                <w:webHidden/>
                <w:rStyle w:val="IndexLink"/>
                <w:rtl w:val="true"/>
              </w:rPr>
              <w:t>حرمة التظليل على المُحرِم سائراً</w:t>
            </w:r>
            <w:r>
              <w:rPr>
                <w:rStyle w:val="IndexLink"/>
                <w:rtl w:val="true"/>
              </w:rPr>
              <w:tab/>
            </w:r>
            <w:r>
              <w:rPr>
                <w:rStyle w:val="IndexLink"/>
              </w:rPr>
              <w:t>32</w:t>
            </w:r>
          </w:hyperlink>
        </w:p>
        <w:p>
          <w:pPr>
            <w:pStyle w:val="Contents3"/>
            <w:tabs>
              <w:tab w:val="clear" w:pos="8459"/>
              <w:tab w:val="right" w:pos="9026" w:leader="dot"/>
            </w:tabs>
            <w:rPr/>
          </w:pPr>
          <w:hyperlink w:anchor="__RefHeading___Toc10723813_73709187">
            <w:r>
              <w:rPr>
                <w:webHidden/>
                <w:rStyle w:val="IndexLink"/>
                <w:rtl w:val="true"/>
              </w:rPr>
              <w:t>التظليل في حال النزول والوقوف</w:t>
            </w:r>
            <w:r>
              <w:rPr>
                <w:rStyle w:val="IndexLink"/>
                <w:rtl w:val="true"/>
              </w:rPr>
              <w:tab/>
            </w:r>
            <w:r>
              <w:rPr>
                <w:rStyle w:val="IndexLink"/>
              </w:rPr>
              <w:t>39</w:t>
            </w:r>
          </w:hyperlink>
        </w:p>
        <w:p>
          <w:pPr>
            <w:pStyle w:val="Contents3"/>
            <w:tabs>
              <w:tab w:val="clear" w:pos="8459"/>
              <w:tab w:val="right" w:pos="9026" w:leader="dot"/>
            </w:tabs>
            <w:rPr/>
          </w:pPr>
          <w:hyperlink w:anchor="__RefHeading___Toc10723815_73709187">
            <w:r>
              <w:rPr>
                <w:webHidden/>
                <w:rStyle w:val="IndexLink"/>
                <w:rtl w:val="true"/>
              </w:rPr>
              <w:t>اختصاص حرمة التظليل بحال الركوب</w:t>
            </w:r>
            <w:r>
              <w:rPr>
                <w:rStyle w:val="IndexLink"/>
                <w:rtl w:val="true"/>
              </w:rPr>
              <w:tab/>
            </w:r>
            <w:r>
              <w:rPr>
                <w:rStyle w:val="IndexLink"/>
              </w:rPr>
              <w:t>40</w:t>
            </w:r>
          </w:hyperlink>
        </w:p>
        <w:p>
          <w:pPr>
            <w:pStyle w:val="Contents3"/>
            <w:tabs>
              <w:tab w:val="clear" w:pos="8459"/>
              <w:tab w:val="right" w:pos="9026" w:leader="dot"/>
            </w:tabs>
            <w:rPr/>
          </w:pPr>
          <w:hyperlink w:anchor="__RefHeading___Toc10723817_73709187">
            <w:r>
              <w:rPr>
                <w:webHidden/>
                <w:rStyle w:val="IndexLink"/>
                <w:rtl w:val="true"/>
              </w:rPr>
              <w:t>التظليل بما لا يكون فوق الرأس</w:t>
            </w:r>
            <w:r>
              <w:rPr>
                <w:rStyle w:val="IndexLink"/>
                <w:rtl w:val="true"/>
              </w:rPr>
              <w:tab/>
            </w:r>
            <w:r>
              <w:rPr>
                <w:rStyle w:val="IndexLink"/>
              </w:rPr>
              <w:t>42</w:t>
            </w:r>
          </w:hyperlink>
        </w:p>
        <w:p>
          <w:pPr>
            <w:pStyle w:val="Contents3"/>
            <w:tabs>
              <w:tab w:val="clear" w:pos="8459"/>
              <w:tab w:val="right" w:pos="9026" w:leader="dot"/>
            </w:tabs>
            <w:rPr/>
          </w:pPr>
          <w:hyperlink w:anchor="__RefHeading___Toc10723819_73709187">
            <w:r>
              <w:rPr>
                <w:webHidden/>
                <w:rStyle w:val="IndexLink"/>
                <w:rtl w:val="true"/>
              </w:rPr>
              <w:t>حرمة التظليل ولو لم تكن الشمس موجودة</w:t>
            </w:r>
            <w:r>
              <w:rPr>
                <w:rStyle w:val="IndexLink"/>
                <w:rtl w:val="true"/>
              </w:rPr>
              <w:tab/>
            </w:r>
            <w:r>
              <w:rPr>
                <w:rStyle w:val="IndexLink"/>
              </w:rPr>
              <w:t>46</w:t>
            </w:r>
          </w:hyperlink>
        </w:p>
        <w:p>
          <w:pPr>
            <w:pStyle w:val="Contents3"/>
            <w:tabs>
              <w:tab w:val="clear" w:pos="8459"/>
              <w:tab w:val="right" w:pos="9026" w:leader="dot"/>
            </w:tabs>
            <w:rPr/>
          </w:pPr>
          <w:hyperlink w:anchor="__RefHeading___Toc10723821_73709187">
            <w:r>
              <w:rPr>
                <w:webHidden/>
                <w:rStyle w:val="IndexLink"/>
                <w:rtl w:val="true"/>
              </w:rPr>
              <w:t>جواز تظليل النساء والصبيان</w:t>
            </w:r>
            <w:r>
              <w:rPr>
                <w:rStyle w:val="IndexLink"/>
                <w:rtl w:val="true"/>
              </w:rPr>
              <w:tab/>
            </w:r>
            <w:r>
              <w:rPr>
                <w:rStyle w:val="IndexLink"/>
              </w:rPr>
              <w:t>49</w:t>
            </w:r>
          </w:hyperlink>
        </w:p>
        <w:p>
          <w:pPr>
            <w:pStyle w:val="Contents3"/>
            <w:tabs>
              <w:tab w:val="clear" w:pos="8459"/>
              <w:tab w:val="right" w:pos="9026" w:leader="dot"/>
            </w:tabs>
            <w:rPr/>
          </w:pPr>
          <w:hyperlink w:anchor="__RefHeading___Toc10723823_73709187">
            <w:r>
              <w:rPr>
                <w:webHidden/>
                <w:rStyle w:val="IndexLink"/>
                <w:rtl w:val="true"/>
              </w:rPr>
              <w:t>التظليل في حال الضرورة</w:t>
            </w:r>
            <w:r>
              <w:rPr>
                <w:rStyle w:val="IndexLink"/>
                <w:rtl w:val="true"/>
              </w:rPr>
              <w:tab/>
            </w:r>
            <w:r>
              <w:rPr>
                <w:rStyle w:val="IndexLink"/>
              </w:rPr>
              <w:t>51</w:t>
            </w:r>
          </w:hyperlink>
        </w:p>
        <w:p>
          <w:pPr>
            <w:pStyle w:val="Contents3"/>
            <w:tabs>
              <w:tab w:val="clear" w:pos="8459"/>
              <w:tab w:val="right" w:pos="9026" w:leader="dot"/>
            </w:tabs>
            <w:rPr/>
          </w:pPr>
          <w:hyperlink w:anchor="__RefHeading___Toc10723825_73709187">
            <w:r>
              <w:rPr>
                <w:webHidden/>
                <w:rStyle w:val="IndexLink"/>
                <w:rtl w:val="true"/>
              </w:rPr>
              <w:t>الاضطرار إلى التظليل من أوّل الإحرام</w:t>
            </w:r>
            <w:r>
              <w:rPr>
                <w:rStyle w:val="IndexLink"/>
                <w:rtl w:val="true"/>
              </w:rPr>
              <w:tab/>
            </w:r>
            <w:r>
              <w:rPr>
                <w:rStyle w:val="IndexLink"/>
              </w:rPr>
              <w:t>54</w:t>
            </w:r>
          </w:hyperlink>
        </w:p>
        <w:p>
          <w:pPr>
            <w:pStyle w:val="Contents3"/>
            <w:tabs>
              <w:tab w:val="clear" w:pos="8459"/>
              <w:tab w:val="right" w:pos="9026" w:leader="dot"/>
            </w:tabs>
            <w:rPr/>
          </w:pPr>
          <w:hyperlink w:anchor="__RefHeading___Toc10723827_73709187">
            <w:r>
              <w:rPr>
                <w:webHidden/>
                <w:rStyle w:val="IndexLink"/>
                <w:rtl w:val="true"/>
              </w:rPr>
              <w:t>قصَّ الأظفار</w:t>
            </w:r>
            <w:r>
              <w:rPr>
                <w:rStyle w:val="IndexLink"/>
                <w:rtl w:val="true"/>
              </w:rPr>
              <w:tab/>
            </w:r>
            <w:r>
              <w:rPr>
                <w:rStyle w:val="IndexLink"/>
              </w:rPr>
              <w:t>56</w:t>
            </w:r>
          </w:hyperlink>
        </w:p>
        <w:p>
          <w:pPr>
            <w:pStyle w:val="Contents3"/>
            <w:tabs>
              <w:tab w:val="clear" w:pos="8459"/>
              <w:tab w:val="right" w:pos="9026" w:leader="dot"/>
            </w:tabs>
            <w:rPr/>
          </w:pPr>
          <w:hyperlink w:anchor="__RefHeading___Toc10723829_73709187">
            <w:r>
              <w:rPr>
                <w:webHidden/>
                <w:rStyle w:val="IndexLink"/>
                <w:rtl w:val="true"/>
              </w:rPr>
              <w:t>قطع الشجر</w:t>
            </w:r>
            <w:r>
              <w:rPr>
                <w:rStyle w:val="IndexLink"/>
                <w:rtl w:val="true"/>
              </w:rPr>
              <w:tab/>
            </w:r>
            <w:r>
              <w:rPr>
                <w:rStyle w:val="IndexLink"/>
              </w:rPr>
              <w:t>58</w:t>
            </w:r>
          </w:hyperlink>
        </w:p>
        <w:p>
          <w:pPr>
            <w:pStyle w:val="Contents3"/>
            <w:tabs>
              <w:tab w:val="clear" w:pos="8459"/>
              <w:tab w:val="right" w:pos="9026" w:leader="dot"/>
            </w:tabs>
            <w:rPr/>
          </w:pPr>
          <w:hyperlink w:anchor="__RefHeading___Toc10723831_73709187">
            <w:r>
              <w:rPr>
                <w:webHidden/>
                <w:rStyle w:val="IndexLink"/>
                <w:rtl w:val="true"/>
              </w:rPr>
              <w:t>وجوب إعادة المقطوع من الشَّجر</w:t>
            </w:r>
            <w:r>
              <w:rPr>
                <w:rStyle w:val="IndexLink"/>
                <w:rtl w:val="true"/>
              </w:rPr>
              <w:tab/>
            </w:r>
            <w:r>
              <w:rPr>
                <w:rStyle w:val="IndexLink"/>
              </w:rPr>
              <w:t>64</w:t>
            </w:r>
          </w:hyperlink>
        </w:p>
        <w:p>
          <w:pPr>
            <w:pStyle w:val="Contents3"/>
            <w:tabs>
              <w:tab w:val="clear" w:pos="8459"/>
              <w:tab w:val="right" w:pos="9026" w:leader="dot"/>
            </w:tabs>
            <w:rPr/>
          </w:pPr>
          <w:hyperlink w:anchor="__RefHeading___Toc10723833_73709187">
            <w:r>
              <w:rPr>
                <w:webHidden/>
                <w:rStyle w:val="IndexLink"/>
                <w:rtl w:val="true"/>
              </w:rPr>
              <w:t>ما يجوز قطعه في الحرم</w:t>
            </w:r>
            <w:r>
              <w:rPr>
                <w:rStyle w:val="IndexLink"/>
                <w:rtl w:val="true"/>
              </w:rPr>
              <w:tab/>
            </w:r>
            <w:r>
              <w:rPr>
                <w:rStyle w:val="IndexLink"/>
              </w:rPr>
              <w:t>66</w:t>
            </w:r>
          </w:hyperlink>
        </w:p>
        <w:p>
          <w:pPr>
            <w:pStyle w:val="Contents3"/>
            <w:tabs>
              <w:tab w:val="clear" w:pos="8459"/>
              <w:tab w:val="right" w:pos="9026" w:leader="dot"/>
            </w:tabs>
            <w:rPr/>
          </w:pPr>
          <w:hyperlink w:anchor="__RefHeading___Toc10723835_73709187">
            <w:r>
              <w:rPr>
                <w:webHidden/>
                <w:rStyle w:val="IndexLink"/>
                <w:rtl w:val="true"/>
              </w:rPr>
              <w:t>حكم أشجار الفاكهة والنخل والإذخر</w:t>
            </w:r>
            <w:r>
              <w:rPr>
                <w:rStyle w:val="IndexLink"/>
                <w:rtl w:val="true"/>
              </w:rPr>
              <w:tab/>
            </w:r>
            <w:r>
              <w:rPr>
                <w:rStyle w:val="IndexLink"/>
              </w:rPr>
              <w:t>68</w:t>
            </w:r>
          </w:hyperlink>
        </w:p>
        <w:p>
          <w:pPr>
            <w:pStyle w:val="Contents3"/>
            <w:tabs>
              <w:tab w:val="clear" w:pos="8459"/>
              <w:tab w:val="right" w:pos="9026" w:leader="dot"/>
            </w:tabs>
            <w:rPr/>
          </w:pPr>
          <w:hyperlink w:anchor="__RefHeading___Toc10723837_73709187">
            <w:r>
              <w:rPr>
                <w:webHidden/>
                <w:rStyle w:val="IndexLink"/>
                <w:rtl w:val="true"/>
              </w:rPr>
              <w:t>جواز ترك المُحرِم إبله تَرعى في حشيش الحَرَم</w:t>
            </w:r>
            <w:r>
              <w:rPr>
                <w:rStyle w:val="IndexLink"/>
                <w:rtl w:val="true"/>
              </w:rPr>
              <w:tab/>
            </w:r>
            <w:r>
              <w:rPr>
                <w:rStyle w:val="IndexLink"/>
              </w:rPr>
              <w:t>71</w:t>
            </w:r>
          </w:hyperlink>
        </w:p>
        <w:p>
          <w:pPr>
            <w:pStyle w:val="Contents3"/>
            <w:tabs>
              <w:tab w:val="clear" w:pos="8459"/>
              <w:tab w:val="right" w:pos="9026" w:leader="dot"/>
            </w:tabs>
            <w:rPr/>
          </w:pPr>
          <w:hyperlink w:anchor="__RefHeading___Toc10723839_73709187">
            <w:r>
              <w:rPr>
                <w:webHidden/>
                <w:rStyle w:val="IndexLink"/>
                <w:rtl w:val="true"/>
              </w:rPr>
              <w:t>جواز تصرف الإنسان فيما أنبته</w:t>
            </w:r>
            <w:r>
              <w:rPr>
                <w:rStyle w:val="IndexLink"/>
                <w:rtl w:val="true"/>
              </w:rPr>
              <w:tab/>
            </w:r>
            <w:r>
              <w:rPr>
                <w:rStyle w:val="IndexLink"/>
              </w:rPr>
              <w:t>73</w:t>
            </w:r>
          </w:hyperlink>
        </w:p>
        <w:p>
          <w:pPr>
            <w:pStyle w:val="Contents3"/>
            <w:tabs>
              <w:tab w:val="clear" w:pos="8459"/>
              <w:tab w:val="right" w:pos="9026" w:leader="dot"/>
            </w:tabs>
            <w:rPr/>
          </w:pPr>
          <w:hyperlink w:anchor="__RefHeading___Toc10723841_73709187">
            <w:r>
              <w:rPr>
                <w:webHidden/>
                <w:rStyle w:val="IndexLink"/>
                <w:rtl w:val="true"/>
              </w:rPr>
              <w:t>تذييلٌ حول تصرّف الإنسان فيما أنبته</w:t>
            </w:r>
            <w:r>
              <w:rPr>
                <w:rStyle w:val="IndexLink"/>
                <w:rtl w:val="true"/>
              </w:rPr>
              <w:tab/>
            </w:r>
            <w:r>
              <w:rPr>
                <w:rStyle w:val="IndexLink"/>
              </w:rPr>
              <w:t>77</w:t>
            </w:r>
          </w:hyperlink>
        </w:p>
        <w:p>
          <w:pPr>
            <w:pStyle w:val="Contents3"/>
            <w:tabs>
              <w:tab w:val="clear" w:pos="8459"/>
              <w:tab w:val="right" w:pos="9026" w:leader="dot"/>
            </w:tabs>
            <w:rPr/>
          </w:pPr>
          <w:hyperlink w:anchor="__RefHeading___Toc10723843_73709187">
            <w:r>
              <w:rPr>
                <w:webHidden/>
                <w:rStyle w:val="IndexLink"/>
                <w:rtl w:val="true"/>
              </w:rPr>
              <w:t>مكروهات الإحرام</w:t>
            </w:r>
            <w:r>
              <w:rPr>
                <w:rStyle w:val="IndexLink"/>
                <w:rtl w:val="true"/>
              </w:rPr>
              <w:tab/>
            </w:r>
            <w:r>
              <w:rPr>
                <w:rStyle w:val="IndexLink"/>
              </w:rPr>
              <w:t>79</w:t>
            </w:r>
          </w:hyperlink>
        </w:p>
        <w:p>
          <w:pPr>
            <w:pStyle w:val="Contents3"/>
            <w:tabs>
              <w:tab w:val="clear" w:pos="8459"/>
              <w:tab w:val="right" w:pos="9026" w:leader="dot"/>
            </w:tabs>
            <w:rPr/>
          </w:pPr>
          <w:hyperlink w:anchor="__RefHeading___Toc10723845_73709187">
            <w:r>
              <w:rPr>
                <w:webHidden/>
                <w:rStyle w:val="IndexLink"/>
                <w:rtl w:val="true"/>
              </w:rPr>
              <w:t>النظر في المرآة</w:t>
            </w:r>
            <w:r>
              <w:rPr>
                <w:rStyle w:val="IndexLink"/>
                <w:rtl w:val="true"/>
              </w:rPr>
              <w:tab/>
            </w:r>
            <w:r>
              <w:rPr>
                <w:rStyle w:val="IndexLink"/>
              </w:rPr>
              <w:t>83</w:t>
            </w:r>
          </w:hyperlink>
        </w:p>
        <w:p>
          <w:pPr>
            <w:pStyle w:val="Contents3"/>
            <w:tabs>
              <w:tab w:val="clear" w:pos="8459"/>
              <w:tab w:val="right" w:pos="9026" w:leader="dot"/>
            </w:tabs>
            <w:rPr/>
          </w:pPr>
          <w:hyperlink w:anchor="__RefHeading___Toc10723847_73709187">
            <w:r>
              <w:rPr>
                <w:webHidden/>
                <w:rStyle w:val="IndexLink"/>
                <w:rtl w:val="true"/>
              </w:rPr>
              <w:t>لبس الخاتم للزِّينة</w:t>
            </w:r>
            <w:r>
              <w:rPr>
                <w:rStyle w:val="IndexLink"/>
                <w:rtl w:val="true"/>
              </w:rPr>
              <w:tab/>
            </w:r>
            <w:r>
              <w:rPr>
                <w:rStyle w:val="IndexLink"/>
              </w:rPr>
              <w:t>86</w:t>
            </w:r>
          </w:hyperlink>
        </w:p>
        <w:p>
          <w:pPr>
            <w:pStyle w:val="Contents3"/>
            <w:tabs>
              <w:tab w:val="clear" w:pos="8459"/>
              <w:tab w:val="right" w:pos="9026" w:leader="dot"/>
            </w:tabs>
            <w:rPr/>
          </w:pPr>
          <w:hyperlink w:anchor="__RefHeading___Toc10723849_73709187">
            <w:r>
              <w:rPr>
                <w:webHidden/>
                <w:rStyle w:val="IndexLink"/>
                <w:rtl w:val="true"/>
              </w:rPr>
              <w:t>لبس المرأة الحُليّ للزِّينة</w:t>
            </w:r>
            <w:r>
              <w:rPr>
                <w:rStyle w:val="IndexLink"/>
                <w:rtl w:val="true"/>
              </w:rPr>
              <w:tab/>
            </w:r>
            <w:r>
              <w:rPr>
                <w:rStyle w:val="IndexLink"/>
              </w:rPr>
              <w:t>89</w:t>
            </w:r>
          </w:hyperlink>
        </w:p>
        <w:p>
          <w:pPr>
            <w:pStyle w:val="Contents3"/>
            <w:tabs>
              <w:tab w:val="clear" w:pos="8459"/>
              <w:tab w:val="right" w:pos="9026" w:leader="dot"/>
            </w:tabs>
            <w:rPr/>
          </w:pPr>
          <w:hyperlink w:anchor="__RefHeading___Toc10723851_73709187">
            <w:r>
              <w:rPr>
                <w:webHidden/>
                <w:rStyle w:val="IndexLink"/>
                <w:rtl w:val="true"/>
              </w:rPr>
              <w:t>كراهة الحجامة</w:t>
            </w:r>
            <w:r>
              <w:rPr>
                <w:rStyle w:val="IndexLink"/>
                <w:rtl w:val="true"/>
              </w:rPr>
              <w:tab/>
            </w:r>
            <w:r>
              <w:rPr>
                <w:rStyle w:val="IndexLink"/>
              </w:rPr>
              <w:t>93</w:t>
            </w:r>
          </w:hyperlink>
        </w:p>
        <w:p>
          <w:pPr>
            <w:pStyle w:val="Contents3"/>
            <w:tabs>
              <w:tab w:val="clear" w:pos="8459"/>
              <w:tab w:val="right" w:pos="9026" w:leader="dot"/>
            </w:tabs>
            <w:rPr/>
          </w:pPr>
          <w:hyperlink w:anchor="__RefHeading___Toc10723853_73709187">
            <w:r>
              <w:rPr>
                <w:webHidden/>
                <w:rStyle w:val="IndexLink"/>
                <w:rtl w:val="true"/>
              </w:rPr>
              <w:t>حَكّ الجَسد المفضيّ إلى ادمائة</w:t>
            </w:r>
            <w:r>
              <w:rPr>
                <w:rStyle w:val="IndexLink"/>
                <w:rtl w:val="true"/>
              </w:rPr>
              <w:tab/>
            </w:r>
            <w:r>
              <w:rPr>
                <w:rStyle w:val="IndexLink"/>
              </w:rPr>
              <w:t>96</w:t>
            </w:r>
          </w:hyperlink>
        </w:p>
        <w:p>
          <w:pPr>
            <w:pStyle w:val="Contents3"/>
            <w:tabs>
              <w:tab w:val="clear" w:pos="8459"/>
              <w:tab w:val="right" w:pos="9026" w:leader="dot"/>
            </w:tabs>
            <w:rPr/>
          </w:pPr>
          <w:hyperlink w:anchor="__RefHeading___Toc10723855_73709187">
            <w:r>
              <w:rPr>
                <w:webHidden/>
                <w:rStyle w:val="IndexLink"/>
                <w:rtl w:val="true"/>
              </w:rPr>
              <w:t>السّواك المُفضي إلى الإدماء</w:t>
            </w:r>
            <w:r>
              <w:rPr>
                <w:rStyle w:val="IndexLink"/>
                <w:rtl w:val="true"/>
              </w:rPr>
              <w:tab/>
            </w:r>
            <w:r>
              <w:rPr>
                <w:rStyle w:val="IndexLink"/>
              </w:rPr>
              <w:t>98</w:t>
            </w:r>
          </w:hyperlink>
        </w:p>
        <w:p>
          <w:pPr>
            <w:pStyle w:val="Contents3"/>
            <w:tabs>
              <w:tab w:val="clear" w:pos="8459"/>
              <w:tab w:val="right" w:pos="9026" w:leader="dot"/>
            </w:tabs>
            <w:rPr/>
          </w:pPr>
          <w:hyperlink w:anchor="__RefHeading___Toc10723857_73709187">
            <w:r>
              <w:rPr>
                <w:webHidden/>
                <w:rStyle w:val="IndexLink"/>
                <w:rtl w:val="true"/>
              </w:rPr>
              <w:t>لبس السّلاح اختياراً</w:t>
            </w:r>
            <w:r>
              <w:rPr>
                <w:rStyle w:val="IndexLink"/>
                <w:rtl w:val="true"/>
              </w:rPr>
              <w:tab/>
            </w:r>
            <w:r>
              <w:rPr>
                <w:rStyle w:val="IndexLink"/>
              </w:rPr>
              <w:t>101</w:t>
            </w:r>
          </w:hyperlink>
        </w:p>
        <w:p>
          <w:pPr>
            <w:pStyle w:val="Contents3"/>
            <w:tabs>
              <w:tab w:val="clear" w:pos="8459"/>
              <w:tab w:val="right" w:pos="9026" w:leader="dot"/>
            </w:tabs>
            <w:rPr/>
          </w:pPr>
          <w:hyperlink w:anchor="__RefHeading___Toc10723859_73709187">
            <w:r>
              <w:rPr>
                <w:webHidden/>
                <w:rStyle w:val="IndexLink"/>
                <w:rtl w:val="true"/>
              </w:rPr>
              <w:t>النقاب للمرأة</w:t>
            </w:r>
            <w:r>
              <w:rPr>
                <w:rStyle w:val="IndexLink"/>
                <w:rtl w:val="true"/>
              </w:rPr>
              <w:tab/>
            </w:r>
            <w:r>
              <w:rPr>
                <w:rStyle w:val="IndexLink"/>
              </w:rPr>
              <w:t>105</w:t>
            </w:r>
          </w:hyperlink>
        </w:p>
        <w:p>
          <w:pPr>
            <w:pStyle w:val="Contents3"/>
            <w:tabs>
              <w:tab w:val="clear" w:pos="8459"/>
              <w:tab w:val="right" w:pos="9026" w:leader="dot"/>
            </w:tabs>
            <w:rPr/>
          </w:pPr>
          <w:hyperlink w:anchor="__RefHeading___Toc10723861_73709187">
            <w:r>
              <w:rPr>
                <w:webHidden/>
                <w:rStyle w:val="IndexLink"/>
                <w:rtl w:val="true"/>
              </w:rPr>
              <w:t>بقيّة مكروهات الإحرام</w:t>
            </w:r>
            <w:r>
              <w:rPr>
                <w:rStyle w:val="IndexLink"/>
                <w:rtl w:val="true"/>
              </w:rPr>
              <w:tab/>
            </w:r>
            <w:r>
              <w:rPr>
                <w:rStyle w:val="IndexLink"/>
              </w:rPr>
              <w:t>113</w:t>
            </w:r>
          </w:hyperlink>
        </w:p>
        <w:p>
          <w:pPr>
            <w:pStyle w:val="Contents3"/>
            <w:tabs>
              <w:tab w:val="clear" w:pos="8459"/>
              <w:tab w:val="right" w:pos="9026" w:leader="dot"/>
            </w:tabs>
            <w:rPr/>
          </w:pPr>
          <w:hyperlink w:anchor="__RefHeading___Toc10723863_73709187">
            <w:r>
              <w:rPr>
                <w:webHidden/>
                <w:rStyle w:val="IndexLink"/>
                <w:rtl w:val="true"/>
              </w:rPr>
              <w:t>استعمال الحناء للزِّينة</w:t>
            </w:r>
            <w:r>
              <w:rPr>
                <w:rStyle w:val="IndexLink"/>
                <w:rtl w:val="true"/>
              </w:rPr>
              <w:tab/>
            </w:r>
            <w:r>
              <w:rPr>
                <w:rStyle w:val="IndexLink"/>
              </w:rPr>
              <w:t>113</w:t>
            </w:r>
          </w:hyperlink>
        </w:p>
        <w:p>
          <w:pPr>
            <w:pStyle w:val="Contents2"/>
            <w:tabs>
              <w:tab w:val="clear" w:pos="8743"/>
              <w:tab w:val="right" w:pos="9026" w:leader="dot"/>
            </w:tabs>
            <w:rPr/>
          </w:pPr>
          <w:hyperlink w:anchor="__RefHeading___Toc10723865_73709187">
            <w:r>
              <w:rPr>
                <w:webHidden/>
                <w:rStyle w:val="IndexLink"/>
                <w:rtl w:val="true"/>
              </w:rPr>
              <w:t>الباب الخامس في كفّارات الإحرام</w:t>
            </w:r>
            <w:r>
              <w:rPr>
                <w:rStyle w:val="IndexLink"/>
                <w:rtl w:val="true"/>
              </w:rPr>
              <w:tab/>
            </w:r>
            <w:r>
              <w:rPr>
                <w:rStyle w:val="IndexLink"/>
              </w:rPr>
              <w:t>118</w:t>
            </w:r>
          </w:hyperlink>
        </w:p>
        <w:p>
          <w:pPr>
            <w:pStyle w:val="Contents3"/>
            <w:tabs>
              <w:tab w:val="clear" w:pos="8459"/>
              <w:tab w:val="right" w:pos="9026" w:leader="dot"/>
            </w:tabs>
            <w:rPr/>
          </w:pPr>
          <w:hyperlink w:anchor="__RefHeading___Toc10723867_73709187">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10723869_73709187">
            <w:r>
              <w:rPr>
                <w:webHidden/>
                <w:rStyle w:val="IndexLink"/>
                <w:rtl w:val="true"/>
              </w:rPr>
              <w:t>كفّارة قتل النعامة</w:t>
            </w:r>
            <w:r>
              <w:rPr>
                <w:rStyle w:val="IndexLink"/>
                <w:rtl w:val="true"/>
              </w:rPr>
              <w:tab/>
            </w:r>
            <w:r>
              <w:rPr>
                <w:rStyle w:val="IndexLink"/>
              </w:rPr>
              <w:t>119</w:t>
            </w:r>
          </w:hyperlink>
        </w:p>
        <w:p>
          <w:pPr>
            <w:pStyle w:val="Contents3"/>
            <w:tabs>
              <w:tab w:val="clear" w:pos="8459"/>
              <w:tab w:val="right" w:pos="9026" w:leader="dot"/>
            </w:tabs>
            <w:rPr/>
          </w:pPr>
          <w:hyperlink w:anchor="__RefHeading___Toc10723871_73709187">
            <w:r>
              <w:rPr>
                <w:webHidden/>
                <w:rStyle w:val="IndexLink"/>
                <w:rtl w:val="true"/>
              </w:rPr>
              <w:t>تنبيهان</w:t>
            </w:r>
            <w:r>
              <w:rPr>
                <w:rStyle w:val="IndexLink"/>
                <w:rtl w:val="true"/>
              </w:rPr>
              <w:t>:</w:t>
              <w:tab/>
            </w:r>
            <w:r>
              <w:rPr>
                <w:rStyle w:val="IndexLink"/>
              </w:rPr>
              <w:t>124</w:t>
            </w:r>
          </w:hyperlink>
        </w:p>
        <w:p>
          <w:pPr>
            <w:pStyle w:val="Contents3"/>
            <w:tabs>
              <w:tab w:val="clear" w:pos="8459"/>
              <w:tab w:val="right" w:pos="9026" w:leader="dot"/>
            </w:tabs>
            <w:rPr/>
          </w:pPr>
          <w:hyperlink w:anchor="__RefHeading___Toc10723873_73709187">
            <w:r>
              <w:rPr>
                <w:webHidden/>
                <w:rStyle w:val="IndexLink"/>
                <w:rtl w:val="true"/>
              </w:rPr>
              <w:t>حكم العاجز عن دفع البدنة</w:t>
            </w:r>
            <w:r>
              <w:rPr>
                <w:rStyle w:val="IndexLink"/>
                <w:rtl w:val="true"/>
              </w:rPr>
              <w:tab/>
            </w:r>
            <w:r>
              <w:rPr>
                <w:rStyle w:val="IndexLink"/>
              </w:rPr>
              <w:t>126</w:t>
            </w:r>
          </w:hyperlink>
        </w:p>
        <w:p>
          <w:pPr>
            <w:pStyle w:val="Contents3"/>
            <w:tabs>
              <w:tab w:val="clear" w:pos="8459"/>
              <w:tab w:val="right" w:pos="9026" w:leader="dot"/>
            </w:tabs>
            <w:rPr/>
          </w:pPr>
          <w:hyperlink w:anchor="__RefHeading___Toc10723875_73709187">
            <w:r>
              <w:rPr>
                <w:webHidden/>
                <w:rStyle w:val="IndexLink"/>
                <w:rtl w:val="true"/>
              </w:rPr>
              <w:t>تذييل</w:t>
            </w:r>
            <w:r>
              <w:rPr>
                <w:rStyle w:val="IndexLink"/>
                <w:rtl w:val="true"/>
              </w:rPr>
              <w:tab/>
            </w:r>
            <w:r>
              <w:rPr>
                <w:rStyle w:val="IndexLink"/>
              </w:rPr>
              <w:t>131</w:t>
            </w:r>
          </w:hyperlink>
        </w:p>
        <w:p>
          <w:pPr>
            <w:pStyle w:val="Contents3"/>
            <w:tabs>
              <w:tab w:val="clear" w:pos="8459"/>
              <w:tab w:val="right" w:pos="9026" w:leader="dot"/>
            </w:tabs>
            <w:rPr/>
          </w:pPr>
          <w:hyperlink w:anchor="__RefHeading___Toc10723877_73709187">
            <w:r>
              <w:rPr>
                <w:webHidden/>
                <w:rStyle w:val="IndexLink"/>
                <w:rtl w:val="true"/>
              </w:rPr>
              <w:t>العجز عن إطعام الستّين</w:t>
            </w:r>
            <w:r>
              <w:rPr>
                <w:rStyle w:val="IndexLink"/>
                <w:rtl w:val="true"/>
              </w:rPr>
              <w:tab/>
            </w:r>
            <w:r>
              <w:rPr>
                <w:rStyle w:val="IndexLink"/>
              </w:rPr>
              <w:t>136</w:t>
            </w:r>
          </w:hyperlink>
        </w:p>
        <w:p>
          <w:pPr>
            <w:pStyle w:val="Contents3"/>
            <w:tabs>
              <w:tab w:val="clear" w:pos="8459"/>
              <w:tab w:val="right" w:pos="9026" w:leader="dot"/>
            </w:tabs>
            <w:rPr/>
          </w:pPr>
          <w:hyperlink w:anchor="__RefHeading___Toc10723879_73709187">
            <w:r>
              <w:rPr>
                <w:webHidden/>
                <w:rStyle w:val="IndexLink"/>
                <w:rtl w:val="true"/>
              </w:rPr>
              <w:t>العجز عن صوم الستّين</w:t>
            </w:r>
            <w:r>
              <w:rPr>
                <w:rStyle w:val="IndexLink"/>
                <w:rtl w:val="true"/>
              </w:rPr>
              <w:tab/>
            </w:r>
            <w:r>
              <w:rPr>
                <w:rStyle w:val="IndexLink"/>
              </w:rPr>
              <w:t>139</w:t>
            </w:r>
          </w:hyperlink>
        </w:p>
        <w:p>
          <w:pPr>
            <w:pStyle w:val="Contents3"/>
            <w:tabs>
              <w:tab w:val="clear" w:pos="8459"/>
              <w:tab w:val="right" w:pos="9026" w:leader="dot"/>
            </w:tabs>
            <w:rPr/>
          </w:pPr>
          <w:hyperlink w:anchor="__RefHeading___Toc10723881_73709187">
            <w:r>
              <w:rPr>
                <w:webHidden/>
                <w:rStyle w:val="IndexLink"/>
                <w:rtl w:val="true"/>
              </w:rPr>
              <w:t>كفّارة فرخ النعامة</w:t>
            </w:r>
            <w:r>
              <w:rPr>
                <w:rStyle w:val="IndexLink"/>
                <w:rtl w:val="true"/>
              </w:rPr>
              <w:tab/>
            </w:r>
            <w:r>
              <w:rPr>
                <w:rStyle w:val="IndexLink"/>
              </w:rPr>
              <w:t>141</w:t>
            </w:r>
          </w:hyperlink>
        </w:p>
        <w:p>
          <w:pPr>
            <w:pStyle w:val="Contents3"/>
            <w:tabs>
              <w:tab w:val="clear" w:pos="8459"/>
              <w:tab w:val="right" w:pos="9026" w:leader="dot"/>
            </w:tabs>
            <w:rPr/>
          </w:pPr>
          <w:hyperlink w:anchor="__RefHeading___Toc10723883_73709187">
            <w:r>
              <w:rPr>
                <w:webHidden/>
                <w:rStyle w:val="IndexLink"/>
                <w:rtl w:val="true"/>
              </w:rPr>
              <w:t>كفّارة قتل بقرة الوحش وحمار الوحش</w:t>
            </w:r>
            <w:r>
              <w:rPr>
                <w:rStyle w:val="IndexLink"/>
                <w:rtl w:val="true"/>
              </w:rPr>
              <w:tab/>
            </w:r>
            <w:r>
              <w:rPr>
                <w:rStyle w:val="IndexLink"/>
              </w:rPr>
              <w:t>143</w:t>
            </w:r>
          </w:hyperlink>
        </w:p>
        <w:p>
          <w:pPr>
            <w:pStyle w:val="Contents3"/>
            <w:tabs>
              <w:tab w:val="clear" w:pos="8459"/>
              <w:tab w:val="right" w:pos="9026" w:leader="dot"/>
            </w:tabs>
            <w:rPr/>
          </w:pPr>
          <w:hyperlink w:anchor="__RefHeading___Toc10723885_73709187">
            <w:r>
              <w:rPr>
                <w:webHidden/>
                <w:rStyle w:val="IndexLink"/>
                <w:rtl w:val="true"/>
              </w:rPr>
              <w:t>حكم العجز عن دفع البقرة</w:t>
            </w:r>
            <w:r>
              <w:rPr>
                <w:rStyle w:val="IndexLink"/>
                <w:rtl w:val="true"/>
              </w:rPr>
              <w:tab/>
            </w:r>
            <w:r>
              <w:rPr>
                <w:rStyle w:val="IndexLink"/>
              </w:rPr>
              <w:t>145</w:t>
            </w:r>
          </w:hyperlink>
        </w:p>
        <w:p>
          <w:pPr>
            <w:pStyle w:val="Contents3"/>
            <w:tabs>
              <w:tab w:val="clear" w:pos="8459"/>
              <w:tab w:val="right" w:pos="9026" w:leader="dot"/>
            </w:tabs>
            <w:rPr/>
          </w:pPr>
          <w:hyperlink w:anchor="__RefHeading___Toc10723887_73709187">
            <w:r>
              <w:rPr>
                <w:webHidden/>
                <w:rStyle w:val="IndexLink"/>
                <w:rtl w:val="true"/>
              </w:rPr>
              <w:t>كفّارة قتل الظبي والأرنب والثعلب</w:t>
            </w:r>
            <w:r>
              <w:rPr>
                <w:rStyle w:val="IndexLink"/>
                <w:rtl w:val="true"/>
              </w:rPr>
              <w:tab/>
            </w:r>
            <w:r>
              <w:rPr>
                <w:rStyle w:val="IndexLink"/>
              </w:rPr>
              <w:t>147</w:t>
            </w:r>
          </w:hyperlink>
        </w:p>
        <w:p>
          <w:pPr>
            <w:pStyle w:val="Contents3"/>
            <w:tabs>
              <w:tab w:val="clear" w:pos="8459"/>
              <w:tab w:val="right" w:pos="9026" w:leader="dot"/>
            </w:tabs>
            <w:rPr/>
          </w:pPr>
          <w:hyperlink w:anchor="__RefHeading___Toc10723889_73709187">
            <w:r>
              <w:rPr>
                <w:webHidden/>
                <w:rStyle w:val="IndexLink"/>
                <w:rtl w:val="true"/>
              </w:rPr>
              <w:t>كفّارة كسر بيض النعام</w:t>
            </w:r>
            <w:r>
              <w:rPr>
                <w:rStyle w:val="IndexLink"/>
                <w:rtl w:val="true"/>
              </w:rPr>
              <w:tab/>
            </w:r>
            <w:r>
              <w:rPr>
                <w:rStyle w:val="IndexLink"/>
              </w:rPr>
              <w:t>150</w:t>
            </w:r>
          </w:hyperlink>
        </w:p>
        <w:p>
          <w:pPr>
            <w:pStyle w:val="Contents3"/>
            <w:tabs>
              <w:tab w:val="clear" w:pos="8459"/>
              <w:tab w:val="right" w:pos="9026" w:leader="dot"/>
            </w:tabs>
            <w:rPr/>
          </w:pPr>
          <w:hyperlink w:anchor="__RefHeading___Toc10723891_73709187">
            <w:r>
              <w:rPr>
                <w:webHidden/>
                <w:rStyle w:val="IndexLink"/>
                <w:rtl w:val="true"/>
              </w:rPr>
              <w:t>كفّارة بيض القطاة</w:t>
            </w:r>
            <w:r>
              <w:rPr>
                <w:rStyle w:val="IndexLink"/>
                <w:rtl w:val="true"/>
              </w:rPr>
              <w:tab/>
            </w:r>
            <w:r>
              <w:rPr>
                <w:rStyle w:val="IndexLink"/>
              </w:rPr>
              <w:t>155</w:t>
            </w:r>
          </w:hyperlink>
        </w:p>
        <w:p>
          <w:pPr>
            <w:pStyle w:val="Contents3"/>
            <w:tabs>
              <w:tab w:val="clear" w:pos="8459"/>
              <w:tab w:val="right" w:pos="9026" w:leader="dot"/>
            </w:tabs>
            <w:rPr/>
          </w:pPr>
          <w:hyperlink w:anchor="__RefHeading___Toc10723893_73709187">
            <w:r>
              <w:rPr>
                <w:webHidden/>
                <w:rStyle w:val="IndexLink"/>
                <w:rtl w:val="true"/>
              </w:rPr>
              <w:t>كفّارة الحمامة</w:t>
            </w:r>
            <w:r>
              <w:rPr>
                <w:rStyle w:val="IndexLink"/>
                <w:rtl w:val="true"/>
              </w:rPr>
              <w:tab/>
            </w:r>
            <w:r>
              <w:rPr>
                <w:rStyle w:val="IndexLink"/>
              </w:rPr>
              <w:t>160</w:t>
            </w:r>
          </w:hyperlink>
        </w:p>
        <w:p>
          <w:pPr>
            <w:pStyle w:val="Contents3"/>
            <w:tabs>
              <w:tab w:val="clear" w:pos="8459"/>
              <w:tab w:val="right" w:pos="9026" w:leader="dot"/>
            </w:tabs>
            <w:rPr/>
          </w:pPr>
          <w:hyperlink w:anchor="__RefHeading___Toc10723895_73709187">
            <w:r>
              <w:rPr>
                <w:webHidden/>
                <w:rStyle w:val="IndexLink"/>
                <w:rtl w:val="true"/>
              </w:rPr>
              <w:t>الضّب والقُنفذ</w:t>
            </w:r>
            <w:r>
              <w:rPr>
                <w:rStyle w:val="IndexLink"/>
                <w:rtl w:val="true"/>
              </w:rPr>
              <w:tab/>
            </w:r>
            <w:r>
              <w:rPr>
                <w:rStyle w:val="IndexLink"/>
              </w:rPr>
              <w:t>168</w:t>
            </w:r>
          </w:hyperlink>
        </w:p>
        <w:p>
          <w:pPr>
            <w:pStyle w:val="Contents3"/>
            <w:tabs>
              <w:tab w:val="clear" w:pos="8459"/>
              <w:tab w:val="right" w:pos="9026" w:leader="dot"/>
            </w:tabs>
            <w:rPr/>
          </w:pPr>
          <w:hyperlink w:anchor="__RefHeading___Toc10723897_73709187">
            <w:r>
              <w:rPr>
                <w:webHidden/>
                <w:rStyle w:val="IndexLink"/>
                <w:rtl w:val="true"/>
              </w:rPr>
              <w:t>كفّارة قتل الجرادة</w:t>
            </w:r>
            <w:r>
              <w:rPr>
                <w:rStyle w:val="IndexLink"/>
                <w:rtl w:val="true"/>
              </w:rPr>
              <w:tab/>
            </w:r>
            <w:r>
              <w:rPr>
                <w:rStyle w:val="IndexLink"/>
              </w:rPr>
              <w:t>173</w:t>
            </w:r>
          </w:hyperlink>
        </w:p>
        <w:p>
          <w:pPr>
            <w:pStyle w:val="Contents3"/>
            <w:tabs>
              <w:tab w:val="clear" w:pos="8459"/>
              <w:tab w:val="right" w:pos="9026" w:leader="dot"/>
            </w:tabs>
            <w:rPr/>
          </w:pPr>
          <w:hyperlink w:anchor="__RefHeading___Toc10723899_73709187">
            <w:r>
              <w:rPr>
                <w:webHidden/>
                <w:rStyle w:val="IndexLink"/>
                <w:rtl w:val="true"/>
              </w:rPr>
              <w:t>وجوب الكفّارة على من أكل الصيد وإنْ صاد غيره</w:t>
            </w:r>
            <w:r>
              <w:rPr>
                <w:rStyle w:val="IndexLink"/>
                <w:rtl w:val="true"/>
              </w:rPr>
              <w:tab/>
            </w:r>
            <w:r>
              <w:rPr>
                <w:rStyle w:val="IndexLink"/>
              </w:rPr>
              <w:t>179</w:t>
            </w:r>
          </w:hyperlink>
        </w:p>
        <w:p>
          <w:pPr>
            <w:pStyle w:val="Contents3"/>
            <w:tabs>
              <w:tab w:val="clear" w:pos="8459"/>
              <w:tab w:val="right" w:pos="9026" w:leader="dot"/>
            </w:tabs>
            <w:rPr/>
          </w:pPr>
          <w:hyperlink w:anchor="__RefHeading___Toc10723901_73709187">
            <w:r>
              <w:rPr>
                <w:webHidden/>
                <w:rStyle w:val="IndexLink"/>
                <w:rtl w:val="true"/>
              </w:rPr>
              <w:t>لو اشترك جماعة في قتل صيد واحد</w:t>
            </w:r>
            <w:r>
              <w:rPr>
                <w:rStyle w:val="IndexLink"/>
                <w:rtl w:val="true"/>
              </w:rPr>
              <w:tab/>
            </w:r>
            <w:r>
              <w:rPr>
                <w:rStyle w:val="IndexLink"/>
              </w:rPr>
              <w:t>184</w:t>
            </w:r>
          </w:hyperlink>
        </w:p>
        <w:p>
          <w:pPr>
            <w:pStyle w:val="Contents3"/>
            <w:tabs>
              <w:tab w:val="clear" w:pos="8459"/>
              <w:tab w:val="right" w:pos="9026" w:leader="dot"/>
            </w:tabs>
            <w:rPr/>
          </w:pPr>
          <w:hyperlink w:anchor="__RefHeading___Toc10723903_73709187">
            <w:r>
              <w:rPr>
                <w:webHidden/>
                <w:rStyle w:val="IndexLink"/>
                <w:rtl w:val="true"/>
              </w:rPr>
              <w:t>فروع الصيد الجماعي</w:t>
            </w:r>
            <w:r>
              <w:rPr>
                <w:rStyle w:val="IndexLink"/>
                <w:rtl w:val="true"/>
              </w:rPr>
              <w:tab/>
            </w:r>
            <w:r>
              <w:rPr>
                <w:rStyle w:val="IndexLink"/>
              </w:rPr>
              <w:t>185</w:t>
            </w:r>
          </w:hyperlink>
        </w:p>
        <w:p>
          <w:pPr>
            <w:pStyle w:val="Contents3"/>
            <w:tabs>
              <w:tab w:val="clear" w:pos="8459"/>
              <w:tab w:val="right" w:pos="9026" w:leader="dot"/>
            </w:tabs>
            <w:rPr/>
          </w:pPr>
          <w:hyperlink w:anchor="__RefHeading___Toc10723905_73709187">
            <w:r>
              <w:rPr>
                <w:webHidden/>
                <w:rStyle w:val="IndexLink"/>
                <w:rtl w:val="true"/>
              </w:rPr>
              <w:t>حكم من أحرم ومعه صيدٌ مملوك له</w:t>
            </w:r>
            <w:r>
              <w:rPr>
                <w:rStyle w:val="IndexLink"/>
                <w:rtl w:val="true"/>
              </w:rPr>
              <w:tab/>
            </w:r>
            <w:r>
              <w:rPr>
                <w:rStyle w:val="IndexLink"/>
              </w:rPr>
              <w:t>192</w:t>
            </w:r>
          </w:hyperlink>
        </w:p>
        <w:p>
          <w:pPr>
            <w:pStyle w:val="Contents3"/>
            <w:tabs>
              <w:tab w:val="clear" w:pos="8459"/>
              <w:tab w:val="right" w:pos="9026" w:leader="dot"/>
            </w:tabs>
            <w:rPr/>
          </w:pPr>
          <w:hyperlink w:anchor="__RefHeading___Toc10723907_73709187">
            <w:r>
              <w:rPr>
                <w:webHidden/>
                <w:rStyle w:val="IndexLink"/>
                <w:rtl w:val="true"/>
              </w:rPr>
              <w:t>كفّارة صيد الحرم</w:t>
            </w:r>
            <w:r>
              <w:rPr>
                <w:rStyle w:val="IndexLink"/>
                <w:rtl w:val="true"/>
              </w:rPr>
              <w:tab/>
            </w:r>
            <w:r>
              <w:rPr>
                <w:rStyle w:val="IndexLink"/>
              </w:rPr>
              <w:t>197</w:t>
            </w:r>
          </w:hyperlink>
        </w:p>
        <w:p>
          <w:pPr>
            <w:pStyle w:val="Contents3"/>
            <w:tabs>
              <w:tab w:val="clear" w:pos="8459"/>
              <w:tab w:val="right" w:pos="9026" w:leader="dot"/>
            </w:tabs>
            <w:rPr/>
          </w:pPr>
          <w:hyperlink w:anchor="__RefHeading___Toc10723909_73709187">
            <w:r>
              <w:rPr>
                <w:webHidden/>
                <w:rStyle w:val="IndexLink"/>
                <w:rtl w:val="true"/>
              </w:rPr>
              <w:t>حكم الصيد سهواً أو جهلاً</w:t>
            </w:r>
            <w:r>
              <w:rPr>
                <w:rStyle w:val="IndexLink"/>
                <w:rtl w:val="true"/>
              </w:rPr>
              <w:tab/>
            </w:r>
            <w:r>
              <w:rPr>
                <w:rStyle w:val="IndexLink"/>
              </w:rPr>
              <w:t>200</w:t>
            </w:r>
          </w:hyperlink>
        </w:p>
        <w:p>
          <w:pPr>
            <w:pStyle w:val="Contents3"/>
            <w:tabs>
              <w:tab w:val="clear" w:pos="8459"/>
              <w:tab w:val="right" w:pos="9026" w:leader="dot"/>
            </w:tabs>
            <w:rPr/>
          </w:pPr>
          <w:hyperlink w:anchor="__RefHeading___Toc10723911_73709187">
            <w:r>
              <w:rPr>
                <w:webHidden/>
                <w:rStyle w:val="IndexLink"/>
                <w:rtl w:val="true"/>
              </w:rPr>
              <w:t>فداءُ الصيد المملوك</w:t>
            </w:r>
            <w:r>
              <w:rPr>
                <w:rStyle w:val="IndexLink"/>
                <w:rtl w:val="true"/>
              </w:rPr>
              <w:tab/>
            </w:r>
            <w:r>
              <w:rPr>
                <w:rStyle w:val="IndexLink"/>
              </w:rPr>
              <w:t>209</w:t>
            </w:r>
          </w:hyperlink>
        </w:p>
        <w:p>
          <w:pPr>
            <w:pStyle w:val="Contents3"/>
            <w:tabs>
              <w:tab w:val="clear" w:pos="8459"/>
              <w:tab w:val="right" w:pos="9026" w:leader="dot"/>
            </w:tabs>
            <w:rPr/>
          </w:pPr>
          <w:hyperlink w:anchor="__RefHeading___Toc10723913_73709187">
            <w:r>
              <w:rPr>
                <w:webHidden/>
                <w:rStyle w:val="IndexLink"/>
                <w:rtl w:val="true"/>
              </w:rPr>
              <w:t>محل ذبح الفداء ونحره</w:t>
            </w:r>
            <w:r>
              <w:rPr>
                <w:rStyle w:val="IndexLink"/>
                <w:rtl w:val="true"/>
              </w:rPr>
              <w:tab/>
            </w:r>
            <w:r>
              <w:rPr>
                <w:rStyle w:val="IndexLink"/>
              </w:rPr>
              <w:t>215</w:t>
            </w:r>
          </w:hyperlink>
        </w:p>
        <w:p>
          <w:pPr>
            <w:pStyle w:val="Contents3"/>
            <w:tabs>
              <w:tab w:val="clear" w:pos="8459"/>
              <w:tab w:val="right" w:pos="9026" w:leader="dot"/>
            </w:tabs>
            <w:rPr/>
          </w:pPr>
          <w:hyperlink w:anchor="__RefHeading___Toc10723915_73709187">
            <w:r>
              <w:rPr>
                <w:webHidden/>
                <w:rStyle w:val="IndexLink"/>
                <w:rtl w:val="true"/>
              </w:rPr>
              <w:t>حَدّ الحرم</w:t>
            </w:r>
            <w:r>
              <w:rPr>
                <w:rStyle w:val="IndexLink"/>
                <w:rtl w:val="true"/>
              </w:rPr>
              <w:tab/>
            </w:r>
            <w:r>
              <w:rPr>
                <w:rStyle w:val="IndexLink"/>
              </w:rPr>
              <w:t>225</w:t>
            </w:r>
          </w:hyperlink>
        </w:p>
        <w:p>
          <w:pPr>
            <w:pStyle w:val="Contents3"/>
            <w:tabs>
              <w:tab w:val="clear" w:pos="8459"/>
              <w:tab w:val="right" w:pos="9026" w:leader="dot"/>
            </w:tabs>
            <w:rPr/>
          </w:pPr>
          <w:hyperlink w:anchor="__RefHeading___Toc10723917_73709187">
            <w:r>
              <w:rPr>
                <w:webHidden/>
                <w:rStyle w:val="IndexLink"/>
                <w:rtl w:val="true"/>
              </w:rPr>
              <w:t>كفّارة الإستمتاع بالنساء</w:t>
            </w:r>
            <w:r>
              <w:rPr>
                <w:rStyle w:val="IndexLink"/>
                <w:rtl w:val="true"/>
              </w:rPr>
              <w:tab/>
            </w:r>
            <w:r>
              <w:rPr>
                <w:rStyle w:val="IndexLink"/>
              </w:rPr>
              <w:t>227</w:t>
            </w:r>
          </w:hyperlink>
        </w:p>
        <w:p>
          <w:pPr>
            <w:pStyle w:val="Contents3"/>
            <w:tabs>
              <w:tab w:val="clear" w:pos="8459"/>
              <w:tab w:val="right" w:pos="9026" w:leader="dot"/>
            </w:tabs>
            <w:rPr/>
          </w:pPr>
          <w:hyperlink w:anchor="__RefHeading___Toc10723919_73709187">
            <w:r>
              <w:rPr>
                <w:webHidden/>
                <w:rStyle w:val="IndexLink"/>
                <w:rtl w:val="true"/>
              </w:rPr>
              <w:t>التفريق بين الرّجل والمرأة</w:t>
            </w:r>
            <w:r>
              <w:rPr>
                <w:rStyle w:val="IndexLink"/>
                <w:rtl w:val="true"/>
              </w:rPr>
              <w:tab/>
            </w:r>
            <w:r>
              <w:rPr>
                <w:rStyle w:val="IndexLink"/>
              </w:rPr>
              <w:t>232</w:t>
            </w:r>
          </w:hyperlink>
        </w:p>
        <w:p>
          <w:pPr>
            <w:pStyle w:val="Contents3"/>
            <w:tabs>
              <w:tab w:val="clear" w:pos="8459"/>
              <w:tab w:val="right" w:pos="9026" w:leader="dot"/>
            </w:tabs>
            <w:rPr/>
          </w:pPr>
          <w:hyperlink w:anchor="__RefHeading___Toc10723921_73709187">
            <w:r>
              <w:rPr>
                <w:webHidden/>
                <w:rStyle w:val="IndexLink"/>
                <w:rtl w:val="true"/>
              </w:rPr>
              <w:t>موضوع الأحكام المذكورة</w:t>
            </w:r>
            <w:r>
              <w:rPr>
                <w:rStyle w:val="IndexLink"/>
                <w:rtl w:val="true"/>
              </w:rPr>
              <w:tab/>
            </w:r>
            <w:r>
              <w:rPr>
                <w:rStyle w:val="IndexLink"/>
              </w:rPr>
              <w:t>237</w:t>
            </w:r>
          </w:hyperlink>
        </w:p>
        <w:p>
          <w:pPr>
            <w:pStyle w:val="Contents3"/>
            <w:tabs>
              <w:tab w:val="clear" w:pos="8459"/>
              <w:tab w:val="right" w:pos="9026" w:leader="dot"/>
            </w:tabs>
            <w:rPr/>
          </w:pPr>
          <w:hyperlink w:anchor="__RefHeading___Toc10723923_73709187">
            <w:r>
              <w:rPr>
                <w:webHidden/>
                <w:rStyle w:val="IndexLink"/>
                <w:rtl w:val="true"/>
              </w:rPr>
              <w:t>حكم المُكرَهة والمكرِه</w:t>
            </w:r>
            <w:r>
              <w:rPr>
                <w:rStyle w:val="IndexLink"/>
                <w:rtl w:val="true"/>
              </w:rPr>
              <w:tab/>
            </w:r>
            <w:r>
              <w:rPr>
                <w:rStyle w:val="IndexLink"/>
              </w:rPr>
              <w:t>239</w:t>
            </w:r>
          </w:hyperlink>
        </w:p>
        <w:p>
          <w:pPr>
            <w:pStyle w:val="Contents3"/>
            <w:tabs>
              <w:tab w:val="clear" w:pos="8459"/>
              <w:tab w:val="right" w:pos="9026" w:leader="dot"/>
            </w:tabs>
            <w:rPr/>
          </w:pPr>
          <w:hyperlink w:anchor="__RefHeading___Toc10723925_73709187">
            <w:r>
              <w:rPr>
                <w:webHidden/>
                <w:rStyle w:val="IndexLink"/>
                <w:rtl w:val="true"/>
              </w:rPr>
              <w:t>الجماع بعد الموقفين</w:t>
            </w:r>
            <w:r>
              <w:rPr>
                <w:rStyle w:val="IndexLink"/>
                <w:rtl w:val="true"/>
              </w:rPr>
              <w:tab/>
            </w:r>
            <w:r>
              <w:rPr>
                <w:rStyle w:val="IndexLink"/>
              </w:rPr>
              <w:t>242</w:t>
            </w:r>
          </w:hyperlink>
        </w:p>
        <w:p>
          <w:pPr>
            <w:pStyle w:val="Contents3"/>
            <w:tabs>
              <w:tab w:val="clear" w:pos="8459"/>
              <w:tab w:val="right" w:pos="9026" w:leader="dot"/>
            </w:tabs>
            <w:rPr/>
          </w:pPr>
          <w:hyperlink w:anchor="__RefHeading___Toc10723927_73709187">
            <w:r>
              <w:rPr>
                <w:webHidden/>
                <w:rStyle w:val="IndexLink"/>
                <w:rtl w:val="true"/>
              </w:rPr>
              <w:t>حكم العاجز عن دفع البدنة</w:t>
            </w:r>
            <w:r>
              <w:rPr>
                <w:rStyle w:val="IndexLink"/>
                <w:rtl w:val="true"/>
              </w:rPr>
              <w:tab/>
            </w:r>
            <w:r>
              <w:rPr>
                <w:rStyle w:val="IndexLink"/>
              </w:rPr>
              <w:t>246</w:t>
            </w:r>
          </w:hyperlink>
        </w:p>
        <w:p>
          <w:pPr>
            <w:pStyle w:val="Contents3"/>
            <w:tabs>
              <w:tab w:val="clear" w:pos="8459"/>
              <w:tab w:val="right" w:pos="9026" w:leader="dot"/>
            </w:tabs>
            <w:rPr/>
          </w:pPr>
          <w:hyperlink w:anchor="__RefHeading___Toc10723929_73709187">
            <w:r>
              <w:rPr>
                <w:webHidden/>
                <w:rStyle w:val="IndexLink"/>
                <w:rtl w:val="true"/>
              </w:rPr>
              <w:t>كفّارة الاستمناء</w:t>
            </w:r>
            <w:r>
              <w:rPr>
                <w:rStyle w:val="IndexLink"/>
                <w:rtl w:val="true"/>
              </w:rPr>
              <w:tab/>
            </w:r>
            <w:r>
              <w:rPr>
                <w:rStyle w:val="IndexLink"/>
              </w:rPr>
              <w:t>252</w:t>
            </w:r>
          </w:hyperlink>
        </w:p>
        <w:p>
          <w:pPr>
            <w:pStyle w:val="Contents3"/>
            <w:tabs>
              <w:tab w:val="clear" w:pos="8459"/>
              <w:tab w:val="right" w:pos="9026" w:leader="dot"/>
            </w:tabs>
            <w:rPr/>
          </w:pPr>
          <w:hyperlink w:anchor="__RefHeading___Toc10723931_73709187">
            <w:r>
              <w:rPr>
                <w:webHidden/>
                <w:rStyle w:val="IndexLink"/>
                <w:rtl w:val="true"/>
              </w:rPr>
              <w:t>الجماع في إحرام العُمرة</w:t>
            </w:r>
            <w:r>
              <w:rPr>
                <w:rStyle w:val="IndexLink"/>
                <w:rtl w:val="true"/>
              </w:rPr>
              <w:tab/>
            </w:r>
            <w:r>
              <w:rPr>
                <w:rStyle w:val="IndexLink"/>
              </w:rPr>
              <w:t>255</w:t>
            </w:r>
          </w:hyperlink>
        </w:p>
        <w:p>
          <w:pPr>
            <w:pStyle w:val="Contents3"/>
            <w:tabs>
              <w:tab w:val="clear" w:pos="8459"/>
              <w:tab w:val="right" w:pos="9026" w:leader="dot"/>
            </w:tabs>
            <w:rPr/>
          </w:pPr>
          <w:hyperlink w:anchor="__RefHeading___Toc10723933_73709187">
            <w:r>
              <w:rPr>
                <w:webHidden/>
                <w:rStyle w:val="IndexLink"/>
                <w:rtl w:val="true"/>
              </w:rPr>
              <w:t>كفّارة النظر</w:t>
            </w:r>
            <w:r>
              <w:rPr>
                <w:rStyle w:val="IndexLink"/>
                <w:rtl w:val="true"/>
              </w:rPr>
              <w:tab/>
            </w:r>
            <w:r>
              <w:rPr>
                <w:rStyle w:val="IndexLink"/>
              </w:rPr>
              <w:t>262</w:t>
            </w:r>
          </w:hyperlink>
        </w:p>
        <w:p>
          <w:pPr>
            <w:pStyle w:val="Contents3"/>
            <w:tabs>
              <w:tab w:val="clear" w:pos="8459"/>
              <w:tab w:val="right" w:pos="9026" w:leader="dot"/>
            </w:tabs>
            <w:rPr/>
          </w:pPr>
          <w:hyperlink w:anchor="__RefHeading___Toc10723935_73709187">
            <w:r>
              <w:rPr>
                <w:webHidden/>
                <w:rStyle w:val="IndexLink"/>
                <w:rtl w:val="true"/>
              </w:rPr>
              <w:t>كفّارة المسّ بشهوة</w:t>
            </w:r>
            <w:r>
              <w:rPr>
                <w:rStyle w:val="IndexLink"/>
                <w:rtl w:val="true"/>
              </w:rPr>
              <w:tab/>
            </w:r>
            <w:r>
              <w:rPr>
                <w:rStyle w:val="IndexLink"/>
              </w:rPr>
              <w:t>268</w:t>
            </w:r>
          </w:hyperlink>
        </w:p>
        <w:p>
          <w:pPr>
            <w:pStyle w:val="Contents3"/>
            <w:tabs>
              <w:tab w:val="clear" w:pos="8459"/>
              <w:tab w:val="right" w:pos="9026" w:leader="dot"/>
            </w:tabs>
            <w:rPr/>
          </w:pPr>
          <w:hyperlink w:anchor="__RefHeading___Toc10723937_73709187">
            <w:r>
              <w:rPr>
                <w:webHidden/>
                <w:rStyle w:val="IndexLink"/>
                <w:rtl w:val="true"/>
              </w:rPr>
              <w:t>كفّارة عقد المُحرِم</w:t>
            </w:r>
            <w:r>
              <w:rPr>
                <w:rStyle w:val="IndexLink"/>
                <w:rtl w:val="true"/>
              </w:rPr>
              <w:tab/>
            </w:r>
            <w:r>
              <w:rPr>
                <w:rStyle w:val="IndexLink"/>
              </w:rPr>
              <w:t>274</w:t>
            </w:r>
          </w:hyperlink>
        </w:p>
        <w:p>
          <w:pPr>
            <w:pStyle w:val="Contents3"/>
            <w:tabs>
              <w:tab w:val="clear" w:pos="8459"/>
              <w:tab w:val="right" w:pos="9026" w:leader="dot"/>
            </w:tabs>
            <w:rPr/>
          </w:pPr>
          <w:hyperlink w:anchor="__RefHeading___Toc10723939_73709187">
            <w:r>
              <w:rPr>
                <w:webHidden/>
                <w:rStyle w:val="IndexLink"/>
                <w:rtl w:val="true"/>
              </w:rPr>
              <w:t>كفّارة التطيّب</w:t>
            </w:r>
            <w:r>
              <w:rPr>
                <w:rStyle w:val="IndexLink"/>
                <w:rtl w:val="true"/>
              </w:rPr>
              <w:tab/>
            </w:r>
            <w:r>
              <w:rPr>
                <w:rStyle w:val="IndexLink"/>
              </w:rPr>
              <w:t>276</w:t>
            </w:r>
          </w:hyperlink>
        </w:p>
        <w:p>
          <w:pPr>
            <w:pStyle w:val="Contents3"/>
            <w:tabs>
              <w:tab w:val="clear" w:pos="8459"/>
              <w:tab w:val="right" w:pos="9026" w:leader="dot"/>
            </w:tabs>
            <w:rPr/>
          </w:pPr>
          <w:hyperlink w:anchor="__RefHeading___Toc10723941_73709187">
            <w:r>
              <w:rPr>
                <w:webHidden/>
                <w:rStyle w:val="IndexLink"/>
                <w:rtl w:val="true"/>
              </w:rPr>
              <w:t>كفّارة قصّ الأظفار</w:t>
            </w:r>
            <w:r>
              <w:rPr>
                <w:rStyle w:val="IndexLink"/>
                <w:rtl w:val="true"/>
              </w:rPr>
              <w:tab/>
            </w:r>
            <w:r>
              <w:rPr>
                <w:rStyle w:val="IndexLink"/>
              </w:rPr>
              <w:t>280</w:t>
            </w:r>
          </w:hyperlink>
        </w:p>
        <w:p>
          <w:pPr>
            <w:pStyle w:val="Contents3"/>
            <w:tabs>
              <w:tab w:val="clear" w:pos="8459"/>
              <w:tab w:val="right" w:pos="9026" w:leader="dot"/>
            </w:tabs>
            <w:rPr/>
          </w:pPr>
          <w:hyperlink w:anchor="__RefHeading___Toc10723943_73709187">
            <w:r>
              <w:rPr>
                <w:webHidden/>
                <w:rStyle w:val="IndexLink"/>
                <w:rtl w:val="true"/>
              </w:rPr>
              <w:t>تنبيهات</w:t>
            </w:r>
            <w:r>
              <w:rPr>
                <w:rStyle w:val="IndexLink"/>
                <w:rtl w:val="true"/>
              </w:rPr>
              <w:tab/>
            </w:r>
            <w:r>
              <w:rPr>
                <w:rStyle w:val="IndexLink"/>
              </w:rPr>
              <w:t>284</w:t>
            </w:r>
          </w:hyperlink>
        </w:p>
        <w:p>
          <w:pPr>
            <w:pStyle w:val="Contents3"/>
            <w:tabs>
              <w:tab w:val="clear" w:pos="8459"/>
              <w:tab w:val="right" w:pos="9026" w:leader="dot"/>
            </w:tabs>
            <w:rPr/>
          </w:pPr>
          <w:hyperlink w:anchor="__RefHeading___Toc10723945_73709187">
            <w:r>
              <w:rPr>
                <w:webHidden/>
                <w:rStyle w:val="IndexLink"/>
                <w:rtl w:val="true"/>
              </w:rPr>
              <w:t>كفّارة لبس المخيط</w:t>
            </w:r>
            <w:r>
              <w:rPr>
                <w:rStyle w:val="IndexLink"/>
                <w:rtl w:val="true"/>
              </w:rPr>
              <w:tab/>
            </w:r>
            <w:r>
              <w:rPr>
                <w:rStyle w:val="IndexLink"/>
              </w:rPr>
              <w:t>289</w:t>
            </w:r>
          </w:hyperlink>
        </w:p>
        <w:p>
          <w:pPr>
            <w:pStyle w:val="Contents3"/>
            <w:tabs>
              <w:tab w:val="clear" w:pos="8459"/>
              <w:tab w:val="right" w:pos="9026" w:leader="dot"/>
            </w:tabs>
            <w:rPr/>
          </w:pPr>
          <w:hyperlink w:anchor="__RefHeading___Toc10723947_73709187">
            <w:r>
              <w:rPr>
                <w:webHidden/>
                <w:rStyle w:val="IndexLink"/>
                <w:rtl w:val="true"/>
              </w:rPr>
              <w:t>كفّارة إزالة الشعر</w:t>
            </w:r>
            <w:r>
              <w:rPr>
                <w:rStyle w:val="IndexLink"/>
                <w:rtl w:val="true"/>
              </w:rPr>
              <w:tab/>
            </w:r>
            <w:r>
              <w:rPr>
                <w:rStyle w:val="IndexLink"/>
              </w:rPr>
              <w:t>293</w:t>
            </w:r>
          </w:hyperlink>
        </w:p>
        <w:p>
          <w:pPr>
            <w:pStyle w:val="Contents3"/>
            <w:tabs>
              <w:tab w:val="clear" w:pos="8459"/>
              <w:tab w:val="right" w:pos="9026" w:leader="dot"/>
            </w:tabs>
            <w:rPr/>
          </w:pPr>
          <w:hyperlink w:anchor="__RefHeading___Toc10723949_73709187">
            <w:r>
              <w:rPr>
                <w:webHidden/>
                <w:rStyle w:val="IndexLink"/>
                <w:rtl w:val="true"/>
              </w:rPr>
              <w:t>كفّارة نتف الإبطين</w:t>
            </w:r>
            <w:r>
              <w:rPr>
                <w:rStyle w:val="IndexLink"/>
                <w:rtl w:val="true"/>
              </w:rPr>
              <w:tab/>
            </w:r>
            <w:r>
              <w:rPr>
                <w:rStyle w:val="IndexLink"/>
              </w:rPr>
              <w:t>300</w:t>
            </w:r>
          </w:hyperlink>
        </w:p>
        <w:p>
          <w:pPr>
            <w:pStyle w:val="Contents3"/>
            <w:tabs>
              <w:tab w:val="clear" w:pos="8459"/>
              <w:tab w:val="right" w:pos="9026" w:leader="dot"/>
            </w:tabs>
            <w:rPr/>
          </w:pPr>
          <w:hyperlink w:anchor="__RefHeading___Toc10723951_73709187">
            <w:r>
              <w:rPr>
                <w:webHidden/>
                <w:rStyle w:val="IndexLink"/>
                <w:rtl w:val="true"/>
              </w:rPr>
              <w:t>حكم سقوط شعر الرأس واللّحية</w:t>
            </w:r>
            <w:r>
              <w:rPr>
                <w:rStyle w:val="IndexLink"/>
                <w:rtl w:val="true"/>
              </w:rPr>
              <w:tab/>
            </w:r>
            <w:r>
              <w:rPr>
                <w:rStyle w:val="IndexLink"/>
              </w:rPr>
              <w:t>303</w:t>
            </w:r>
          </w:hyperlink>
        </w:p>
        <w:p>
          <w:pPr>
            <w:pStyle w:val="Contents3"/>
            <w:tabs>
              <w:tab w:val="clear" w:pos="8459"/>
              <w:tab w:val="right" w:pos="9026" w:leader="dot"/>
            </w:tabs>
            <w:rPr/>
          </w:pPr>
          <w:hyperlink w:anchor="__RefHeading___Toc10723953_73709187">
            <w:r>
              <w:rPr>
                <w:webHidden/>
                <w:rStyle w:val="IndexLink"/>
                <w:rtl w:val="true"/>
              </w:rPr>
              <w:t>كفّارة التظليل</w:t>
            </w:r>
            <w:r>
              <w:rPr>
                <w:rStyle w:val="IndexLink"/>
                <w:rtl w:val="true"/>
              </w:rPr>
              <w:tab/>
            </w:r>
            <w:r>
              <w:rPr>
                <w:rStyle w:val="IndexLink"/>
              </w:rPr>
              <w:t>306</w:t>
            </w:r>
          </w:hyperlink>
        </w:p>
        <w:p>
          <w:pPr>
            <w:pStyle w:val="Contents3"/>
            <w:tabs>
              <w:tab w:val="clear" w:pos="8459"/>
              <w:tab w:val="right" w:pos="9026" w:leader="dot"/>
            </w:tabs>
            <w:rPr/>
          </w:pPr>
          <w:hyperlink w:anchor="__RefHeading___Toc10723955_73709187">
            <w:r>
              <w:rPr>
                <w:webHidden/>
                <w:rStyle w:val="IndexLink"/>
                <w:rtl w:val="true"/>
              </w:rPr>
              <w:t>كفّارة تغطية الرأس</w:t>
            </w:r>
            <w:r>
              <w:rPr>
                <w:rStyle w:val="IndexLink"/>
                <w:rtl w:val="true"/>
              </w:rPr>
              <w:tab/>
            </w:r>
            <w:r>
              <w:rPr>
                <w:rStyle w:val="IndexLink"/>
              </w:rPr>
              <w:t>310</w:t>
            </w:r>
          </w:hyperlink>
        </w:p>
        <w:p>
          <w:pPr>
            <w:pStyle w:val="Contents3"/>
            <w:tabs>
              <w:tab w:val="clear" w:pos="8459"/>
              <w:tab w:val="right" w:pos="9026" w:leader="dot"/>
            </w:tabs>
            <w:rPr/>
          </w:pPr>
          <w:hyperlink w:anchor="__RefHeading___Toc10723957_73709187">
            <w:r>
              <w:rPr>
                <w:webHidden/>
                <w:rStyle w:val="IndexLink"/>
                <w:rtl w:val="true"/>
              </w:rPr>
              <w:t>فروع</w:t>
            </w:r>
            <w:r>
              <w:rPr>
                <w:rStyle w:val="IndexLink"/>
                <w:rtl w:val="true"/>
              </w:rPr>
              <w:t>:</w:t>
              <w:tab/>
            </w:r>
            <w:r>
              <w:rPr>
                <w:rStyle w:val="IndexLink"/>
              </w:rPr>
              <w:t>313</w:t>
            </w:r>
          </w:hyperlink>
        </w:p>
        <w:p>
          <w:pPr>
            <w:pStyle w:val="Contents3"/>
            <w:tabs>
              <w:tab w:val="clear" w:pos="8459"/>
              <w:tab w:val="right" w:pos="9026" w:leader="dot"/>
            </w:tabs>
            <w:rPr/>
          </w:pPr>
          <w:hyperlink w:anchor="__RefHeading___Toc10723959_73709187">
            <w:r>
              <w:rPr>
                <w:webHidden/>
                <w:rStyle w:val="IndexLink"/>
                <w:rtl w:val="true"/>
              </w:rPr>
              <w:t>كفّارة الجِدال</w:t>
            </w:r>
            <w:r>
              <w:rPr>
                <w:rStyle w:val="IndexLink"/>
                <w:rtl w:val="true"/>
              </w:rPr>
              <w:tab/>
            </w:r>
            <w:r>
              <w:rPr>
                <w:rStyle w:val="IndexLink"/>
              </w:rPr>
              <w:t>315</w:t>
            </w:r>
          </w:hyperlink>
        </w:p>
        <w:p>
          <w:pPr>
            <w:pStyle w:val="Contents3"/>
            <w:tabs>
              <w:tab w:val="clear" w:pos="8459"/>
              <w:tab w:val="right" w:pos="9026" w:leader="dot"/>
            </w:tabs>
            <w:rPr/>
          </w:pPr>
          <w:hyperlink w:anchor="__RefHeading___Toc10723961_73709187">
            <w:r>
              <w:rPr>
                <w:webHidden/>
                <w:rStyle w:val="IndexLink"/>
                <w:rtl w:val="true"/>
              </w:rPr>
              <w:t>حكم التدهين وقلع الضرس</w:t>
            </w:r>
            <w:r>
              <w:rPr>
                <w:rStyle w:val="IndexLink"/>
                <w:rtl w:val="true"/>
              </w:rPr>
              <w:tab/>
            </w:r>
            <w:r>
              <w:rPr>
                <w:rStyle w:val="IndexLink"/>
              </w:rPr>
              <w:t>322</w:t>
            </w:r>
          </w:hyperlink>
        </w:p>
        <w:p>
          <w:pPr>
            <w:pStyle w:val="Contents3"/>
            <w:tabs>
              <w:tab w:val="clear" w:pos="8459"/>
              <w:tab w:val="right" w:pos="9026" w:leader="dot"/>
            </w:tabs>
            <w:rPr/>
          </w:pPr>
          <w:hyperlink w:anchor="__RefHeading___Toc10723963_73709187">
            <w:r>
              <w:rPr>
                <w:webHidden/>
                <w:rStyle w:val="IndexLink"/>
                <w:rtl w:val="true"/>
              </w:rPr>
              <w:t>كفّارة قطع الشجرة</w:t>
            </w:r>
            <w:r>
              <w:rPr>
                <w:rStyle w:val="IndexLink"/>
                <w:rtl w:val="true"/>
              </w:rPr>
              <w:tab/>
            </w:r>
            <w:r>
              <w:rPr>
                <w:rStyle w:val="IndexLink"/>
              </w:rPr>
              <w:t>323</w:t>
            </w:r>
          </w:hyperlink>
        </w:p>
        <w:p>
          <w:pPr>
            <w:pStyle w:val="Contents3"/>
            <w:tabs>
              <w:tab w:val="clear" w:pos="8459"/>
              <w:tab w:val="right" w:pos="9026" w:leader="dot"/>
            </w:tabs>
            <w:rPr/>
          </w:pPr>
          <w:hyperlink w:anchor="__RefHeading___Toc10723965_73709187">
            <w:r>
              <w:rPr>
                <w:webHidden/>
                <w:rStyle w:val="IndexLink"/>
                <w:rtl w:val="true"/>
              </w:rPr>
              <w:t>حكم تعدّد اسباب التكفير</w:t>
            </w:r>
            <w:r>
              <w:rPr>
                <w:rStyle w:val="IndexLink"/>
                <w:rtl w:val="true"/>
              </w:rPr>
              <w:tab/>
            </w:r>
            <w:r>
              <w:rPr>
                <w:rStyle w:val="IndexLink"/>
              </w:rPr>
              <w:t>326</w:t>
            </w:r>
          </w:hyperlink>
        </w:p>
        <w:p>
          <w:pPr>
            <w:pStyle w:val="Contents3"/>
            <w:tabs>
              <w:tab w:val="clear" w:pos="8459"/>
              <w:tab w:val="right" w:pos="9026" w:leader="dot"/>
            </w:tabs>
            <w:rPr/>
          </w:pPr>
          <w:hyperlink w:anchor="__RefHeading___Toc10723967_73709187">
            <w:r>
              <w:rPr>
                <w:webHidden/>
                <w:rStyle w:val="IndexLink"/>
                <w:rtl w:val="true"/>
              </w:rPr>
              <w:t>في حكم الجاهل والناسي</w:t>
            </w:r>
            <w:r>
              <w:rPr>
                <w:rStyle w:val="IndexLink"/>
                <w:rtl w:val="true"/>
              </w:rPr>
              <w:tab/>
            </w:r>
            <w:r>
              <w:rPr>
                <w:rStyle w:val="IndexLink"/>
              </w:rPr>
              <w:t>333</w:t>
            </w:r>
          </w:hyperlink>
        </w:p>
        <w:p>
          <w:pPr>
            <w:pStyle w:val="Contents2"/>
            <w:tabs>
              <w:tab w:val="clear" w:pos="8743"/>
              <w:tab w:val="right" w:pos="9026" w:leader="dot"/>
            </w:tabs>
            <w:rPr/>
          </w:pPr>
          <w:hyperlink w:anchor="__RefHeading___Toc10723969_73709187">
            <w:r>
              <w:rPr>
                <w:webHidden/>
                <w:rStyle w:val="IndexLink"/>
                <w:rtl w:val="true"/>
              </w:rPr>
              <w:t>فهرس الموضوعات</w:t>
            </w:r>
            <w:r>
              <w:rPr>
                <w:rStyle w:val="IndexLink"/>
                <w:rtl w:val="true"/>
              </w:rPr>
              <w:tab/>
            </w:r>
            <w:r>
              <w:rPr>
                <w:rStyle w:val="IndexLink"/>
              </w:rPr>
              <w:t>335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09_94361"/>
      <w:bookmarkStart w:id="1" w:name="pg11809_94361"/>
      <w:bookmarkEnd w:id="1"/>
    </w:p>
    <w:p>
      <w:pPr>
        <w:pStyle w:val="Heading2"/>
        <w:numPr>
          <w:ilvl w:val="1"/>
          <w:numId w:val="1"/>
        </w:numPr>
        <w:rPr/>
      </w:pPr>
      <w:bookmarkStart w:id="2" w:name="pg11809_94361"/>
      <w:bookmarkStart w:id="3" w:name="__RefHeading___Toc10723789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23791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الذي أوجب الحَجّ تشيّيداً للدِّين، وجَعَله من القواعد التي عليها بناء الإسلام، والصّلاة على محمّدٍ المبعوث إلى كافّة الأنام، وعلى آله هُداة الخلق، وأعلام الحَقّ‌، واللّعن الدائم على أعدائهم إلى يوم الدِّين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فهذا هو الجزء السادس عشر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وفّقني اللّه سبحانه لطبعه، راجياً منه تعالى التوفيق لنشر بقيّة الأجزاء،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09_94367"/>
      <w:bookmarkStart w:id="8" w:name="pg11809_94367"/>
      <w:bookmarkEnd w:id="8"/>
    </w:p>
    <w:p>
      <w:pPr>
        <w:pStyle w:val="Heading2"/>
        <w:numPr>
          <w:ilvl w:val="1"/>
          <w:numId w:val="1"/>
        </w:numPr>
        <w:rPr/>
      </w:pPr>
      <w:bookmarkStart w:id="9" w:name="pg11809_94367"/>
      <w:bookmarkStart w:id="10" w:name="__RefHeading___Toc10723793_73709187"/>
      <w:bookmarkStart w:id="11" w:name="_Toc3"/>
      <w:bookmarkEnd w:id="9"/>
      <w:bookmarkEnd w:id="10"/>
      <w:r>
        <w:rPr>
          <w:rtl w:val="true"/>
        </w:rPr>
        <w:t>تتمة باب الرابع وإزالة الشعر من غير ضرورة</w:t>
      </w:r>
      <w:r>
        <w:rPr>
          <w:rtl w:val="true"/>
        </w:rPr>
        <w:t>.</w:t>
      </w:r>
      <w:bookmarkEnd w:id="11"/>
    </w:p>
    <w:p>
      <w:pPr>
        <w:pStyle w:val="Heading3"/>
        <w:numPr>
          <w:ilvl w:val="2"/>
          <w:numId w:val="1"/>
        </w:numPr>
        <w:rPr/>
      </w:pPr>
      <w:bookmarkStart w:id="12" w:name="__RefHeading___Toc10723795_73709187"/>
      <w:bookmarkStart w:id="13" w:name="_Toc4"/>
      <w:bookmarkEnd w:id="12"/>
      <w:r>
        <w:rPr>
          <w:rtl w:val="true"/>
        </w:rPr>
        <w:t>حرمة إزالة الشعر على المُحرِم</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الشعر من غير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قليلاً كان أو كثيراً، على رأسه كان أو على بدنه أو لحيته، بالحلق أو النتف، أو النورة أو غيرها،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محقّقاً ومحكيّاً مستفيضاً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عليه العلماء</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بإجماع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حَلْق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تَحْلِقُوا رُؤُسَكُمْ حَتّى يَبْلُغَ اَلْهَدْيُ مَحِلَّهُ‌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ومفهوم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وعلى غيره جملةٌ من الأخبار، وهي ما بين ظاهر في الحرمة ودال عليها بالالتزام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المُحرِم كيف يحكّ رأسه‌؟،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بأظافيره ما لم يدم أو يقطع الشعر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بمفهوم الغاية يدلّ على حرمة قطع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بالنتف، فلا يدلّ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لجواز الحَكّ هو قطع الشعر بما هو قطع، فالمفهوم حرمة قطع الشعر من حيث هو، سواءٌ أكان بالنتف أو غيره، إلّاأنّه مختصّ بالرأس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 بن يزيد،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بحكّ الرأس واللّحية ما لم يلق الشعر</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كسابقه، إلّاأنّه مختصٌّ بالرأس واللّحية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يحتجم‌؟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لا يجد بُدّاً فليحتجم ولا يحلق مكان المحاجم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مختصٌّ بحلق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الصيقل،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ويحتجم ولا يحلق الشعر</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يحتجم المُحرِم ما لم يَحلق أو يقطع الشعر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أعمٌّ من الحلق، لكنّه مختصٌّ بشعر البدن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النصوص تدلّ على الحرمة، بعضها في الرأس، وبعضها فيه وفي اللّحية، وبعضها في البدن، وبعضها وإنْ اختصّ بالحَلق إلّاأنّ في البقيّة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نتف المُحرِم من شعر لحيته وغيرها شيئاً، فعليه أن يُطعم مسكيناً في يده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حَلَق رأسه، أو نتف إبطه ناسياً أو جاهلاً فلا شيء عليه، ومن فعله متعمّداً فعليه دم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أحدكم يده على رأسه أو لحيته وهو مُحرِم، فسقط شيءٌ من الشعر، فليتصدّق بكفٍّ من طعام، أو كفٍّ من سويق</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ونحوها غيرها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هذا القسم على الحرمة تتوقّف على ثبوت الملازمة بين الكفّارة والحرمة، وقد ظهر ممّا ذكرناه دلالة النصوص على حرمة القطع بأيّ نحوٍ كان، بالنتف أو الحلق، أو غيرهما، فدعوى اختصاص النصوص بالنتف لم يظهر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ظهر عدم الاختصاص بشعر الرأس، بل بعض النصوص واردٌ في شعر البدن، وبعضها في شعر الرأس واللّحية، فدعوى الاختصاص للإنصراف غير ظاهر الوجه أيضاً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في طيّ 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bookmarkStart w:id="14" w:name="pg11809_94370"/>
    </w:p>
    <w:p>
      <w:pPr>
        <w:pStyle w:val="Heading3"/>
        <w:numPr>
          <w:ilvl w:val="2"/>
          <w:numId w:val="1"/>
        </w:numPr>
        <w:rPr/>
      </w:pPr>
      <w:bookmarkStart w:id="15" w:name="__RefHeading___Toc10723797_73709187"/>
      <w:bookmarkStart w:id="16" w:name="_Toc5"/>
      <w:bookmarkEnd w:id="14"/>
      <w:bookmarkEnd w:id="15"/>
      <w:r>
        <w:rPr>
          <w:rtl w:val="true"/>
        </w:rPr>
        <w:t>جواز إزالة الشعر للمُحرِم عند الضرورة</w:t>
      </w:r>
      <w:bookmarkEnd w:id="16"/>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بينهم في جواز ازاله الشعر عند الضرورة، من أذيّة قُمّل، أو قروح، أو صُداع، أو حَرّ،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للإجماع</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بإجماع العلماء</w:t>
      </w:r>
      <w:r>
        <w:rPr>
          <w:rStyle w:val="FootnoteAnchor"/>
          <w:rtl w:val="true"/>
        </w:rPr>
        <w:footnoteReference w:id="17"/>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وقاعدة نفي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النصوص</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رسول اللّه صلى الله عليه و آله على كعب بن عجرة الأنصاري، والقُمّل يتناثر من رأسه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أتؤذيك هوامّك‌؟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رسول اللّه صلى الله عليه و آله بحلق رأسه، وجعل عليه الصيام ثلاثه أيّام، والصدقة على ستّة مساكين، لكلّ مسكين مُدّان، والنسك شاة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في القرآن، أو فصاحبه بالخيار يختار ما شاء، وكلّ شيء في القرآن فمن لم يجد فعليه كذا، فالأوّل بالخيار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فالأوّل هو المختار، وما بعده إنّما هو عوض عنه مع عدم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 بن يزيد،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عَرَض له أذى أو وجع، فتعاطى ما لا ينبغي للمُحرِم إذا كان صحيحاً، فصيام ثلاثة أيّام، والصدقة على عشرة مساكين يشبعهم من الطعام، والنسك شاة يذبحها فيأكل ويطعم، وإنّما عليه واحد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أنّه هل يختصّ وجوب الكفّارة عليه بصورة خاصّة أم لا؟ سيأتي التعرّض له في مبحث الكفّارات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عضواً مثلاً كان عليه شعر لم يكن عليه إثم، لعدم صدق إزالة الشعر عليه، مع أنّ الموضوع في النصوص قطع الشعر أو حلقه أو نتفه، وشيء من هذه العناوين لا يصدق على المورد قطعاً، فلا وجه للحكم بجريان حكمه عليه، وما في القصاص من صدق قطع الإصبع بقطع الكفّ إنّما هو لدليلٍ خاص، فما عن الشهيد</w:t>
      </w:r>
      <w:r>
        <w:rPr>
          <w:rStyle w:val="FootnoteAnchor"/>
          <w:rtl w:val="true"/>
        </w:rPr>
        <w:footnoteReference w:id="20"/>
      </w:r>
      <w:r>
        <w:rPr>
          <w:rFonts w:ascii="Amiri" w:hAnsi="Amiri" w:eastAsia="Amiri" w:cs="Amiri"/>
          <w:color w:val="111111"/>
          <w:sz w:val="28"/>
          <w:sz w:val="28"/>
          <w:szCs w:val="28"/>
          <w:rtl w:val="true"/>
          <w:lang w:bidi="ar-SA"/>
        </w:rPr>
        <w:t>من التردّد فيه في غير محلّه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يحرم على المُحرِم أخذ شعر مُحرمٍ آخر،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وغيرها، دعوى الإجماع عليه، لا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يُفهم من الأدلّة عدم جواز وقوع ذلك من أيّ مباشرٍ كان، 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لصحيح معاوية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يأخذ المُحرِم من شعر الحلال</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فإنّه يدلّ بالأولويّة على حُرمة أخذ شعر الحرام، مع أنّ بعض المنع لعلّه مختصٌّ بإزالة الغير، لاحظ نصوص الحجامة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ذكرناه ظهر حرمة أخذ شعر الحلال أيضاً للصحيح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ظهوره في الحرمة، لكونة بالجملة الخبريّة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الشيخ</w:t>
      </w:r>
      <w:r>
        <w:rPr>
          <w:rStyle w:val="FootnoteAnchor"/>
          <w:rtl w:val="true"/>
        </w:rPr>
        <w:footnoteReference w:id="25"/>
      </w:r>
      <w:r>
        <w:rPr>
          <w:rFonts w:ascii="Amiri" w:hAnsi="Amiri" w:eastAsia="Amiri" w:cs="Amiri"/>
          <w:color w:val="111111"/>
          <w:sz w:val="28"/>
          <w:sz w:val="28"/>
          <w:szCs w:val="28"/>
          <w:rtl w:val="true"/>
          <w:lang w:bidi="ar-SA"/>
        </w:rPr>
        <w:t>، وتبعه الفاضل النرافي</w:t>
      </w:r>
      <w:r>
        <w:rPr>
          <w:rStyle w:val="FootnoteAnchor"/>
          <w:rtl w:val="true"/>
        </w:rPr>
        <w:footnoteReference w:id="26"/>
      </w:r>
      <w:r>
        <w:rPr>
          <w:rFonts w:ascii="Amiri" w:hAnsi="Amiri" w:eastAsia="Amiri" w:cs="Amiri"/>
          <w:color w:val="111111"/>
          <w:sz w:val="28"/>
          <w:sz w:val="28"/>
          <w:szCs w:val="28"/>
          <w:rtl w:val="true"/>
          <w:lang w:bidi="ar-SA"/>
        </w:rPr>
        <w:t>من الكراهة،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شمول النصوص للحَكّ الذي يُعلم بترتّب القطع عليه، فإنّ الموضوع في النصوص ليس خصوص الحلق والنتف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يُدّعي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شمولها للإزالة بالحكّ‌</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الموضوع هو القطع الشامل 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ابن عمّار</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كيفيّة حَكّ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بذلك، فإنّه بمفهوم الغاية يدلّ على حرمة الحَكّ‌، الموجب لقطع الشعر، ومن الغريب استدلال بعضهم به لعدم حرمة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يعلم أنّه هل يقطع الشعر بالحَكّ أم لا جاز له ذلك لأصالة البراءة، حتّى ولو ظهر بعد ذلك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الكفّارة فيه وعدمه كلام سيأتي في مبحث الكفّارات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 ظهر حكم تسريح اللّحية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17" w:name="pg11809_94373"/>
    </w:p>
    <w:p>
      <w:pPr>
        <w:pStyle w:val="BookText"/>
        <w:rPr/>
      </w:pPr>
      <w:bookmarkEnd w:id="17"/>
      <w:r>
        <w:rPr>
          <w:rFonts w:ascii="Amiri" w:hAnsi="Amiri" w:eastAsia="Amiri" w:cs="Amiri"/>
          <w:color w:val="111111"/>
          <w:sz w:val="28"/>
          <w:sz w:val="28"/>
          <w:szCs w:val="28"/>
          <w:rtl w:val="true"/>
          <w:lang w:bidi="ar-SA"/>
        </w:rPr>
        <w:t>وإستعمال الدّهن، وتغطية الرأس للرجال،</w:t>
      </w:r>
    </w:p>
    <w:p>
      <w:pPr>
        <w:pStyle w:val="Heading3"/>
        <w:numPr>
          <w:ilvl w:val="2"/>
          <w:numId w:val="1"/>
        </w:numPr>
        <w:rPr/>
      </w:pPr>
      <w:bookmarkStart w:id="18" w:name="__RefHeading___Toc10723799_73709187"/>
      <w:bookmarkStart w:id="19" w:name="_Toc6"/>
      <w:bookmarkEnd w:id="18"/>
      <w:r>
        <w:rPr>
          <w:rtl w:val="true"/>
        </w:rPr>
        <w:t>استعمال الدُّهن</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استعمال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وقد مرّ الكلام فيه في ذيل مبحث الطيب</w:t>
      </w:r>
      <w:r>
        <w:rPr>
          <w:rStyle w:val="FootnoteAnchor"/>
          <w:rtl w:val="true"/>
        </w:rPr>
        <w:footnoteReference w:id="30"/>
      </w:r>
      <w:r>
        <w:rPr>
          <w:rFonts w:ascii="Amiri" w:hAnsi="Amiri" w:eastAsia="Amiri" w:cs="Amiri"/>
          <w:color w:val="111111"/>
          <w:sz w:val="28"/>
          <w:sz w:val="28"/>
          <w:szCs w:val="28"/>
          <w:rtl w:val="true"/>
          <w:lang w:bidi="ar-SA"/>
        </w:rPr>
        <w:t>، وعرفت أنّ المُحرّم استعمال الدّهن الطيّب، وأمّا غيره فجائزٌ</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0723801_73709187"/>
      <w:bookmarkStart w:id="21" w:name="_Toc7"/>
      <w:bookmarkEnd w:id="20"/>
      <w:r>
        <w:rPr>
          <w:rtl w:val="true"/>
        </w:rPr>
        <w:t>حرمة تغطية الرأس على المُحرِم</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تغطية الرأس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محقّقاً ومحكيّاً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علماء الأمصار لا نعلم فيه خلافاً</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على الرّجل حالة الإحرام تغطية رأسه اختياراً بإجماع العلماء</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نصوص</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 السلام يقول لأبي وشَكى إليه </w:t>
      </w:r>
    </w:p>
    <w:p>
      <w:pPr>
        <w:pStyle w:val="BookText"/>
        <w:rPr/>
      </w:pPr>
      <w:r>
        <w:rPr>
          <w:rFonts w:ascii="Amiri" w:hAnsi="Amiri" w:eastAsia="Amiri" w:cs="Amiri"/>
          <w:color w:val="111111"/>
          <w:sz w:val="28"/>
          <w:sz w:val="28"/>
          <w:szCs w:val="28"/>
          <w:rtl w:val="true"/>
          <w:lang w:bidi="ar-SA"/>
        </w:rPr>
        <w:t>حَرّ الشمس وهو مُحرِم وهو يتأذّى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أستتر بطرف ثوبي‌؟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 ما لم يُصبك رأسك</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دلّ بمفهوم الغاية على ثبوت البأس الذي هو العقاب من إصابة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ميمون،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 لا تتنقّب، لأنّ إحرام المرأة في وجهها، وإحرام الرّجل في رأسه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غطّى رأسه ناسياً،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القناع عن رأسه ويُلبّي ولا شيء عليه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المُحرِم يريد أن ينام، يغطّي وجهه من الذباب‌؟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يخمّر رأسه</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أي لا يُغطّي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يجد البرد في اُذنيه، يغطيهما؟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في المقام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الأخبار، بل وصراحة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تغطية الرأس في حال النوم حرامٌ‌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يغطّي رأسه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ووجهه إذا أراد أن ينام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لإعراض الأصحاب عنه لا يُعتمد عليه، فلا يصلح لمعارضة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بعدما لا خلاف بينهم في حرمة سَتر الاُذنين لصحيح عبدالرحمن المتقدّم، وجواز سَتر الوجه لصحيح زرارة المتقدّم وغيره وسيأتي الكلام فيه، اختلفوا في أنّ المراد بالرأس ما يقابل البدن، ليحرم سَتر غير الاُذن والوجه ممّا هو داخلٌ في الرأس مقابل البدن، أم خصوص منابت الشعر حقيقةً أو حكماً، فلا يحرم تغطيته‌؟</w:t>
      </w:r>
    </w:p>
    <w:p>
      <w:pPr>
        <w:pStyle w:val="BookText"/>
        <w:rPr/>
      </w:pPr>
      <w:r>
        <w:rPr>
          <w:rFonts w:ascii="Amiri" w:hAnsi="Amiri" w:eastAsia="Amiri" w:cs="Amiri"/>
          <w:color w:val="111111"/>
          <w:sz w:val="28"/>
          <w:sz w:val="28"/>
          <w:szCs w:val="28"/>
          <w:rtl w:val="true"/>
          <w:lang w:bidi="ar-SA"/>
        </w:rPr>
        <w:t>صرّح الشهيد الثاني رحمه الله بالثاني</w:t>
      </w:r>
      <w:r>
        <w:rPr>
          <w:rStyle w:val="FootnoteAnchor"/>
          <w:rtl w:val="true"/>
        </w:rPr>
        <w:footnoteReference w:id="41"/>
      </w:r>
      <w:r>
        <w:rPr>
          <w:rFonts w:ascii="Amiri" w:hAnsi="Amiri" w:eastAsia="Amiri" w:cs="Amiri"/>
          <w:color w:val="111111"/>
          <w:sz w:val="28"/>
          <w:sz w:val="28"/>
          <w:szCs w:val="28"/>
          <w:rtl w:val="true"/>
          <w:lang w:bidi="ar-SA"/>
        </w:rPr>
        <w:t>، وعن جماعةٍ اختياره</w:t>
      </w:r>
      <w:r>
        <w:rPr>
          <w:rStyle w:val="FootnoteAnchor"/>
          <w:rtl w:val="true"/>
        </w:rPr>
        <w:footnoteReference w:id="42"/>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الأوّل،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التردّد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ابن الحجّاج المتقدّم، الدالّ على حرمة تغطية الاُذنين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الرأس اسمٌ للعضو المخصوص كاليد، وإنْ اختصّ بعض أجزائه باسمٍ آخر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بخبر سماعة الدالّ‌</w:t>
      </w:r>
      <w:r>
        <w:rPr>
          <w:rStyle w:val="FootnoteAnchor"/>
          <w:rtl w:val="true"/>
        </w:rPr>
        <w:footnoteReference w:id="45"/>
      </w:r>
      <w:r>
        <w:rPr>
          <w:rFonts w:ascii="Amiri" w:hAnsi="Amiri" w:eastAsia="Amiri" w:cs="Amiri"/>
          <w:color w:val="111111"/>
          <w:sz w:val="28"/>
          <w:sz w:val="28"/>
          <w:szCs w:val="28"/>
          <w:rtl w:val="true"/>
          <w:lang w:bidi="ar-SA"/>
        </w:rPr>
        <w:t>بالمفهوم على حُرمة تغطية الاُذن في صورة عدم الاضطرار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وبالنبوي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الاُذن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الصحيح الذي يدلّ على حرمة التغطية، أعمّ من كون الاُذن من الرأس، إذ لا مانع من عدم كونه جزءً للرأس ومع ذلك يحرم تغطيته، وإلّا لعارضه صحيح زرارة</w:t>
      </w:r>
      <w:r>
        <w:rPr>
          <w:rStyle w:val="FootnoteAnchor"/>
          <w:rtl w:val="true"/>
        </w:rPr>
        <w:footnoteReference w:id="46"/>
      </w:r>
      <w:r>
        <w:rPr>
          <w:rFonts w:ascii="Amiri" w:hAnsi="Amiri" w:eastAsia="Amiri" w:cs="Amiri"/>
          <w:color w:val="111111"/>
          <w:sz w:val="28"/>
          <w:sz w:val="28"/>
          <w:szCs w:val="28"/>
          <w:rtl w:val="true"/>
          <w:lang w:bidi="ar-SA"/>
        </w:rPr>
        <w:t>الدالّ على عدم لزوم تغطية الوجه، وبه يظهر ما في الاستدلال بخبر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غير مروي من طرقنا، وكون الرأس اسماً للأعمّ أوّل الكلام،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فموضوع الحكم مجملٌ مردّدٌ بين الأقل والأكثر، فبالنسبة إلى المتيقّن يثبت الحكم، وفي الزائد عليه يشكّ في الحكم، والمرجع حينئذٍ إلى أصالة البراءة عن حرمة تغطيته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تغطية بعض الرأس، كما يحرم تغطيته، لأنّ النهي عن إدخال الشيء في الوجود، يستلزم النهي عن إدخال أبعاضه، ولهذا لما حَرّم اللّه تعالى حلق الرأس، تناول التحريم حلق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بإدخال الشيء في الوجود، يستلزم الأمر بإدخال أبعاضه، إذ لا يدخل الشيء في الوجود إلّابدخول أبعاضه، وهذا لا يتمّ في طرف النهي، فإنّ عدم إدخال الشيء في الوجود، كما يكون بعدم إدخال جميع أبعاضه، كذلك قد يكون بعدم إدخال جزء من أبعاضه، إذ الكلّ ينتفي بانتفاء الجزء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2" w:name="pg11809_94377"/>
    </w:p>
    <w:p>
      <w:pPr>
        <w:pStyle w:val="BookText"/>
        <w:rPr/>
      </w:pPr>
      <w:bookmarkEnd w:id="22"/>
      <w:r>
        <w:rPr>
          <w:rFonts w:ascii="Amiri" w:hAnsi="Amiri" w:eastAsia="Amiri" w:cs="Amiri"/>
          <w:color w:val="111111"/>
          <w:sz w:val="28"/>
          <w:sz w:val="28"/>
          <w:szCs w:val="28"/>
          <w:rtl w:val="true"/>
          <w:lang w:bidi="ar-SA"/>
        </w:rPr>
        <w:t>وعليه، فالأولى أن يستدلّ له بصحيح ابن سنان</w:t>
      </w:r>
      <w:r>
        <w:rPr>
          <w:rStyle w:val="FootnoteAnchor"/>
          <w:rtl w:val="true"/>
        </w:rPr>
        <w:footnoteReference w:id="47"/>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يتأذّى من حَرّ الشمس، فيستتر بطرف ثوبه‌؟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يصبك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إطلاق إصابة الرأس المُحرّمة، يشمل إصابة بعض الرأس</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0723803_73709187"/>
      <w:bookmarkStart w:id="24" w:name="_Toc8"/>
      <w:bookmarkEnd w:id="23"/>
      <w:r>
        <w:rPr>
          <w:rtl w:val="true"/>
        </w:rPr>
        <w:t>الستر باليد</w:t>
      </w:r>
      <w:bookmarkEnd w:id="24"/>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ستر رأسه بيده، أو بعض أعضائه ببعضٍ‌، فالوجه الجواز</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انتهى‌، 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وعن الشيخ أيضاً</w:t>
      </w:r>
      <w:r>
        <w:rPr>
          <w:rStyle w:val="FootnoteAnchor"/>
          <w:rtl w:val="true"/>
        </w:rPr>
        <w:footnoteReference w:id="50"/>
      </w:r>
      <w:r>
        <w:rPr>
          <w:rFonts w:ascii="Amiri" w:hAnsi="Amiri" w:eastAsia="Amiri" w:cs="Amiri"/>
          <w:color w:val="111111"/>
          <w:sz w:val="28"/>
          <w:sz w:val="28"/>
          <w:szCs w:val="28"/>
          <w:rtl w:val="true"/>
          <w:lang w:bidi="ar-SA"/>
        </w:rPr>
        <w:t xml:space="preserve">، وتبعهما جمعٌ من المحقّقين كصاحبي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التزم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وأظهر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لما أفاده المصنّف رحمه الله بأنّ الستر بما هو متّصلٌ به لا يثبت له حكم الستر، ولذا لو وضع يديه على فرجه، لم يُجزه في الصلاة، فإنّ ذلك قابلٌ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لوجوب مسح الرأس في الوضوء، المقتضي لستره باليد في الجملة، فإنّه يمكن الالتزام بالتخصيص</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لصحيح معاوية عن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يضع </w:t>
      </w:r>
    </w:p>
    <w:p>
      <w:pPr>
        <w:pStyle w:val="BookText"/>
        <w:rPr/>
      </w:pPr>
      <w:r>
        <w:rPr>
          <w:rFonts w:ascii="Amiri" w:hAnsi="Amiri" w:eastAsia="Amiri" w:cs="Amiri"/>
          <w:color w:val="111111"/>
          <w:sz w:val="28"/>
          <w:sz w:val="28"/>
          <w:szCs w:val="28"/>
          <w:rtl w:val="true"/>
          <w:lang w:bidi="ar-SA"/>
        </w:rPr>
        <w:t>المُحرِم ذراعه علي وجهه من حَرّ الشمس، ولا بأس أن يستربعض جسده ببعض</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خبر المُعلّى بن خُنيس،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يستترُ المُحرِم من حَرّ الشمس بثوبٍ‌، ولا بأس أن يستر بعض جسده ببعض</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ونحوهما صحيح ابن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 جعفر بن المثنّى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استدلّ بها جمعٌ من المحقّقين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لأنّه يعارضها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سعيد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عن المُحرِم يستتر من الشمس بعودٍ وبيده‌؟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من علّة</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وهو أخصّ ويقدّم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الجميع في التظليل دون التغطية، ومن الغريب أنّ الفاضل النراقي رحمه الله رَدّ موثّق الأعرج بأنّه في التظليل، وأنّه لا ربط له بالمقام</w:t>
      </w:r>
      <w:r>
        <w:rPr>
          <w:rStyle w:val="FootnoteAnchor"/>
          <w:rtl w:val="true"/>
        </w:rPr>
        <w:footnoteReference w:id="57"/>
      </w:r>
      <w:r>
        <w:rPr>
          <w:rFonts w:ascii="Amiri" w:hAnsi="Amiri" w:eastAsia="Amiri" w:cs="Amiri"/>
          <w:color w:val="111111"/>
          <w:sz w:val="28"/>
          <w:sz w:val="28"/>
          <w:szCs w:val="28"/>
          <w:rtl w:val="true"/>
          <w:lang w:bidi="ar-SA"/>
        </w:rPr>
        <w:t>، واستدلّ بتلك النصوص مع أنّها أيضاً في التظليل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العناوين المأخوذة في النصوص من تخمير الرأس والسَّتر بالثوب وما شاكل لا تشمل السّتر باليد، ولما دلّ من النصوص إلى جواز حَكّ الرأس ما لم يَخرج الدّم، ولم يقطع الشعر، المتقدّم في مسألة إزالة الشعر، فإنّ حَكّ الرأس مستلزمٌ لستر بعضه باليد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السَّتر بغير المعتاد للسَّتر، كالطين والحَنّاء والزنبيل والقرطاس وما شاكل،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 لا يجوز كما هو المنسوب إلى الأصحاب</w:t>
      </w:r>
      <w:r>
        <w:rPr>
          <w:rStyle w:val="FootnoteAnchor"/>
          <w:rtl w:val="true"/>
        </w:rPr>
        <w:footnoteReference w:id="6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أجد فيه خلافاً</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علمائنا</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أدلّة حرمة تغطية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منع المُحرمة تغطية وجهها بالمروحة، بناءً على أنّها من غير المتعارف، وعلى تساويهما في ذلك وإنْ اختلفا في محلّ إحرامهما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المنع من الارتماس في الماء، بناءً على أنّه من التغطية أو بمعناها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يختصّ ذلك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استثناء عصام القربة وغير ذلك، إذ لو كانت التغطية بغير المتعارف جائزة، لم يكن وجهٌ للإستثناء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المنهيّ عنه في النصوص، السَّتر بالثوب وتخمير الرأس ووضع القناع عليه وما شاكل من العناوين غير الشاملة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الانصراف إلى المعتاد الذي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فيرد عليه أنّه على فرضه بدوى يزول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مختصٌّ بمورده، والتعدّي إلى المقام يحتاج إلى دليل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دلّ على حرمة الارتماس، ولا نعلم وجه ذلك، بل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فتوى الأصحاب</w:t>
      </w:r>
      <w:r>
        <w:rPr>
          <w:rStyle w:val="FootnoteAnchor"/>
          <w:rtl w:val="true"/>
        </w:rPr>
        <w:footnoteReference w:id="64"/>
      </w:r>
      <w:r>
        <w:rPr>
          <w:rFonts w:ascii="Amiri" w:hAnsi="Amiri" w:eastAsia="Amiri" w:cs="Amiri"/>
          <w:color w:val="111111"/>
          <w:sz w:val="28"/>
          <w:sz w:val="28"/>
          <w:szCs w:val="28"/>
          <w:rtl w:val="true"/>
          <w:lang w:bidi="ar-SA"/>
        </w:rPr>
        <w:t>بجواز أن يغسل رأسه ويفيض عليه الماء، كاشفٌ عن كونه محرّماً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الاستثناء إنّما يكون بلسان بيان الجواز، لا بعنوان الاستثناء كي يستدلّ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حرمته، إلّاأنّ الأحوط البتّة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غير واحدٍ، من أنّه لا بأس بالتوسّد</w:t>
      </w:r>
      <w:r>
        <w:rPr>
          <w:rStyle w:val="FootnoteAnchor"/>
          <w:rtl w:val="true"/>
        </w:rPr>
        <w:footnoteReference w:id="65"/>
      </w:r>
      <w:r>
        <w:rPr>
          <w:rFonts w:ascii="Amiri" w:hAnsi="Amiri" w:eastAsia="Amiri" w:cs="Amiri"/>
          <w:color w:val="111111"/>
          <w:sz w:val="28"/>
          <w:sz w:val="28"/>
          <w:szCs w:val="28"/>
          <w:rtl w:val="true"/>
          <w:lang w:bidi="ar-SA"/>
        </w:rPr>
        <w:t>بالوسادة أو العمامة المكورة، مع أنّه يلزم منه ستر بعض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الجواز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وغيرها، من جواز التلبيد للمُحرِم، بأنْ يَطلي رأسه بَعَسل أو صمغ، ليجتمع الشعر ويتلبّد، فلا يتخلّله الغبار، ولا يصيبه الشعث، ولا يقع فيه الدبيب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بأنّ ذلك كان معروفاً سابقاً ما رواه زرارة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الإمام الصادق عليه السلام عن المُحرِم يَحكّ رأسه‌؟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 رأسه ما لم يتعمّد قتل دابّة، ولا بأس أن يغتسل بالماء، ويصبّ على رأسه ما لم يكن ملبّداً، فإنْ كان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5" w:name="pg11809_94381"/>
    </w:p>
    <w:p>
      <w:pPr>
        <w:pStyle w:val="BookText"/>
        <w:rPr/>
      </w:pPr>
      <w:bookmarkEnd w:id="25"/>
      <w:r>
        <w:rPr>
          <w:rFonts w:ascii="Amiri" w:hAnsi="Amiri" w:eastAsia="Amiri" w:cs="Amiri"/>
          <w:color w:val="111111"/>
          <w:sz w:val="28"/>
          <w:sz w:val="28"/>
          <w:szCs w:val="28"/>
          <w:rtl w:val="true"/>
          <w:lang w:bidi="ar-SA"/>
        </w:rPr>
        <w:t>ملبّداً، فلا يفيض على رأسه الماء إلّامن الاحتلام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شاهد على دعوانا، وإنْ كان في دلالته على جوازه مطلقاً حتّى في حال الاختيار نظرٌ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 على رأسه شيئاً غير ملاصق به، بأن رفعه عنه بآلةٍ ونحوها، فهل 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جواز ذلك من حيث حرمة التغطية، وإنْ لم يجز من حيث التظليل</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0723805_73709187"/>
      <w:bookmarkStart w:id="27" w:name="_Toc9"/>
      <w:bookmarkEnd w:id="26"/>
      <w:r>
        <w:rPr>
          <w:rtl w:val="true"/>
        </w:rPr>
        <w:t>المستثنيات</w:t>
      </w:r>
      <w:bookmarkEnd w:id="27"/>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استنثى من حرمة التغطية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عصام القربة على رأسه، فإنّه جائزٌ اختياراً، وإنْ لزم منه ستر بعض الرأس، والظاهر عدم الخلاف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ويشهد به صحيح محمّد بن مسلم،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يضع عِصام القربة على رأسه إذا استسقى؟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كما ترى مطلق لا اختصاص له بحال الضرورة، وهو أيضاً يؤيّد عدم حرمة التغطية بغير المعتاد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عصابة الصّداع،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وهب،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بأن يُعصّب المُحرِم رأسه </w:t>
      </w:r>
    </w:p>
    <w:p>
      <w:pPr>
        <w:pStyle w:val="BookText"/>
        <w:rPr/>
      </w:pPr>
      <w:r>
        <w:rPr>
          <w:rFonts w:ascii="Amiri" w:hAnsi="Amiri" w:eastAsia="Amiri" w:cs="Amiri"/>
          <w:color w:val="111111"/>
          <w:sz w:val="28"/>
          <w:sz w:val="28"/>
          <w:szCs w:val="28"/>
          <w:rtl w:val="true"/>
          <w:lang w:bidi="ar-SA"/>
        </w:rPr>
        <w:t>من الصُّداع</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حسن يعقوب بن شعيب فيمن به قُرحة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صحيحي العصابتين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التعصيب مطلقاً، كما عن ابن حمزة</w:t>
      </w:r>
      <w:r>
        <w:rPr>
          <w:rStyle w:val="FootnoteAnchor"/>
          <w:rtl w:val="true"/>
        </w:rPr>
        <w:footnoteReference w:id="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يجوز التعصيب لحاجةٍ‌،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أم يجوز إذا وصل إلى حَدّ الضرورة،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وجوهٌ‌، إلّاأنّ الظاهر إرجاع القول الثاني إلى الثالث، وأنّ مرادهم بالحاجة الضرورة، لأنّ المصنّف رحمه الله 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اختاره بما دلّ على نفي الحرج، وعليه فالوجه فيه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ابن حمزة</w:t>
      </w:r>
      <w:r>
        <w:rPr>
          <w:rStyle w:val="FootnoteAnchor"/>
          <w:rtl w:val="true"/>
        </w:rPr>
        <w:footnoteReference w:id="86"/>
      </w:r>
      <w:r>
        <w:rPr>
          <w:rFonts w:ascii="Amiri" w:hAnsi="Amiri" w:eastAsia="Amiri" w:cs="Amiri"/>
          <w:color w:val="111111"/>
          <w:sz w:val="28"/>
          <w:sz w:val="28"/>
          <w:szCs w:val="28"/>
          <w:rtl w:val="true"/>
          <w:lang w:bidi="ar-SA"/>
        </w:rPr>
        <w:t>فلم يظهر وجهه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التغطية في حال الإضطرار، والظاهر أنّه لا خلاف ولا إشكال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8" w:name="pg11809_94383"/>
    </w:p>
    <w:p>
      <w:pPr>
        <w:pStyle w:val="BookText"/>
        <w:rPr/>
      </w:pPr>
      <w:bookmarkEnd w:id="28"/>
      <w:r>
        <w:rPr>
          <w:rFonts w:ascii="Amiri" w:hAnsi="Amiri" w:eastAsia="Amiri" w:cs="Amiri"/>
          <w:color w:val="111111"/>
          <w:sz w:val="28"/>
          <w:sz w:val="28"/>
          <w:szCs w:val="28"/>
          <w:rtl w:val="true"/>
          <w:lang w:bidi="ar-SA"/>
        </w:rPr>
        <w:t>في جوازها، لعموم ما دلّ على إباحة المحظورات في حال الضرورة، وقاعدة نفي الحَرَج والضرر</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0723807_73709187"/>
      <w:bookmarkStart w:id="30" w:name="_Toc10"/>
      <w:bookmarkEnd w:id="29"/>
      <w:r>
        <w:rPr>
          <w:rtl w:val="true"/>
        </w:rPr>
        <w:t>تغطية المُحرِم وجهه</w:t>
      </w:r>
      <w:bookmarkEnd w:id="30"/>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تغطية الرّجل المُحرِم وجهه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المشهور بين الأصحاب من الجواز، بل 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يباح للمُحرِم ستر وجهه، فلا يجبُ عليه كشف الوجه إذا كان رجلاً، ذهب إليه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للمُحرِم تغطية وجهه عند علمائنا أجمع</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العُمّاني، من الحكم بعدم الجواز</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للجواز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الأصل، وإلى ما تقدّم من النصوص في تغطية الرأس، الدالّة على جواز تغطية الوجه، سيّما الصحيح المتضمّن للتفصيل بين الرّجل والمرأة</w:t>
      </w:r>
      <w:r>
        <w:rPr>
          <w:rStyle w:val="FootnoteAnchor"/>
          <w:rtl w:val="true"/>
        </w:rPr>
        <w:footnoteReference w:id="90"/>
      </w:r>
      <w:r>
        <w:rPr>
          <w:rFonts w:ascii="Amiri" w:hAnsi="Amiri" w:eastAsia="Amiri" w:cs="Amiri"/>
          <w:color w:val="111111"/>
          <w:sz w:val="28"/>
          <w:sz w:val="28"/>
          <w:szCs w:val="28"/>
          <w:rtl w:val="true"/>
          <w:lang w:bidi="ar-SA"/>
        </w:rPr>
        <w:t xml:space="preserve">القاطع للشركة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ابن البُختري، عن جعفر، عن أبيه، عن علي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يغطّي وجهه عند النوم، والغبار إلى طرار شعره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منتهى شعره، وهو القصاص الذي هو منتهى حَدّ الوجه من الأعلى‌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وقد توضّأ وهو مُحرِم، ثمّ أخذ منديلاً فمسح به وجهه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الملك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يتوضّأ ثمّ يُجلّل وجهه بالمنديل يخمّره كلّه‌؟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هل يصلح له أن يطرح الثوب على وجهه من الذباب وينام‌؟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وبإزاء هذه النصوص طائفتان 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تتضمّن خبرين 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للمُحرِم أن يجوز بثوبه فوق أنفه، ولا بأس أن يمدّ المُحرِم ثوبه حتّى يبلغ أنفه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البُختري وهشام بن الحكم، جميعاً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يكره للمُحرِم أن يجوز ثوبه أنفه من أسفل،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 لمن أحرمت له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يتضمّن أنّ فيه الكفّارة، وهو صحيح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غَطّى وجهه فليطعم مسكيناً في يده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1" w:name="pg11809_94385"/>
    </w:p>
    <w:p>
      <w:pPr>
        <w:pStyle w:val="BookText"/>
        <w:rPr/>
      </w:pPr>
      <w:bookmarkEnd w:id="3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الطائفتين يحتمل أن تكون مدرك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الأولى غير ظاهرة في الحرمة، فإنّ الكراهة وإنْ لم تكن ظاهرة في المصطلحة، إلّاأنّها ليست ظاهرة في إرادة الحرمة، وعلى فرض ظهورها فيها تُحمل على المصطلحة، للنصوص المتقدّمة الصريحة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وإنْ كانت ظاهرة في الحرمة، من جهة الملازمة بين الكفّارة والحرمة، إلّا أنّ الملازمة إنّما تكون ثابتة مع عدم الدليل على الجواز، وقد مرّ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قطع النظر عمّا سيأتي في مبحث الكفّارات من أنّ الصحيح محمولٌ على الاستحباب، فإنّ الجمع بين الطائفتين يقتضي البناء على ما ذهب إليه الشيخ</w:t>
      </w:r>
      <w:r>
        <w:rPr>
          <w:rStyle w:val="FootnoteAnchor"/>
          <w:rtl w:val="true"/>
        </w:rPr>
        <w:footnoteReference w:id="98"/>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الجواز مع ثبوت الكفّارة، ولكن سيأتي الكلام في وجوب الكفّارة أو استحبابها في مبحث الكفّارات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0723809_73709187"/>
      <w:bookmarkStart w:id="33" w:name="_Toc11"/>
      <w:bookmarkEnd w:id="32"/>
      <w:r>
        <w:rPr>
          <w:rtl w:val="true"/>
        </w:rPr>
        <w:t>ارتماس المُحرِم في الماء</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حرمة أن يرتمس المُحرِم في الماء،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وغيره، دعوى الإجماع عليها، ويشهد بها 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ترتمس في ماءٍ تُدخل فيه رأسك</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يرتمس المُحرِم في الماء</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يرتمس المُحرِم في الماء ولا الصائم</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النصوص مختصّة بالماء، فإسراء الحكم إلى غيره من المايعات متوقّفٌ على ما ادّعاه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08"/>
      </w:r>
      <w:r>
        <w:rPr>
          <w:rFonts w:ascii="Amiri" w:hAnsi="Amiri" w:eastAsia="Amiri" w:cs="Amiri"/>
          <w:color w:val="111111"/>
          <w:sz w:val="28"/>
          <w:sz w:val="28"/>
          <w:szCs w:val="28"/>
          <w:rtl w:val="true"/>
          <w:lang w:bidi="ar-SA"/>
        </w:rPr>
        <w:t>من أنّ حرمة الارتماس من جهة التغطية، وهذه العلّة جارية في غيره، أو على تنقيح المناط، أو شمول دليل حرمة التغطية للارتماس في المايعات الاُخر، وشيءٌ من ذلك لا يمكن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الدليل ظاهر في موضوعيّة الارتماس نفسه للحكم، وحمله على أنّه من باب التغطية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العلم بالمناط حتّى يُحرز وجوده في المايعات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دليل حرمة التغطية مختصٌّ بالسَّتر بالمعتاد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ما ذكرناه عدم حرمة ارتماس بعض الرأس، إذ لو كان للإرتماس موضوعيّة، لا أنّه من مصاديق التغطية، والفرض ظهور النصوص في ارتماس تمام الرأس كما في باب الصوم، يصبح ارتماس بعض الرأس خالياً عن الإشكال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غَسل الرأس بإفاضة الماء عليه أم 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أنّه لا خلاف في جوازه،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وغيرها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الأصل، بعد عدم شمول دليل عدم جواز الارتماس، وعدم جواز التغطية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المُحرِم من الجنابة، صَبّ على رأسه الماء، يميّز الشعر بأنامله بعضه من بعض</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المُحرِم يغتسل‌؟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يفيض الماء على رأسه ولا يدلكه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هل يَحكّ رأسه أو يغتسل بالماء؟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 رأسه ما لم يتعمّد قتل دابّةٍ‌، ولا بأس بأن يغتسل بالماء، ويصبّ على رأسه</w:t>
      </w:r>
      <w:r>
        <w:rPr>
          <w:rStyle w:val="FootnoteAnchor"/>
          <w:rtl w:val="true"/>
        </w:rPr>
        <w:footnoteReference w:id="114"/>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 النصوص، عدم الفرق بين الغُسل الواجب والمستحبّ‌، كما أنّ مقتضى الدليل الأوّل جواز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غَطّى رأسه ناسياً، ألقى الغطاء واجباً بلا خلاف، فإنّ التغطية محرّمة ابتداءً واستدامةً‌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4" w:name="pg11809_94388"/>
    </w:p>
    <w:p>
      <w:pPr>
        <w:pStyle w:val="BookText"/>
        <w:rPr/>
      </w:pPr>
      <w:bookmarkEnd w:id="34"/>
      <w:r>
        <w:rPr>
          <w:rFonts w:ascii="Amiri" w:hAnsi="Amiri" w:eastAsia="Amiri" w:cs="Amiri"/>
          <w:color w:val="111111"/>
          <w:sz w:val="28"/>
          <w:sz w:val="28"/>
          <w:szCs w:val="28"/>
          <w:rtl w:val="true"/>
          <w:lang w:bidi="ar-SA"/>
        </w:rPr>
        <w:t>والتظليل سائراً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مُحرمٍ غَطّى رأسه ناسياً؟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القناع عن رأسه ويُلبّي، ولا شيء عليه</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الصحيح وجوب التلبية، كما أنّه مقتضى صحيح الحلبي الذي رواه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يغطّي رأسه ناسياً أو نائماً؟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 إذا ذكر</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تسالم الأصحاب على الاستحباب يوجبُ رفع اليد عن ظهورهما في الوجوب، ويُحملان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الشيخ وابني حمزة وسعيد وعن بعضٍ آخر وجوب التلبية، وبعض من قال بعدم الوجوب استند إلى عدم ظهور الجملة الخبريّة في الوجوب، وعليه فلا وجه لرفع اليد عن ظاهر الخبرين، والاحتياط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التغطية مختصّة بالرجل بلا خلافٍ‌، بل إجماعاً محقّقاً ومحكيّاً، والنصوص شاهدة به، مضافاً إلى اختصاص نصوص المنع بالرجل، ولكن المعروف بين الأصحاب أنّ عليها أن تُسفر عن وجهها، وسيأتي التعرّض لهذه المسألة عند تعرّض المصنّف رحمه الله لها في المكروهات، فانتظر</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0723811_73709187"/>
      <w:bookmarkStart w:id="36" w:name="_Toc12"/>
      <w:bookmarkEnd w:id="35"/>
      <w:r>
        <w:rPr>
          <w:rtl w:val="true"/>
        </w:rPr>
        <w:t>حرمة التظليل على المُحرِم سائراً</w:t>
      </w:r>
      <w:bookmarkEnd w:id="3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التظليل سائراً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أن يركب مركباً يوجبُ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كالطيّارة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علمائنا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علمائنا أجمع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 الجُنيد عدم حرمته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تبلغ ثلاثين حديثاً وألسنتها مختلفة، ولذلك وقع الخلاف في الخصوصيّات والقيود، فلابدّ أوّلاً من استعراض النصوص، ثمّ بيان ما يستفاد منها، وهي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على جواز التظليل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المُحرِم يركب في القُبّة‌؟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إلّاأنْ يكون مريضاً،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بن دراج،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بالظلال للنساء، وقد رُخّص فيه للرِّجال</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اُظلّل وأنا مُحرِم‌؟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وعليك الكفّارة،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عليّاً إذا قَدِم مكّة ينحرُ بدنة لكفّارة الظِلّ‌</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أنّ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موسى بن القاسم، والمراد من علي القادم إلى مكّة هو علي بن جعفر عليه السلام، ولكن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رحمه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به علي ابن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ولعلّه من جهة أنّ النسخة التي كانت عنده ذكر فيها عليه السلام فحَمَله على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التظليل بركوب القُبّة أو الَمحْمِل أو الكنيسة</w:t>
      </w:r>
      <w:r>
        <w:rPr>
          <w:rStyle w:val="FootnoteAnchor"/>
          <w:rtl w:val="true"/>
        </w:rPr>
        <w:footnoteReference w:id="124"/>
      </w:r>
      <w:r>
        <w:rPr>
          <w:rFonts w:ascii="Amiri" w:hAnsi="Amiri" w:eastAsia="Amiri" w:cs="Amiri"/>
          <w:color w:val="111111"/>
          <w:sz w:val="28"/>
          <w:sz w:val="28"/>
          <w:szCs w:val="28"/>
          <w:rtl w:val="true"/>
          <w:lang w:bidi="ar-SA"/>
        </w:rPr>
        <w:t>، ولا يدلّ على حرمة التظليل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يركب القُبّة‌؟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المُحرِمة‌؟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يركب في الكنيسة،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في النساء جائز</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المروي في الاحتجاج،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محمّد بن الحسن أبا الحسن موسى بن جعفر عليه السلام بمحضرٍ من الرشيد وهم بمكّة،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للمُحرِم أن يُظلّل عليه محمله‌؟ فقال 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أفيجوز أن يمشي تحت الظلال مختاراً؟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فتضاحك محمّد بن الحسن من ذلك، فقال 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أتعجبُ من سُنّة النبيّ صلى الله عليه و آله وتستهزئ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كشف ظلاله في إحرامه، ومشى تحت الظلال وهو مُحرِم، إنّ أحكام اللّه يا محمّد لا تُقاس، فمن قاس بعضها على بعض فقد ضَلّ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محمّد بن الحسن لا يرجعُ جواباً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حرمة التظليل الّذي هو أعمٌّ من القُبّة ونحوها،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اُظلّل وأنا مُحرِم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أفاُظلّل وأكفّر؟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مرضتُ؟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ضلّل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حاجّ يُضحى مُلبيّاً حتّى تغيب الشمس إلّاغابت ذنوبه معها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يُظلّل عليه وهو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إلّامريضٍ‌، أو من به علّة، والذي لا يطيق الشمس</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منصور،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الظلال للمُحرِم‌؟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يظلّل إلّامن علّة أو مرض</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في دهليز يحيى بن خالد بمكّة، وكان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هناك أبو الحسن موسى عليه السلام وأبو يوسف، فقام إليه أبو يوسف وتربّع بين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يظلّل‌؟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فيستظلّ بالجدار والمَحمل، ويدخل البيت والخِباء؟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صلى الله عليه و آله فأحرم ولم يظلّل، ودخل البيت والخِباء واستظلّ بالمَحمل والجدار، ففعلنا كما فَعل رسول اللّه صلى الله عليه و آله، فسكت</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ونحوها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حرمة الاستظلال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جعفر بن المثنّى الخطيب، قال 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أسرّك يا ابن مثنى؟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تقولُ في المُحرِم يستظلّ على المحمل‌؟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فيستظلّ في الخباء؟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يركب راحلته، فلا يستظلّ عليها، وتؤذيه الشمس فيستر بعض جسده ببعض، وربما يسترُ وجهه بيده، وإذا نزل استظلّ بالخباء وفي البيت وبالجدار</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عن أبي الحسن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أنّه لا يستطيع أن تصيبه الشمس، فليستظلّ منها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الإستتار عن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عبد الخالق،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هل يستتر المُحرِم من الشمس‌؟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يكون شيخاً كبيراً،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علّة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المعلّى بن خُنيس،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يستتر المُحرِم من الشمس بثوبٍ‌، ولا بأس أن يستتر بعضه ببعض</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يضع المُحرِم ذراعه على وجهه من حَرّ الشمس، ولا بأس أن يستر بعض جسده ببعض</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بمفهومه يدلّ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سعيد الأعرج،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يستتر من الشمس بعودٍ وبيده‌؟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إلّامن علّة</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عن الظلّ لفوات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بن البُختري، وهشام بن الحكم، جميعاً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يكره للمُحرِم أن يجوز ثوبه أنفه من أسفل،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 لمن أحرمت له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عبداللّه بن المغيرة،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حاجٍّ يُضحى ملبّياً حتّى تغيب الشمس إلّاغابت ذنوبه معها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الظلال للمُحرِم‌؟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لمن أحرمت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محرورٌ وأنّ الحَرّ يشتدّ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الشمس تغربُ بذنوب المجرمين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الكلابي،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كما زعم فليظلّل، وأمّا أنتَ فاضحُ لمن أحرمت له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الكلام فيما يستفاد من هذه النصوص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الطوائف الخمس الأخيرة تدلّ على حرمة التظليل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الأُولى فشيءٌ من نصوصها لا يدلّ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 الحلبي، فلأنّ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صريحاً ولا ظاهراً في الجواز، غايته عدم الظهور في الحرمة، فبقرينة سائر النصوص يُحمل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عليه السلام في صحيح جميل</w:t>
      </w:r>
      <w:r>
        <w:rPr>
          <w:rStyle w:val="FootnoteAnchor"/>
          <w:rtl w:val="true"/>
        </w:rPr>
        <w:footnoteReference w:id="1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رُخّص فيه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 الترخيص إنّما يُطلق على ما منع منه أوّلاً ثمّ اُذن فيه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غايته الإطلاق، فبواسطة النصوص المتقدّمة المفصّلة جملةً منها بين حال الضرورة وغيرها، يُخصّص بحال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علي بن جعفر، فلأنّه قضيّةٌ في واقعة لا إطلاق له، وعلى فرض الإطلاق يخصّص بحال الضرورة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تماميّة دلالتها، فالجمعُ العرفي بين النصوصء</w:t>
      </w:r>
      <w:r>
        <w:rPr>
          <w:rFonts w:eastAsia="Amiri" w:cs="Amiri" w:ascii="Amiri" w:hAnsi="Amiri"/>
          <w:color w:val="111111"/>
          <w:sz w:val="28"/>
          <w:szCs w:val="28"/>
          <w:rtl w:val="true"/>
          <w:lang w:bidi="ar-SA"/>
        </w:rPr>
        <w:t xml:space="preserve">. </w:t>
      </w:r>
      <w:bookmarkStart w:id="37" w:name="pg11809_94395"/>
    </w:p>
    <w:p>
      <w:pPr>
        <w:pStyle w:val="BookText"/>
        <w:rPr/>
      </w:pPr>
      <w:bookmarkEnd w:id="37"/>
      <w:r>
        <w:rPr>
          <w:rFonts w:ascii="Amiri" w:hAnsi="Amiri" w:eastAsia="Amiri" w:cs="Amiri"/>
          <w:color w:val="111111"/>
          <w:sz w:val="28"/>
          <w:sz w:val="28"/>
          <w:szCs w:val="28"/>
          <w:rtl w:val="true"/>
          <w:lang w:bidi="ar-SA"/>
        </w:rPr>
        <w:t>يقتضي حملها على حال الضرورة، لا حمل نصوص المنع على الكراهة كما عن ابن الجُنيد</w:t>
      </w:r>
      <w:r>
        <w:rPr>
          <w:rStyle w:val="FootnoteAnchor"/>
          <w:rtl w:val="true"/>
        </w:rPr>
        <w:footnoteReference w:id="143"/>
      </w:r>
      <w:r>
        <w:rPr>
          <w:rFonts w:ascii="Amiri" w:hAnsi="Amiri" w:eastAsia="Amiri" w:cs="Amiri"/>
          <w:color w:val="111111"/>
          <w:sz w:val="28"/>
          <w:sz w:val="28"/>
          <w:szCs w:val="28"/>
          <w:rtl w:val="true"/>
          <w:lang w:bidi="ar-SA"/>
        </w:rPr>
        <w:t>، لأنّ الجمع الموضوعي مقدّمٌ على الجمع الحكمي، فالقول بالجواز ضعيفٌ‌</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0723813_73709187"/>
      <w:bookmarkStart w:id="39" w:name="_Toc13"/>
      <w:bookmarkEnd w:id="38"/>
      <w:r>
        <w:rPr>
          <w:rtl w:val="true"/>
        </w:rPr>
        <w:t>التظليل في حال النزول والوقوف</w:t>
      </w:r>
      <w:bookmarkEnd w:id="39"/>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حرمة التظليل بحالة السّير، فلا يكون الاستظلال بالسقف والخيمة والشجرة وما شاكل حال النزول حراماً، لضرورة أو غير ضرورة، بلا خلافٍ‌،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بالإجماعين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بقسمية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ابن الفُضيل وجعفر المتقدّمان في الطائفة الرابعة من النصوص، ومثلهما خبر الحسين بن مسلم، عن أبي جعفر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ما فرق بين الفسطاط وبين ظِلّ المحمل‌؟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يستظلّ في المحمل، والفرق بينهما أنّ المرأة تطمث في شهر رمضان فتقضي الصيام ولا تقضي الصلاة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الأخبار المُنجبرة بالعمل يقيّد إطلاق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التظليل في المركب حال الوقوف أم لا؟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إطلاق أدلّة حرمة التظليل واختصاص المقيّدات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w:t>
      </w:r>
      <w:r>
        <w:rPr>
          <w:rFonts w:eastAsia="Amiri" w:cs="Amiri" w:ascii="Amiri" w:hAnsi="Amiri"/>
          <w:color w:val="111111"/>
          <w:sz w:val="28"/>
          <w:szCs w:val="28"/>
          <w:rtl w:val="true"/>
          <w:lang w:bidi="ar-SA"/>
        </w:rPr>
        <w:t xml:space="preserve">. </w:t>
      </w:r>
      <w:bookmarkStart w:id="40" w:name="pg11809_94396"/>
    </w:p>
    <w:p>
      <w:pPr>
        <w:pStyle w:val="BookText"/>
        <w:rPr/>
      </w:pPr>
      <w:bookmarkEnd w:id="40"/>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البزنطي،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 فرق ما بين ظِلال المُحرِم والخِباء؟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لا تقاس</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عثمان بن عيسى المتضمّن لمحاجة أبي الحسن عليه السلام مع أبي يوسف السائل عن الفرق بين ظِلّ المحمل وظلّ الخباء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عليه السلام بالنقض بقضاء الحائض الصيام دون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بحال النزول</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فهم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هو السير والوقوف، ولذا لو جَعل مركبه محلّ إقامته حال نزوله، لا احتمال أن يشكّ أحدٌ في عدم حرمة التظليل، وعليه ففي حال التوقّف أيضاً يجوز التظليل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وإنْ كان لا يخلو عن قوّة إلّاأنّ 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الوقفات اليسيرة للمركب، فلا شكّ في عدم جواز التظليل فيها،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بعد الجزم بجواز التظليل جالساً في المنزل،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الجلوس في الطريق لقضاء حاجةٍ‌، أو إصلاح شيء، أو انتظار رفيق أو نحوها كذلك‌؟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ومقتضاه احتمال عدم الجواز فيه، وإنْ كان التحقيق خلافه إلّا أنّه الأحوط</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0723815_73709187"/>
      <w:bookmarkStart w:id="42" w:name="_Toc14"/>
      <w:bookmarkEnd w:id="41"/>
      <w:r>
        <w:rPr>
          <w:rtl w:val="true"/>
        </w:rPr>
        <w:t>اختصاص حرمة التظليل بحال الركوب</w:t>
      </w:r>
      <w:bookmarkEnd w:id="4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تختصّ حرمة التظليل بحال الركوب، فيجوز في حال المشي كما </w:t>
      </w:r>
    </w:p>
    <w:p>
      <w:pPr>
        <w:pStyle w:val="BookText"/>
        <w:rPr/>
      </w:pPr>
      <w:r>
        <w:rPr>
          <w:rFonts w:ascii="Amiri" w:hAnsi="Amiri" w:eastAsia="Amiri" w:cs="Amiri"/>
          <w:color w:val="111111"/>
          <w:sz w:val="28"/>
          <w:sz w:val="28"/>
          <w:szCs w:val="28"/>
          <w:rtl w:val="true"/>
          <w:lang w:bidi="ar-SA"/>
        </w:rPr>
        <w:t xml:space="preserve">عن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 وتبعه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والفاضل</w:t>
      </w:r>
      <w:r>
        <w:rPr>
          <w:rStyle w:val="FootnoteAnchor"/>
          <w:rtl w:val="true"/>
        </w:rPr>
        <w:footnoteReference w:id="153"/>
      </w:r>
      <w:r>
        <w:rPr>
          <w:rFonts w:ascii="Amiri" w:hAnsi="Amiri" w:eastAsia="Amiri" w:cs="Amiri"/>
          <w:color w:val="111111"/>
          <w:sz w:val="28"/>
          <w:sz w:val="28"/>
          <w:szCs w:val="28"/>
          <w:rtl w:val="true"/>
          <w:lang w:bidi="ar-SA"/>
        </w:rPr>
        <w:t>النراقي‌؟</w:t>
      </w:r>
    </w:p>
    <w:p>
      <w:pPr>
        <w:pStyle w:val="BookText"/>
        <w:rPr/>
      </w:pPr>
      <w:r>
        <w:rPr>
          <w:rFonts w:ascii="Amiri" w:hAnsi="Amiri" w:eastAsia="Amiri" w:cs="Amiri"/>
          <w:color w:val="111111"/>
          <w:sz w:val="28"/>
          <w:sz w:val="28"/>
          <w:szCs w:val="28"/>
          <w:rtl w:val="true"/>
          <w:lang w:bidi="ar-SA"/>
        </w:rPr>
        <w:t xml:space="preserve">أم 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 واستظهر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أنْ يمشي تحت ظِلّ المحمل‌؟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في خبر الاحتجاج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أفيجوز أن يمشي تحت الظلال مختاراً؟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وبهما يقيّد إطلاق الأخبار الدالّة على حرمة التظليل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أنّه يمكن دعوى انسباقه إلى إرادة المشي في ظلّه، لا الكون تحت المحمل، وحينئذٍ فلا يختصّ بالماشي، بل يجوز للراكب ذلك أيضاً، على أنّه لو سُلّم كان ينبغي الاقتصار عليه، لا تخصيص الحرمة بحال الركوب على وجهٍ يجوز له المشي مع التظليل بشمسيّةٍ ونحوها، ممّا يكون فوق رأسه، بل لعلّ ما سمعته من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عليه، فإنّ السائر أعمّ من كونه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على ما أفاده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التعبير بالمشي في ظِلّ المحمل، والمشي تحت ظِلّ المحمل، وما ذكره يتمّ في الأوّل، والنصوص متضمّنة للثاني، وهو ظاهر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3" w:name="pg11809_94398"/>
    </w:p>
    <w:p>
      <w:pPr>
        <w:pStyle w:val="BookText"/>
        <w:rPr/>
      </w:pPr>
      <w:bookmarkEnd w:id="43"/>
      <w:r>
        <w:rPr>
          <w:rFonts w:ascii="Amiri" w:hAnsi="Amiri" w:eastAsia="Amiri" w:cs="Amiri"/>
          <w:color w:val="111111"/>
          <w:sz w:val="28"/>
          <w:sz w:val="28"/>
          <w:szCs w:val="28"/>
          <w:rtl w:val="true"/>
          <w:lang w:bidi="ar-SA"/>
        </w:rPr>
        <w:t>الكون تحت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يبعد اختصاصه بالسير في حال الركوب، لأنّه يقول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للمُحرِم أن يمشي تحت الظلال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يصلح قرينةً على أنّ ما يدّعيه بعد ذلك من الإجماع إنّما هو في السائر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ثانياً يتمّ إنْ احتمل خصوصيّة في المحمل ولا تُحتمل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الشهيد الثاني</w:t>
      </w:r>
      <w:r>
        <w:rPr>
          <w:rStyle w:val="FootnoteAnchor"/>
          <w:rtl w:val="true"/>
        </w:rPr>
        <w:footnoteReference w:id="158"/>
      </w:r>
      <w:r>
        <w:rPr>
          <w:rFonts w:ascii="Amiri" w:hAnsi="Amiri" w:eastAsia="Amiri" w:cs="Amiri"/>
          <w:color w:val="111111"/>
          <w:sz w:val="28"/>
          <w:sz w:val="28"/>
          <w:szCs w:val="28"/>
          <w:rtl w:val="true"/>
          <w:lang w:bidi="ar-SA"/>
        </w:rPr>
        <w:t>رحمه الله وتبعه جمعٌ من المحقّقين</w:t>
      </w:r>
      <w:r>
        <w:rPr>
          <w:rStyle w:val="FootnoteAnchor"/>
          <w:rtl w:val="true"/>
        </w:rPr>
        <w:footnoteReference w:id="159"/>
      </w:r>
      <w:r>
        <w:rPr>
          <w:rFonts w:ascii="IRNazanin" w:hAnsi="IRNazanin" w:eastAsia="IRNazanin"/>
          <w:color w:val="111111"/>
          <w:sz w:val="28"/>
          <w:sz w:val="28"/>
          <w:szCs w:val="28"/>
          <w:rtl w:val="true"/>
          <w:lang w:bidi="fa-IR"/>
        </w:rPr>
        <w:t>هو الأظهر</w:t>
      </w:r>
      <w:r>
        <w:rPr>
          <w:rFonts w:eastAsia="IRNazanin" w:cs="IRNazanin"/>
          <w:color w:val="111111"/>
          <w:sz w:val="28"/>
          <w:szCs w:val="28"/>
          <w:rtl w:val="true"/>
          <w:lang w:bidi="fa-IR"/>
        </w:rPr>
        <w:t>.</w:t>
      </w:r>
    </w:p>
    <w:p>
      <w:pPr>
        <w:pStyle w:val="Heading3"/>
        <w:numPr>
          <w:ilvl w:val="2"/>
          <w:numId w:val="1"/>
        </w:numPr>
        <w:rPr/>
      </w:pPr>
      <w:bookmarkStart w:id="44" w:name="__RefHeading___Toc10723817_73709187"/>
      <w:bookmarkStart w:id="45" w:name="_Toc15"/>
      <w:bookmarkEnd w:id="44"/>
      <w:r>
        <w:rPr>
          <w:rtl w:val="true"/>
        </w:rPr>
        <w:t>التظليل بما لا يكون فوق الرأس</w:t>
      </w:r>
      <w:bookmarkEnd w:id="45"/>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نزل جاز أن يستظلّ بالسقف والحائط والشجرة والخِباء والخيمة، وإنْ نزل تحت شجرةٍ عليها ثوباً يسترُ به، وأن يمشي تحت الظلال، وأن يستظلّ بثوبٍ ينصبه إذا كان سائراً ونازلاً، ولكن لا يجعله فوق رأسه سائراً خاصّة، لضرورةٍ وغير ضرورة، عند جميع أهل العلم</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ترى صريحٌ في دعوى الإجماع على جواز التظليل بما لا يكون فوق الرأس ولو في حال الركوب والسير،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نفي الخلاف فيه</w:t>
      </w:r>
      <w:r>
        <w:rPr>
          <w:rStyle w:val="FootnoteAnchor"/>
          <w:rtl w:val="true"/>
        </w:rPr>
        <w:footnoteReference w:id="161"/>
      </w:r>
      <w:r>
        <w:rPr>
          <w:rFonts w:ascii="Amiri" w:hAnsi="Amiri" w:eastAsia="Amiri" w:cs="Amiri"/>
          <w:color w:val="111111"/>
          <w:sz w:val="28"/>
          <w:sz w:val="28"/>
          <w:szCs w:val="28"/>
          <w:rtl w:val="true"/>
          <w:lang w:bidi="ar-SA"/>
        </w:rPr>
        <w:t>وعن ابن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عليه أن يستظلّ وهو سائرٌ بحيث يكون الظلال فوق رأسه</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وتبعهم غير واحدٍ من المحقّقين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الحكم،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التحريم في الظِلّ لفوات الضحى أو لمكان الستر؟ فيه نظرٌ،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اُضحُ لمن أحرمتَ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والفائدة فيمن جلس بالمحمل بارزاً للشمس، وفيمن تظلل به وليس فيه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يجوز الأوّل على الثاني دون الأوّل، والثاني بالعكس</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رحمه الله والفاضل النراقي إلى المنع</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وباختصاص أكثر الأخبار بالجلوس في القُبّة والكنيسة والمحمل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 لأبي وشكى إليه حَرّ الشمس، وهو مُحرِم، وهو يتأذّى،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أستتر بطرف ثوبي‌؟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 ما لم يُصبك رأسك</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على فرض ثبوته غير حجّة، لعدم كونه تعبديّاً، والثاني مقطوعٌ بالمطلقات، والثالث لا يعارضها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الصحيح فاُجيب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مخصوصٌ بحال الأذيّة،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من الضرورة، ولا نزاع في الجواز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في حال الضرورة لم يكن وجهٌ للنهي عن إصابة الرأس، فإنّه يظهر منه الفرق في عدم الجواز بين ما فوق الرأس وغيره، وهو إنّما يكون في غير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يُصبك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يرد به ما لم يكن فوق رأسك، بل المراد أنّه لو اضطرّ إلى التظليل يجوز ذلك، ولكن لابدَّ وأن يحافظ على أن لا يرتكب مُحرّماً آخر، وهو تغطية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الفاضل النراقي</w:t>
      </w:r>
      <w:r>
        <w:rPr>
          <w:rStyle w:val="FootnoteAnchor"/>
          <w:rtl w:val="true"/>
        </w:rPr>
        <w:footnoteReference w:id="170"/>
      </w:r>
      <w:r>
        <w:rPr>
          <w:rFonts w:ascii="Amiri" w:hAnsi="Amiri" w:eastAsia="Amiri" w:cs="Amiri"/>
          <w:color w:val="111111"/>
          <w:sz w:val="28"/>
          <w:sz w:val="28"/>
          <w:szCs w:val="28"/>
          <w:rtl w:val="true"/>
          <w:lang w:bidi="ar-SA"/>
        </w:rPr>
        <w:t>رحمه الله تامّ‌، ومقتضي المطلقات هو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له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المُعلّى</w:t>
      </w:r>
      <w:r>
        <w:rPr>
          <w:rStyle w:val="FootnoteAnchor"/>
          <w:rtl w:val="true"/>
        </w:rPr>
        <w:footnoteReference w:id="171"/>
      </w:r>
      <w:r>
        <w:rPr>
          <w:rFonts w:ascii="Amiri" w:hAnsi="Amiri" w:eastAsia="Amiri" w:cs="Amiri"/>
          <w:color w:val="111111"/>
          <w:sz w:val="28"/>
          <w:sz w:val="28"/>
          <w:szCs w:val="28"/>
          <w:rtl w:val="true"/>
          <w:lang w:bidi="ar-SA"/>
        </w:rPr>
        <w:t>وصحيح عبد الخالق</w:t>
      </w:r>
      <w:r>
        <w:rPr>
          <w:rStyle w:val="FootnoteAnchor"/>
          <w:rtl w:val="true"/>
        </w:rPr>
        <w:footnoteReference w:id="172"/>
      </w:r>
      <w:r>
        <w:rPr>
          <w:rFonts w:ascii="Amiri" w:hAnsi="Amiri" w:eastAsia="Amiri" w:cs="Amiri"/>
          <w:color w:val="111111"/>
          <w:sz w:val="28"/>
          <w:sz w:val="28"/>
          <w:szCs w:val="28"/>
          <w:rtl w:val="true"/>
          <w:lang w:bidi="ar-SA"/>
        </w:rPr>
        <w:t xml:space="preserve">وغيرهما ممّا تقدّم ممّا تضمّن النهي عن التستّر عن الشمس بالثوب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الطائفة الخامسة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بإطلاقها على حرمة التستّر عنها، وإنْ كانت على جانب يمينه أو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بأنّ المتّجه حملها على الكراهة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للإجماع</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قاسم الصيقل،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كان أشدّ تشديداً في الظلّ من أبي جعفر عليه السلام، كان يأمر بقلع القُبة والحاجبين إذا أحرم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التشديد ظاهرٌ في الزيادة على الواجب، وهذا القول وإنْ كان من الراوي، إلّا أنّه ظاهر من معلوميّة الحكم عندهم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الإمام الصادق عليه السلام عن المُحرِم يستتر من الشمس بعودٍ وبيده‌؟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إلّامن علّة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يجوز الإستتار باليد الذي فعله رسول اللّه صلى الله عليه و آله، فلابدّ من حمله على ضربٍ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الإجماع قد عرفت حاله، والواجبُ أولى بالتشديد من غيره، فلو لم يكن التشديد ظاهراً في اللّزوم، لا يكون ظاهراً في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الأعرج، فغايته أن يُحمل بالنسبة إلى السَّتر باليد على الكراهة، وأمّا بالنسبة إلى السّتر بالعود فيبقى على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تماميّة هذا الوجه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الطائفة السادسة آمرة بالإضحاء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البروز للشمس، وعن الأثيريّة</w:t>
      </w:r>
      <w:r>
        <w:rPr>
          <w:rStyle w:val="FootnoteAnchor"/>
          <w:rtl w:val="true"/>
        </w:rPr>
        <w:footnoteReference w:id="1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ضحا ظِلّه أي مات،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الظِلّ أي صار شمساً، فإذا صار شمساً فقد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ضحيتُ للشمس، وضحيت اُضحي، إذا أبرزت لها وظهرت،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 لمن أحرمتَ له، أي ابرز للشمس لأجل اللّه تعالى الذي أحرمتَ له، فهذه الطائفة تدلّ على عدم جواز التظليل بما لا يكون فوق الرأس، لأنّه ينافي الإضحاء المأمور به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6" w:name="pg11809_94402"/>
    </w:p>
    <w:p>
      <w:pPr>
        <w:pStyle w:val="BookText"/>
        <w:rPr/>
      </w:pPr>
      <w:bookmarkEnd w:id="46"/>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فيه أنّ الأمر بالإضحاء قد جاء في صحيح حفص وهشام عن الإمام الصادق عليه السلام على نحو التعليل للمكروة،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للمُحرِم أن يجوز ثوبه أنفه من 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اُضحُ لمن أحرمتَ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يبعد القول بالكراهة فيما نافى الإضحاء من التستّر بما لا يكون فوق الرأس، والحرمة بما كان فوقه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تعليلاً للحكم الأوّل، بل هما حكمان ذكرهما الإمام عليه السلام في مجلسٍ واحد، والشاهد لذلك تكرار الراوي لفظ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في بقيّة النصوص المشتملة لهذه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جواز التظليل بما لا يكون فوق الرأس أيضاً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0723819_73709187"/>
      <w:bookmarkStart w:id="48" w:name="_Toc16"/>
      <w:bookmarkEnd w:id="47"/>
      <w:r>
        <w:rPr>
          <w:rtl w:val="true"/>
        </w:rPr>
        <w:t>حرمة التظليل ولو لم تكن الشمس موجودة</w:t>
      </w:r>
      <w:bookmarkEnd w:id="4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كلمات الأصحاب حرمة التظليل ولو مع عدم سطوع الشمس، فلا يجوز ركوب مركبٍ مسقّفٍ في اللّيل، ولا في يوم الغيم، ولا في الصحو في أوّل النهار وآخره إذا جلس مواجهاً للشمس،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كونه مفروغاً عنه عند فقهائنا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يمكن أن يُستشهد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للنهي عن التظليل عن المطر والبرد، وأنّه إذا فعله الُمحرِم وجب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عثمان بن عيسى الكلابي المتقدّم، وقد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شهاب يشكو رأسه والبرد شديد، ويريد أن يُحرم‌؟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كما زعم فليظلّل</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صاحب الأمر أرواحنا فداه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عن المُحرِم يستظلّ من المطر بنطع أو غيره حذراً على ثيابه، وما في محمله أن يبتلّ؟ فكتب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ذلك في المحمل في طريقه فعليه دم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عن الظلال للمُحرِم من أذى مطر أو شمس وأنا أسمع، فأمره أن يفدي شاة ويذبحهابمنى</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الناهية عن الركوب في القُبة والكنيسة والمحمل ونحوها</w:t>
      </w:r>
      <w:r>
        <w:rPr>
          <w:rStyle w:val="FootnoteAnchor"/>
          <w:rtl w:val="true"/>
        </w:rPr>
        <w:footnoteReference w:id="185"/>
      </w:r>
      <w:r>
        <w:rPr>
          <w:rFonts w:ascii="Amiri" w:hAnsi="Amiri" w:eastAsia="Amiri" w:cs="Amiri"/>
          <w:color w:val="111111"/>
          <w:sz w:val="28"/>
          <w:sz w:val="28"/>
          <w:szCs w:val="28"/>
          <w:rtl w:val="true"/>
          <w:lang w:bidi="ar-SA"/>
        </w:rPr>
        <w:t>، فإنّها بإطلاقها تدلّ على المنع عن ذلك حتّى في اللّيل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الناهية عن ضرب الظلال 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منصور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الظلال للمُحرِم‌؟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يظلّل إلّامن علّة أو مرض</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ومعلوم أنّ الظلال لا يعتبر في صدقة حصول الظلّ الفعلي به، بل يكفي الشأنيّة في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الناهية عن التستّر من الشمس، أو الآمرة بالإضحاء وهو البروز لها، فلا تصلح لتقيّيد إطلاق هذه النصوص، لعدم التنافي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لما اخترناه نصوصُ الإضحاء إنْ فسّرناه بالبروز للسّماء لا البروز للشمس، كما أنّه يشهد له نصوص التظليل إنْ فسّرناه بإرادة الإبراز للسماء،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ففي ما ذكرناه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الأصحاب جواز أن يستتر المُحرِم بيده وما شابه، ويشهد به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يركب راحلته فلا يستظلّ عليها، وتؤذيه الشمس فيستر بعض جسده ببعض، وربما يستر وجهه بيده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يضع المُحرِم ذراعه على وجهه من حَرّ الشمس، ولا بأس أن يستر بعض جسده ببعض</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 المُعلّى بن خُنيس</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تقدّما في الطائفة الخامسة، ونحوها غيرها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سعيد الأعرج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يستتر من الشمس بعود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9" w:name="pg11809_94405"/>
    </w:p>
    <w:p>
      <w:pPr>
        <w:pStyle w:val="BookText"/>
        <w:rPr/>
      </w:pPr>
      <w:bookmarkEnd w:id="49"/>
      <w:r>
        <w:rPr>
          <w:rFonts w:ascii="Amiri" w:hAnsi="Amiri" w:eastAsia="Amiri" w:cs="Amiri"/>
          <w:color w:val="111111"/>
          <w:sz w:val="28"/>
          <w:sz w:val="28"/>
          <w:szCs w:val="28"/>
          <w:rtl w:val="true"/>
          <w:lang w:bidi="ar-SA"/>
        </w:rPr>
        <w:t>وبيده‌؟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إلّامن علّة</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فمحمولٌ على الكراهة، لما تقدّم من النصوص الصريحة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الغطاء عن المركب بحيث لم يبق سوى الخشب فيه فإنّه لا يضرّ، لما رواه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التوقيعات الخارجة إلى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إلى صاحب الأمر صلوات اللّه عليه يسأله عن المُحرِم يرفع الظلال، هل يرفع خشب العمارية أو الكنيسة ويرفع الجناحين أم لا؟</w:t>
      </w:r>
    </w:p>
    <w:p>
      <w:pPr>
        <w:pStyle w:val="BookText"/>
        <w:rPr/>
      </w:pPr>
      <w:r>
        <w:rPr>
          <w:rFonts w:ascii="Amiri" w:hAnsi="Amiri" w:eastAsia="Amiri" w:cs="Amiri"/>
          <w:color w:val="111111"/>
          <w:sz w:val="28"/>
          <w:sz w:val="28"/>
          <w:szCs w:val="28"/>
          <w:rtl w:val="true"/>
          <w:lang w:bidi="ar-SA"/>
        </w:rPr>
        <w:t>فكتب عليه السلام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في تركه رفع الخشب</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0723821_73709187"/>
      <w:bookmarkStart w:id="51" w:name="_Toc17"/>
      <w:bookmarkEnd w:id="50"/>
      <w:r>
        <w:rPr>
          <w:rtl w:val="true"/>
        </w:rPr>
        <w:t>جواز تظليل النساء والصبيان</w:t>
      </w:r>
      <w:bookmarkEnd w:id="51"/>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يختصّ حرمة التظليل بالرجال، ولا يحرم على النساء التظليل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المرأة فيجوز لها التظليل، بلا خلافٍ محقّق أجده فيه، بل الإجماع بقسميه عليه</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الإجماع في كلمات جماعةٍ‌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اختصاص أدلّة المنع بالرجل، وقاعدة الاشتراك لا مجرى لها نظراً إلى كونها عورة يناسبها السّتر، وضعيفة عن مقاومة الحَرّ والبرد </w:t>
      </w:r>
    </w:p>
    <w:p>
      <w:pPr>
        <w:pStyle w:val="BookText"/>
        <w:rPr/>
      </w:pP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بالظلال للنساء</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بالقُبّة على النساء والصبيان وهم مُحرِمون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خبر أبي بصير</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يركب القُبّة‌؟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المحرّمة‌؟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هشام</w:t>
      </w:r>
      <w:r>
        <w:rPr>
          <w:rStyle w:val="FootnoteAnchor"/>
          <w:rtl w:val="true"/>
        </w:rPr>
        <w:footnoteReference w:id="198"/>
      </w:r>
      <w:r>
        <w:rPr>
          <w:rFonts w:ascii="Amiri" w:hAnsi="Amiri" w:eastAsia="Amiri" w:cs="Amiri"/>
          <w:color w:val="111111"/>
          <w:sz w:val="28"/>
          <w:sz w:val="28"/>
          <w:szCs w:val="28"/>
          <w:rtl w:val="true"/>
          <w:lang w:bidi="ar-SA"/>
        </w:rPr>
        <w:t>، وغيره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يحرم لها ولا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نهاية الشيخ</w:t>
      </w:r>
      <w:r>
        <w:rPr>
          <w:rStyle w:val="FootnoteAnchor"/>
          <w:rtl w:val="true"/>
        </w:rPr>
        <w:footnoteReference w:id="199"/>
      </w:r>
      <w:r>
        <w:rPr>
          <w:rFonts w:ascii="IRNazanin" w:hAnsi="IRNazanin" w:eastAsia="IRNazanin"/>
          <w:color w:val="111111"/>
          <w:sz w:val="28"/>
          <w:sz w:val="28"/>
          <w:szCs w:val="28"/>
          <w:rtl w:val="true"/>
          <w:lang w:bidi="fa-IR"/>
        </w:rPr>
        <w:t xml:space="preserve">أنّ اجتنابه أفضل،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 xml:space="preserve">أنّه يحتمله،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وكأنّه لإطلاق أدلّة المُحرِم والحاجّ في كثيرٍ من الأخبار، وبعض الفتاوي كفتوى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والشيخ في جملةٍ من كتبه، وسلّار والقاضي والحلبيّين، وإنْ كان فيه أنّ الظاهر إرادة الرّجل المُحرِم منه فيهما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وجه جواز التظليل للصبيان أيضاً،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2" w:name="pg11809_94407"/>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فيه خلافاً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الإجماع في كلام جماعةٍ وصحيح حريز يشهد به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0723823_73709187"/>
      <w:bookmarkStart w:id="54" w:name="_Toc18"/>
      <w:bookmarkEnd w:id="53"/>
      <w:r>
        <w:rPr>
          <w:rtl w:val="true"/>
        </w:rPr>
        <w:t>التظليل في حال الضرورة</w:t>
      </w:r>
      <w:bookmarkEnd w:id="54"/>
    </w:p>
    <w:p>
      <w:pPr>
        <w:pStyle w:val="BookText"/>
        <w:rPr/>
      </w:pP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بينهم في اختصاص حرمة التظليل بحال الاختيار، فيجوز له التظليل راكباً مع العُذر والضرورة، وعن جماعةٍ دعوى الإجماع عليه</w:t>
      </w:r>
      <w:r>
        <w:rPr>
          <w:rStyle w:val="FootnoteAnchor"/>
          <w:rtl w:val="true"/>
        </w:rPr>
        <w:footnoteReference w:id="20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الأصحاب اختلفوا في مقدار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اكتفى بمطلق المشقّة، ولو بالمشقّة الحاصلة من حَرّ الشمس ونزول المطر، واختاره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اشترط التضرّر به لعلّةٍ‌، أو كبر، أو ضعفٍ‌، أو شدّة حَرّ، أو بردٍ، وهو المحكيّ عن الشيخين والحِلّي</w:t>
      </w:r>
      <w:r>
        <w:rPr>
          <w:rStyle w:val="FootnoteAnchor"/>
          <w:rtl w:val="true"/>
        </w:rPr>
        <w:footnoteReference w:id="206"/>
      </w:r>
      <w:r>
        <w:rPr>
          <w:rFonts w:ascii="Amiri" w:hAnsi="Amiri" w:eastAsia="Amiri" w:cs="Amiri"/>
          <w:color w:val="111111"/>
          <w:sz w:val="28"/>
          <w:sz w:val="28"/>
          <w:szCs w:val="28"/>
          <w:rtl w:val="true"/>
          <w:lang w:bidi="ar-SA"/>
        </w:rPr>
        <w:t>، وبه أفتى جمعٌ من المحقّقين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اختلاف النصوص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ظاهر طائفةٍ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وكذا يقتضيه صحيح ابن بزيع المتقدّم آنفاً، وخبر إبراهيم بن أبي محمود المجوّز للتظليل إذا أضرّ به الشمس والمطر</w:t>
      </w:r>
      <w:r>
        <w:rPr>
          <w:rStyle w:val="FootnoteAnchor"/>
          <w:rtl w:val="true"/>
        </w:rPr>
        <w:footnoteReference w:id="208"/>
      </w:r>
      <w:r>
        <w:rPr>
          <w:rFonts w:ascii="Amiri" w:hAnsi="Amiri" w:eastAsia="Amiri" w:cs="Amiri"/>
          <w:color w:val="111111"/>
          <w:sz w:val="28"/>
          <w:sz w:val="28"/>
          <w:szCs w:val="28"/>
          <w:rtl w:val="true"/>
          <w:lang w:bidi="ar-SA"/>
        </w:rPr>
        <w:t>، وخبر علي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أذته الشمس أو المطر أو كان مريضاً؟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يظلّل على نفسه</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طائفة أُخرى منها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عمّار المتقدّم، فقد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هل يُظلّل عليه وهو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إلّامريضٍ‌، أو من به علّة، والذي لايُطيق حَرّالشمس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المتقدّم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أعلم بنفسه، إذا علم أنّه لا يستطيع أن تصيبه الشمس، فليستظلّ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أخصّ مطلق من الثانية، فإنّها بالإطلاق تدلّ على المنع من الاستظلال في من يستطيع، والطائفة الأُولى تدلّ على الجواز في بعض موارد الاستطاعة فتخصّص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عبد الرحمن في خصوص من إذا أصابته الشمس وشَقّ عليه وصدع، ويسأل عن جواز الستر وعدمه، فجوابه عليه السلام منطوقاً يدلّ على الجواز مع عدم الاستطاعة، ومفهوماً على المنع مع الاستطاعة وإنْ كان شاقّاً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تخصيص الأُولى بالثانية، والالتزام بعدم الجواز إلّامع التضرّر وعدم استطاعة التحمّل عرفاً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وللفاضل النراقي في المقام كلامٌ‌، وحاصله معارضة هذه النصوص مع هذا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التقريب، مع أدلّة نفي العُسر والحرج بالعموم من وجه، فتقدّم تلك لإستفادة القاعدة من الكتاب العزيز،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هو الأوّل، ولكن يجب تقيّيده بما إذا كانت مشقّة شديدة زائدة عمّا يقتضيه مطلق مقابلة الشمس أو البرد أو المطر، ليصدق الأذيّة والعُسر ويحصل العموم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مرتبة من المشقّة والحرج ملازمة لترك التظليل في تلك المدّة المعيّنة في الحجاز، سيّما في أيّام الشتاء، فلا يمكن أن يلتزم برفع الحرمة بمجرّد تحقّق تلك المرتبة، لأنّ أدلّة المنع أخصّ من أدلّة القاعدة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الزائد عليها، فإنْ كان موجباً للتضرّر، يرفع حرمته بأدلّة نفي الضرر الحاكمة على جميع الأدلّة، مع أنّ خبر إبراهيم المتقدّم يدلّ عليه، وكذا إذا وصل إلى حَدّ الملازمة للتضرّر، وإنْ لم يلزم ذلك بل كان شاقّاً فله مرتبتان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يتحمّل عادةً‌، وهي لا تصلح لرفع الحكم، لصحيح عبد الرحمن المتقدّم، ولحسن ابن المُغيرة،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 لمن أحرمت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محرورٌ وإنّ الحَرّ يشتدّ عَليَّ؟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الشمس تغرب بذنوب المجرمين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شمول قاعدة نفي العُسر والحرج لها، فإنّ العُسر والحرج الرافعين ليسا عبارة عن مطلق المشقّة، بل التي لا تُتحمّل عادةً‌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يتحمّل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يصعب تحمّلها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كانت مشمولة لقاعدة نفي العُسر والحرج، إلّاأنّه يشملها أيضاً منطوق صحيح ابن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5" w:name="pg11809_94410"/>
    </w:p>
    <w:p>
      <w:pPr>
        <w:pStyle w:val="BookText"/>
        <w:rPr/>
      </w:pPr>
      <w:bookmarkEnd w:id="55"/>
      <w:r>
        <w:rPr>
          <w:rFonts w:ascii="Amiri" w:hAnsi="Amiri" w:eastAsia="Amiri" w:cs="Amiri"/>
          <w:color w:val="111111"/>
          <w:sz w:val="28"/>
          <w:sz w:val="28"/>
          <w:szCs w:val="28"/>
          <w:rtl w:val="true"/>
          <w:lang w:bidi="ar-SA"/>
        </w:rPr>
        <w:t>الحجّاج، فإنّ المراد من عدم الاستطاعة هو العرفي منه، فيلازم مع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حرجي لا يعدّ مستطاعاً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أعميّة الحرج منه، فإنّ تقدّم أدلّة نفي العُسر والحَرج على تلك الأدلّة إنّما هو بالحكومة، كتقدّمها عليسائر الأدلّة، ولا وجه للرجوع إلى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عنها والرجوع إلى المرجّحات، لا بدَّ أوّلاً من ملاحظة المرجّحات التي قبل الموافقة للكتاب،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الضرورة الرافعة للتكليف، هي ما أوجبت التضرّر والأذيّة، أو المشقّة الشديدة التي لا تتحمّل عادةً‌</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0723825_73709187"/>
      <w:bookmarkStart w:id="57" w:name="_Toc19"/>
      <w:bookmarkEnd w:id="56"/>
      <w:r>
        <w:rPr>
          <w:rtl w:val="true"/>
        </w:rPr>
        <w:t>الاضطرار إلى التظليل من أوّل الإحرام</w:t>
      </w:r>
      <w:bookmarkEnd w:id="57"/>
    </w:p>
    <w:p>
      <w:pPr>
        <w:pStyle w:val="BookText"/>
        <w:rPr/>
      </w:pPr>
      <w:r>
        <w:rPr>
          <w:rFonts w:ascii="Amiri" w:hAnsi="Amiri" w:eastAsia="Amiri" w:cs="Amiri"/>
          <w:color w:val="111111"/>
          <w:sz w:val="28"/>
          <w:sz w:val="28"/>
          <w:szCs w:val="28"/>
          <w:rtl w:val="true"/>
          <w:lang w:bidi="ar-SA"/>
        </w:rPr>
        <w:t>الجهة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التظليل من أوّل الإحرام، كما إذا فرض انحصار المركب بالطائرة، ولم يمكن رفع سقفها وركبها من الميقات، أو كان راكباً ووصل إليه بناءً على كفايته، أو نذر الإحرام قبل الميقات من أوّل ما ركب الطيّارة من منزله، فقد يُستشكل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الإحرام هو النيّة وتوطين النفس على ترك المحرّمات، إمّا وحدها أو مع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ناوٍ لترك التظليل، ولا موطّنٌ نفسه على تركه، فلا يتمكّن من أن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التفصّي</w:t>
      </w:r>
      <w:r>
        <w:rPr>
          <w:rStyle w:val="FootnoteAnchor"/>
          <w:rtl w:val="true"/>
        </w:rPr>
        <w:footnoteReference w:id="212"/>
      </w:r>
      <w:r>
        <w:rPr>
          <w:rFonts w:ascii="Amiri" w:hAnsi="Amiri" w:eastAsia="Amiri" w:cs="Amiri"/>
          <w:color w:val="111111"/>
          <w:sz w:val="28"/>
          <w:sz w:val="28"/>
          <w:szCs w:val="28"/>
          <w:rtl w:val="true"/>
          <w:lang w:bidi="ar-SA"/>
        </w:rPr>
        <w:t>عن هذا الإشكال بوجهين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التظليل في حال الضرورة والإلجاء جائزٌ وليس بحرام، والذي يجب قصده قصد ترك التظليل المُحرّم، لا التظليل الجائز، وعليه فلا إشكال في </w:t>
      </w:r>
    </w:p>
    <w:p>
      <w:pPr>
        <w:pStyle w:val="BookText"/>
        <w:rPr/>
      </w:pPr>
      <w:r>
        <w:rPr>
          <w:rFonts w:ascii="Amiri" w:hAnsi="Amiri" w:eastAsia="Amiri" w:cs="Amiri"/>
          <w:color w:val="111111"/>
          <w:sz w:val="28"/>
          <w:sz w:val="28"/>
          <w:szCs w:val="28"/>
          <w:rtl w:val="true"/>
          <w:lang w:bidi="ar-SA"/>
        </w:rPr>
        <w:t>نذر الإحرام من حين ركوب الطيارة، بناءً على صحّة نذر الإحرام قبل الميقات كما مرّ، وبه يندفع الإشكال عن نذره، فيما لو نذر أن يحرم مع التظليل وهو مرجوحٌ‌، ممّا يقتضي بطلان النذر، فإنّه يندفع بما عرفت من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عند بيان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عبارة عن النيّة المجرّدة، بل عبارة عن البناء والالتزام بترك المحرّمات، وهذا البناء والالتزام لا يتنافي مع ارتكاب محُرّمٍ‌، والعلم به أعمّ من أنْ يكون من الابتداء أو في الأثناء، نظير من يُملّك ماله للغير ويكون عالماً بأنّه لا يُسلّمه إليه، وعليه يصبح إحرامه صحيحاً كما أنّ نذره أيضاً لا إشكال فيه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فيما ذكرناه بين التظليل من أوّل الإحرام، أو العلم بأنّه سيضطرّ إلى التظليل، فالناذر للإحرام من بلده الرّاكب في الطائرة المسقّفة، لا فرق بين أن ينذر الإحرام من حين ركوب الطائرة أو قبل أن يركبها من منزله مثلاً</w:t>
      </w:r>
      <w:r>
        <w:rPr>
          <w:rFonts w:eastAsia="Amiri" w:cs="Amiri" w:ascii="Amiri" w:hAnsi="Amiri"/>
          <w:color w:val="111111"/>
          <w:sz w:val="28"/>
          <w:szCs w:val="28"/>
          <w:rtl w:val="true"/>
          <w:lang w:bidi="ar-SA"/>
        </w:rPr>
        <w:t>.</w:t>
      </w:r>
      <w:bookmarkStart w:id="58" w:name="pg11809_94412"/>
    </w:p>
    <w:p>
      <w:pPr>
        <w:pStyle w:val="BookText"/>
        <w:rPr/>
      </w:pPr>
      <w:bookmarkEnd w:id="58"/>
      <w:r>
        <w:rPr>
          <w:rFonts w:ascii="IRNazanin" w:hAnsi="IRNazanin" w:eastAsia="IRNazanin"/>
          <w:color w:val="111111"/>
          <w:sz w:val="28"/>
          <w:sz w:val="28"/>
          <w:szCs w:val="28"/>
          <w:rtl w:val="true"/>
          <w:lang w:bidi="fa-IR"/>
        </w:rPr>
        <w:t>وقصّ الأظفار،</w:t>
      </w:r>
    </w:p>
    <w:p>
      <w:pPr>
        <w:pStyle w:val="Heading3"/>
        <w:numPr>
          <w:ilvl w:val="2"/>
          <w:numId w:val="1"/>
        </w:numPr>
        <w:rPr/>
      </w:pPr>
      <w:bookmarkStart w:id="59" w:name="__RefHeading___Toc10723827_73709187"/>
      <w:bookmarkStart w:id="60" w:name="_Toc20"/>
      <w:bookmarkEnd w:id="59"/>
      <w:r>
        <w:rPr>
          <w:rtl w:val="true"/>
        </w:rPr>
        <w:t>قصَّ الأظفار</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 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فقهاء الأمصار كافّة على أنّ المُحرِم ممنوعٌ من قصّ أظفاره مع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أحرم فنسي أن يُقلِّم أظفارة‌؟ فقال عليه السلام يدعها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أفتاه أنْ يقلّمها ويغتسل ويُعيد إحرامه ففعل‌؟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المُحرِم تطول أظفاره‌؟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 شيئاً منها إنْ استطاع، فإنْ كانت تؤذيه فليقصها وليُطعم مكان كلّ ظفرٍ قبضة من طعام</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هذه النصوص، حرمة قطع الأظفار بأيّ وسيلةٍ كان، </w:t>
      </w:r>
    </w:p>
    <w:p>
      <w:pPr>
        <w:pStyle w:val="BookText"/>
        <w:rPr/>
      </w:pPr>
      <w:r>
        <w:rPr>
          <w:rFonts w:ascii="Amiri" w:hAnsi="Amiri" w:eastAsia="Amiri" w:cs="Amiri"/>
          <w:color w:val="111111"/>
          <w:sz w:val="28"/>
          <w:sz w:val="28"/>
          <w:szCs w:val="28"/>
          <w:rtl w:val="true"/>
          <w:lang w:bidi="ar-SA"/>
        </w:rPr>
        <w:t>سواءٌ أكان القطع بالمقراض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المستفاد منها الأعمّ من القصّ المعبّر به في الفتاوي، بناءً على إرادة خصوص القطع بالمقصّ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المدار على مطلق الإزالة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متينٌ‌، إلّاأنّ القصّ في اللّغة وفي متفاهم العرف، مطلق القطع</w:t>
      </w:r>
      <w:r>
        <w:rPr>
          <w:rStyle w:val="FootnoteAnchor"/>
          <w:rtl w:val="true"/>
        </w:rPr>
        <w:footnoteReference w:id="218"/>
      </w:r>
      <w:r>
        <w:rPr>
          <w:rFonts w:ascii="Amiri" w:hAnsi="Amiri" w:eastAsia="Amiri" w:cs="Amiri"/>
          <w:color w:val="111111"/>
          <w:sz w:val="28"/>
          <w:sz w:val="28"/>
          <w:szCs w:val="28"/>
          <w:rtl w:val="true"/>
          <w:lang w:bidi="ar-SA"/>
        </w:rPr>
        <w:t>، لا خصوص ما ذُكر، والأمر سهلٌ بعد معلوميّة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قطعها مع الاضطرار، بأن تتكسّر ويتضرّر ببقائها، بلا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 قوله عليه السلام في صحيح معاوية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تؤذيه فليقصّها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من الأذيّة المجوّزة ما هو المنساق منها، وهي الواصلة إلى حَدّ الضرورة، ويشهد بارادتها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صدر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يقصّ شيئاً منها إنْ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بالاستطاعة بقرينة الذيل، ما يقابل الأذية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ما ذكر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مقتضي النصوص المتقدّمة، عدم الفرق بين البعض والكُلّ‌، كما صرّح به غير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للنهي عن قصّ شيء منها والأمر بأن يدعها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1" w:name="pg11809_94414"/>
    </w:p>
    <w:p>
      <w:pPr>
        <w:pStyle w:val="BookText"/>
        <w:rPr/>
      </w:pPr>
      <w:bookmarkEnd w:id="61"/>
      <w:r>
        <w:rPr>
          <w:rFonts w:ascii="Amiri" w:hAnsi="Amiri" w:eastAsia="Amiri" w:cs="Amiri"/>
          <w:color w:val="111111"/>
          <w:sz w:val="28"/>
          <w:sz w:val="28"/>
          <w:szCs w:val="28"/>
          <w:rtl w:val="true"/>
          <w:lang w:bidi="ar-SA"/>
        </w:rPr>
        <w:t>وقطع الشَّجر والحشيش النابت في غير مِلْكه، إلّاالفواكه والإذخر والنخل</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0723829_73709187"/>
      <w:bookmarkStart w:id="63" w:name="_Toc21"/>
      <w:bookmarkEnd w:id="62"/>
      <w:r>
        <w:rPr>
          <w:rtl w:val="true"/>
        </w:rPr>
        <w:t>قطع الشجر</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الشَّجر والحشيش النابت في غير مِلْكه، إلّا الفواكه والإذخر والنخل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بقسمية عليه</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علماء الأمصار</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علماء الأمصار على تحريم قطع شجر الحرم</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ذلك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ينبتُ في الحرم فهو حرام على النّاس أجمعين، إلّاما أنبته أنت وغرسته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بن عثمان،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الشجرة يقلعها الرّجل من منزله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المنزل والشجرة فيه، فليس له أن يقلعها، وإنْ كانت نبتت في منزله وهو له فله أن يقلعها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ينزع الحشيش من غير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جميل بن دراج،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رآني عليّ بن الحسين وأنا أقلع الحشيش من حول الفساطيط بمنى،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 هذا لا يُقلع</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ينحر بعيره أو يذبح شاته‌؟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يحتشّ لدابّته وبعيره‌؟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ويقطع ما شاء من الشجر حتّى يدخل الحرم، فإذا دخل الحرم فلا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 البالغة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اُمور ينبغي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لا يختصّ بالمُحرِم، بل يكون ثابتاً للمحلّ أيضاً، فهو من خصائص الحرم، وعدّه من تروك الإحرام إنّما هو من جهة أنّ جملة من نصوصه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محمّد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جعله الشهيد قدس سره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مسألة برأسها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النصوص حرمة إزالة الشجر والحشيش عن محلّهما، سواءٌ أكان بالقطع أو القلع أو النزع أو غير ذلك، فإنّ النصوص تضمّنت جميعها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تعارض بينها، لعدم المانع من الأخذ بالجميع، فلا فرق بينها، كما لا فرق بين كون المقطوع الثمر والأغصان والورق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فرق بين اليابس والرطب‌؟</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بقلع اليابس من الشجر والحشيش، لأنّه ميّت فلم تبق له 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أيضاً حكم بجواز قطع اليابس وإنْ كان متّصلاً بالأخضر، وهو المحكيّ عن الشهيدين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مقابل إطلاق نصوص المقتضي للحرمة وإنْ كان يابساً، بما اُفيد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حرمه بريداً في بريدان، يختلى خلاه أو يعضد شجره إلّاالأذخر، أو يصاد طيره، وحرم رسول اللّه صلى الله عليه و آله المدينة ما بين لابتيها، صيدها وحرم ما حولها بريداً في بريد، أن يختلا خلاها، أو يعضد شجرها إلّاعودي الناضح</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بناءً على ما عن القاموس</w:t>
      </w:r>
      <w:r>
        <w:rPr>
          <w:rStyle w:val="FootnoteAnchor"/>
          <w:rtl w:val="true"/>
        </w:rPr>
        <w:footnoteReference w:id="2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من أنّ الخلا هو الرطب من النبات، واختلاه أي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مقابل النص المشتمل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ينبت في الحرم لا يجوز 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يُعتنى بمثل هذه الوجوه،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الثاني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الحشيش اليابس</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ينافي إطلاق النصوص، ولا يوجبُ تقيّيده، لعدم حمل المطلق على المقيّد في المتوافقين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انكسر غُصن شجرةٍ أو سقطورقها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بغير فعل الآدمي جاز الانتفاع به إجماعاً، لأنّ النهي يتناول القطع، وهذا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بفعل الآدمي، فالأقربُ جوازه أيضاً، لأنّه بعد القطع يكون كاليابس</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نصوص الباب وإنْ اختصّت بالقطع والقلع وما شاكل، ولا تشمل سائر الانتفاعات بعد القطع، ولكن خصوص صحيح حريز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ينبتُ في الحرم فهو حرامٌ على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شامل لجميع الانتفاعات، فإنّ حذف المتعلّق يفيد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واُجيب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مقام التشريع، فلا إطلاق له، والمتيقّن هو القطع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حيث كانت حرمة القطع والقلع بدلالة الأخبار الكثيرة الصادرة عنهم عليهم السلام مغروسة في الأذهان، فكانت كالقرينة المتّصلة بالكلام، وموجبة لانصراف الإطلاق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القلع والقطع تقيّد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 كونه في مقام البيان لا أصل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الإنصراف، حتّى وإنْ كانت حرمة ذلك مسلّمة عندهم حين صدور هذا الخبر، لعدم التنافي بينها وبين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عدم حمل المطلق على المقيّد في المتوافقين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في الصحيح هو النبات،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دخل الوصف، وإلّا اقتضى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ومعلومٌ أنّه لا يصدق النبات بعد القطع والقلع كي يحكم بحرمة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وقياسه على الصيد المذبوح في الحرم، مع الفارق، والفرق وجود النص في الصيد دون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ما اُفيد من جواز التصرّف فيه بعد القطع والقلع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ما اخترناه، لو سقط نباتٌ من نباتات الحرم، أو قطعه عصياناً، جاز تملّكه بالحيازة ثمّ بيعه وما شاكل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الآخر، فقد يقال بعدم جواز ذلك، لعموم دليل المنع من </w:t>
      </w:r>
    </w:p>
    <w:p>
      <w:pPr>
        <w:pStyle w:val="BookText"/>
        <w:rPr/>
      </w:pPr>
      <w:r>
        <w:rPr>
          <w:rFonts w:ascii="Amiri" w:hAnsi="Amiri" w:eastAsia="Amiri" w:cs="Amiri"/>
          <w:color w:val="111111"/>
          <w:sz w:val="28"/>
          <w:sz w:val="28"/>
          <w:szCs w:val="28"/>
          <w:rtl w:val="true"/>
          <w:lang w:bidi="ar-SA"/>
        </w:rPr>
        <w:t>التصرّف الشامل للاعتباري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الاعتباري مثل البيع لا يكون تصرّفاً في العين الخارجيّة، بل هو تصرّفٌ في لسان العاقد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حراماً لا وجه لبطلانه، لعدم تلازم حرمة المعاملة مع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أصل الشجرة في الحرم وفرعها في الحِلّ‌، أو كان بالعكس، لم يجز قطعها ولا قطع غُصنها، كما صرّح به غير واحدٍ</w:t>
      </w:r>
      <w:r>
        <w:rPr>
          <w:rStyle w:val="FootnoteAnchor"/>
          <w:rtl w:val="true"/>
        </w:rPr>
        <w:footnoteReference w:id="240"/>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عدم الخلاف فيه،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شجرةٍ أصلها في الحرم وفرعها في الحِلّ؟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فرعها لمكان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أصلها في الحِلّ وفرعها في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أصلها لمكان فرعها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ينافيه ما دلّ على جواز قطع الأوراق والأغصان الواردة عليك في منزلك، كخبر إسحاق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جعفر عليه السلام عن الرّجل يدخل مكّة فيقطع من شجرها؟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ما كان داخلاً عليك، ولا تقطع ما لم يدخل منزلك عليك</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لأنّه يخصّص الأوّل بالثاني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أخذ الكمأة من الحرم إذا انقطع، لأنّه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4" w:name="pg11809_94420"/>
    </w:p>
    <w:p>
      <w:pPr>
        <w:pStyle w:val="BookText"/>
        <w:rPr/>
      </w:pPr>
      <w:bookmarkEnd w:id="64"/>
      <w:r>
        <w:rPr>
          <w:rFonts w:ascii="IRNazanin" w:hAnsi="IRNazanin" w:eastAsia="IRNazanin"/>
          <w:color w:val="111111"/>
          <w:sz w:val="28"/>
          <w:sz w:val="28"/>
          <w:szCs w:val="28"/>
          <w:rtl w:val="true"/>
          <w:lang w:bidi="fa-IR"/>
        </w:rPr>
        <w:t>لا أصل له</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للمُحرِم من الحرم</w:t>
      </w:r>
      <w:r>
        <w:rPr>
          <w:rStyle w:val="FootnoteAnchor"/>
          <w:rtl w:val="true"/>
        </w:rPr>
        <w:footnoteReference w:id="245"/>
      </w:r>
      <w:r>
        <w:rPr>
          <w:rFonts w:ascii="Amiri" w:hAnsi="Amiri" w:eastAsia="Amiri" w:cs="Amiri"/>
          <w:color w:val="111111"/>
          <w:sz w:val="28"/>
          <w:sz w:val="28"/>
          <w:szCs w:val="28"/>
          <w:rtl w:val="true"/>
          <w:lang w:bidi="ar-SA"/>
        </w:rPr>
        <w:t>مطلقاً، واستدلّ له بأنّه ليس بحشيش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ليس مختصّاً بالحشيش، بل كلّ نباتٍ‌، ولا ريب في صدقه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انقطع جرى فيه ما ذكرناه في النبات الساقط، فإذاً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الأصحّ‌</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0723831_73709187"/>
      <w:bookmarkStart w:id="66" w:name="_Toc22"/>
      <w:bookmarkEnd w:id="65"/>
      <w:r>
        <w:rPr>
          <w:rtl w:val="true"/>
        </w:rPr>
        <w:t>وجوب إعادة المقطوع من الشَّجر</w:t>
      </w:r>
      <w:bookmarkEnd w:id="66"/>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إنّه إذا قُلع شجرةً وجب اعادتها، واستدلّ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المنقول عن أبي عبد 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ورأيته وقد نتف طاقة وهو يطلب أن يعيدها مكانها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عليه السلام كيف نتفها، وحمله على صورة المستثنيات وإنْ كان يرفع الإشكال، إلّا أنّه لا يجب إعادتها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حُمل على صورة النيسان، فهو كما ترى منافٍ لمقام إمامته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قُرأ بصيغة المجهول، فلا شبهة في أنّ إعادتها لم تكن واجبة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به أنّه كان يطلب مَنْ نتفها ليعيدها إلى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هذا الخبر مشكلٌ‌، وردّ علمه إلى أهله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تمّت دلالته لا يكون منافياً، لما قدّمناه من جواز التصرّف في الأغصان والنباتات بعد القطع والقلع، فإنّه يختصّ بموردٍ خاص، وهو صورة القلع، مع إمكان إعادته إلى محلّه وهي حيّة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الشيخ</w:t>
      </w:r>
      <w:r>
        <w:rPr>
          <w:rStyle w:val="FootnoteAnchor"/>
          <w:rtl w:val="true"/>
        </w:rPr>
        <w:footnoteReference w:id="247"/>
      </w:r>
      <w:r>
        <w:rPr>
          <w:rFonts w:ascii="Amiri" w:hAnsi="Amiri" w:eastAsia="Amiri" w:cs="Amiri"/>
          <w:color w:val="111111"/>
          <w:sz w:val="28"/>
          <w:sz w:val="28"/>
          <w:szCs w:val="28"/>
          <w:rtl w:val="true"/>
          <w:lang w:bidi="ar-SA"/>
        </w:rPr>
        <w:t>رحمه الله إلى ضمان الشجرة إذا قلعها، لأنّه ممنوع من إتلافها، لحُرمة الحَرم فتصبح مضمونة، ولخبر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عن أحدهما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دار الرّجل شجرة من شجر الحرم لم تُنزع، فإنْ أراد نزعها كفَّر بذبح بقرة يتصدّق بلحمها على المساكين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ضامناً لزم إعادتها إنْ أمكن، كما هو الشأن في الضمان في غير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الضمان، والخبر ضعيفٌ للإرسال، وحرمة الإتلاف أعمّ من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الثابت بالخبر غير الضمان المصطلح المستلزم لما اُفيد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النصوص مطلوبيّة بقاء الشجرة في الحرم، فإنْ قطعها فقد فات ذلك في زمانٍ وعصى‌، ولكن إنْ أمكن إعادتها فإبقائها ممكنٌ‌، فيجب بنفس تلك الأدلّة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7" w:name="pg11809_94422"/>
    </w:p>
    <w:p>
      <w:pPr>
        <w:pStyle w:val="BookText"/>
        <w:rPr/>
      </w:pPr>
      <w:bookmarkEnd w:id="67"/>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تدلّ عليه النصوص حرمة القطع لا وجوب الإبقاء، والاحتياط سبيل النجاة</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0723833_73709187"/>
      <w:bookmarkStart w:id="69" w:name="_Toc23"/>
      <w:bookmarkEnd w:id="68"/>
      <w:r>
        <w:rPr>
          <w:rtl w:val="true"/>
        </w:rPr>
        <w:t>ما يجوز قطعه في الحرم</w:t>
      </w:r>
      <w:bookmarkEnd w:id="69"/>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استثني من حرمة قطع نبات الحرم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ينبت في ملك الإنسان، هكذا ذكره الأصحاب</w:t>
      </w:r>
      <w:r>
        <w:rPr>
          <w:rStyle w:val="FootnoteAnchor"/>
          <w:rtl w:val="true"/>
        </w:rPr>
        <w:footnoteReference w:id="249"/>
      </w:r>
      <w:r>
        <w:rPr>
          <w:rFonts w:ascii="Amiri" w:hAnsi="Amiri" w:eastAsia="Amiri" w:cs="Amiri"/>
          <w:color w:val="111111"/>
          <w:sz w:val="28"/>
          <w:sz w:val="28"/>
          <w:szCs w:val="28"/>
          <w:rtl w:val="true"/>
          <w:lang w:bidi="ar-SA"/>
        </w:rPr>
        <w:t>، إلّاأنّ النصوص المستشهد بها له أخصّ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يقلع الشجرة من مضربه أو داره في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الشجرة لم تزل قبل أن يبني الدار أو يتّخذ المضرب، فليس له أن يقلعها، وإنْ كانت طريّة عليه فله قلعها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أو خبره،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الشجرة يقلعها الرّجل من منزله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بنى المنزل والشجرة فيه، فليس له أن يقلعها، وإنْ كانت نبتت في منزله وهو له فليقلعها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النصوص كما ترى مختصّة بالدار والمنزل والمضرب لا مطلق الملك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ممنوعة كدعوى تنقيح المناط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فالأظهر هو الاختصاص بمواردها،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xml:space="preserve">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الإشكال في أصل الحكم، بدعوى ضعف سند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ضعيفة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ضعفها لو كان ينجبر بعمل الأصحاب، فلا ينبغي التوقّف في أصل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الخصوصيّات والقيود، وتفصيل القول فيها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أنْ يكون المنزل أو المضرب مِلْكاً له أم لا؟</w:t>
      </w:r>
    </w:p>
    <w:p>
      <w:pPr>
        <w:pStyle w:val="BookText"/>
        <w:rPr/>
      </w:pPr>
      <w:r>
        <w:rPr>
          <w:rFonts w:ascii="Amiri" w:hAnsi="Amiri" w:eastAsia="Amiri" w:cs="Amiri"/>
          <w:color w:val="111111"/>
          <w:sz w:val="28"/>
          <w:sz w:val="28"/>
          <w:szCs w:val="28"/>
          <w:rtl w:val="true"/>
          <w:lang w:bidi="ar-SA"/>
        </w:rPr>
        <w:t>قد يقال بالأوّل بدعوى أنّ قوله عليه السلام في خبر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ظاهر فيها، بل المراد أنّه إنْ نبت بعد كون المنزل تحت سلطنته، في مقابل ما لو تسلّط عليه والشجرة موجودة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ظهوره فيها، فهو من جهة أنّ المفروض في السؤال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ظهوره في تلك، فغايته أنّه بالمفهوم يدلّ على أنّه إنْ لم ينبت في ما هو مِلْكه، وإن نبت فيما هو تحت سلطانه، فليس له أن يقلعها، فيقع التعارض بين هذا المفهوم ومنطوق خبره الآخر،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طريّة عليه فله قلعها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والنسبة عموم من وجه، ويقدّم المنطوق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مفتوحة عَنوة، وكانت محياة في حال الفتح، فهي ملك للمسلمين لا يملكها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عدم اعتبار الملكيّة، بل تكفي السلطنة عليه بأيّ نحوٍ كانت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كون الشجرة مِلْكاً له أم 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0" w:name="pg11809_94424"/>
    </w:p>
    <w:p>
      <w:pPr>
        <w:pStyle w:val="BookText"/>
        <w:rPr/>
      </w:pPr>
      <w:bookmarkEnd w:id="70"/>
      <w:r>
        <w:rPr>
          <w:rFonts w:ascii="Amiri" w:hAnsi="Amiri" w:eastAsia="Amiri" w:cs="Amiri"/>
          <w:color w:val="111111"/>
          <w:sz w:val="28"/>
          <w:sz w:val="28"/>
          <w:szCs w:val="28"/>
          <w:rtl w:val="true"/>
          <w:lang w:bidi="ar-SA"/>
        </w:rPr>
        <w:t>قد يقال بالأوّل، بدعوى أنّ خبر عثمان المتقدّم مرويّ بضبطين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النسخة الثانية يصبح المراد كون الشجرة مِلْكاً له، وعليه فإمّا أنْ يكون الصحيح هي النسخة الثانية، فيدلّ على اعتبار كونها مملوكة له، أو تكون النسخة الصحيحة مردّدة بينهما، فمقتضى العلم الإجمالي هو أنّه إذا لم يكن المنزل مِلْكاً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تكن الشجرة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يجتنب عن القطع،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دلالة هذه العبارة على اعتبار الملكيّة، وعلى فرضه لا يصلح لتقيّيد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المذكور مقصور على الشجرة أم يثبت الحكم فى كلّ نبات‌؟</w:t>
      </w:r>
    </w:p>
    <w:p>
      <w:pPr>
        <w:pStyle w:val="BookText"/>
        <w:rPr/>
      </w:pPr>
      <w:r>
        <w:rPr>
          <w:rFonts w:ascii="Amiri" w:hAnsi="Amiri" w:eastAsia="Amiri" w:cs="Amiri"/>
          <w:color w:val="111111"/>
          <w:sz w:val="28"/>
          <w:sz w:val="28"/>
          <w:szCs w:val="28"/>
          <w:rtl w:val="true"/>
          <w:lang w:bidi="ar-SA"/>
        </w:rPr>
        <w:t>الظاهر هو الأوّل، لاختصاص النصوص بها، والتعدّي عنها يتوقّف على العلم بالمناط، أو وجود دليلٍ خاصٍ دالّ على التعدّي، وشيءٌ منهما لا يكون ثابتاً، وعليه فالأظهر هو الاختصاص</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0723835_73709187"/>
      <w:bookmarkStart w:id="72" w:name="_Toc24"/>
      <w:bookmarkEnd w:id="71"/>
      <w:r>
        <w:rPr>
          <w:rtl w:val="true"/>
        </w:rPr>
        <w:t>حكم أشجار الفاكهة والنخل والإذخر</w:t>
      </w:r>
      <w:bookmarkEnd w:id="72"/>
    </w:p>
    <w:p>
      <w:pPr>
        <w:pStyle w:val="BookText"/>
        <w:rPr/>
      </w:pPr>
      <w:r>
        <w:rPr>
          <w:rFonts w:ascii="Amiri" w:hAnsi="Amiri" w:eastAsia="Amiri" w:cs="Amiri"/>
          <w:color w:val="111111"/>
          <w:sz w:val="28"/>
          <w:sz w:val="28"/>
          <w:szCs w:val="28"/>
          <w:rtl w:val="true"/>
          <w:lang w:bidi="ar-SA"/>
        </w:rPr>
        <w:t>المورد الثاني من المستثنيات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الفواكه والنخيل، سواءٌ أنبته اللّه تعالى أو كان بفعل الآدمي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استثنائه دعوى الإجماع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 والاتّفاق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إلى قطع الأصحاب به، كما صرّح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سليمان بن خالد،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ينزع من شجر مكّة شيءٌ إلّاالنخل وشجر الفاكهة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عبد الكريم، عمّن ذكره،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ينزع من شجر مكّة إلّا النخل وشجر الفاكهة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والموثّق معتبر في نفسه، وقد عمل الأصحاب بهما، فلو كان فيه ضعفٌ ينجبر بذلك، ومقتضى إطلاقهما جواز القطع والقلع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 من المستثنيات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الإذخر، بكسر الهمزة والخاء المعجمة، وهو نبتٌ يحرقه الحدّاد بدل الحطب والفحم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جواز قطعه، بل عليه الإجماع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زرارة المتقدّم المتضمّن لإستثنائه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خبره الآخر،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رخّص رسول اللّه صلى الله عليه و آله قطع عودي المحالة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البكرة التي يستقى بها من شجر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والإذخر</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الرابع من المستثنيات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عودي المحالة، استثناه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وتبعهما غير واحدٍ من المتأخّرين</w:t>
      </w:r>
      <w:r>
        <w:rPr>
          <w:rStyle w:val="FootnoteAnchor"/>
          <w:rtl w:val="true"/>
        </w:rPr>
        <w:footnoteReference w:id="265"/>
      </w:r>
      <w:r>
        <w:rPr>
          <w:rFonts w:ascii="Amiri" w:hAnsi="Amiri" w:eastAsia="Amiri" w:cs="Amiri"/>
          <w:color w:val="111111"/>
          <w:sz w:val="28"/>
          <w:sz w:val="28"/>
          <w:szCs w:val="28"/>
          <w:rtl w:val="true"/>
          <w:lang w:bidi="ar-SA"/>
        </w:rPr>
        <w:t>، واستدلّ لاستثنائه بخبر زرارة المتقدّم، ولكن فيه جهلاً وإرسالاً، والعمل به بمقدار جبران ضعفه غير ثابت، وعلى فرض الجبر لابدّ من الاقتصار على خصوص البكرة العظيمة التي يُستقى بها المسمّاة بالمحالة، والمراد بعوديها العودان اللّذان تُجعل عليهما المحالة، ثمّ يستقي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للحكم بصحيح زرارة المتقدّم المتضمّن لعودي الناضح، بدعوى أنّه المحالة أيضاً، والصحيح وإنْ ورد حول نبات حرم المدينة، إلّاأنّه يتمّ الاستدلال به، بناءً على عدم القول بالفصل بين حرم المدينة وحرم مكّة بالنسبة إلى ذلك، ولا بأس به لو ثبت عدم الفصل، وسيأتي الكلام في المبنى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 من المستثنيات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على الإنسان من الأوراق والأغصان، ويشهد به خبر إسحاق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جعفر عليه السلام عن الرّجل يدخل مكّة فيقطع من شجرها؟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ما كان داخلاً عليك، ولا تقطع ما لم يدخل منزلك عليك</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عصى الراعي، استثناه بعضٌ‌، ولا مدرك له سوى العَلويّين المرويّين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ضعيفان للإرسال والجهالة، وغير منجبر ضعفهما بالعمل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3" w:name="pg11809_94427"/>
    </w:p>
    <w:p>
      <w:pPr>
        <w:pStyle w:val="Heading3"/>
        <w:numPr>
          <w:ilvl w:val="2"/>
          <w:numId w:val="1"/>
        </w:numPr>
        <w:rPr/>
      </w:pPr>
      <w:bookmarkStart w:id="74" w:name="__RefHeading___Toc10723837_73709187"/>
      <w:bookmarkStart w:id="75" w:name="_Toc25"/>
      <w:bookmarkEnd w:id="73"/>
      <w:bookmarkEnd w:id="74"/>
      <w:r>
        <w:rPr>
          <w:rtl w:val="true"/>
        </w:rPr>
        <w:t>جواز ترك المُحرِم إبله تَرعى في حشيش الحَرَم</w:t>
      </w:r>
      <w:bookmarkEnd w:id="75"/>
    </w:p>
    <w:p>
      <w:pPr>
        <w:pStyle w:val="BookText"/>
        <w:rPr/>
      </w:pP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ولا خلاف في جواز أن يترك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إبله تَرعى في الحشيش مثلاً، لصحيح حريز بن عبد اللّه،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يُخلّى عن البعير في الحَرَم يأكل ما شاء</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 غير مختصّ بالحشيش، شامل للشجر وما شاكل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مختصّ بالعير، ولكن الظاهر التعدّي إلى غيره من الدواب، كما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له بالسيرة القطعيّة الكاشفة عن رأي المعصوم عليه السلام، أضف إليه أنّه مقتضى الأصل بعد عدم شمول النصوص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رحمه الله بجواز أن ينزع المُحرِم الحشيش وغيره للإبل، واستدلّ له بصحيح محمّد بن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النبت الذي في أرض الحرم، أيُنزع‌؟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شيء تأكله الإبل فليس به بأس أن تنزعه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جميل ومحمّد بن حمران قالا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لصحيحة جميل ومحمّد بن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 كلامهما أنّهما صحيحان يرويهما جميل وابن حمران، مع </w:t>
      </w:r>
    </w:p>
    <w:p>
      <w:pPr>
        <w:pStyle w:val="BookText"/>
        <w:rPr/>
      </w:pPr>
      <w:r>
        <w:rPr>
          <w:rFonts w:ascii="Amiri" w:hAnsi="Amiri" w:eastAsia="Amiri" w:cs="Amiri"/>
          <w:color w:val="111111"/>
          <w:sz w:val="28"/>
          <w:sz w:val="28"/>
          <w:szCs w:val="28"/>
          <w:rtl w:val="true"/>
          <w:lang w:bidi="ar-SA"/>
        </w:rPr>
        <w:t>أنّه صحيح واحد يرويه جميل وعبد الرحمن بن أبي نجران عن محمّد 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أُورد عليه بأنّه يعارضه صحيح عبد 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ينحر بعيره أو يذبح شاته‌؟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يحتش لدابّته وبعيره‌؟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ويقطع ما شاء من الشجر حتّى يدخل الحرم، فإذا دخل الحرم فلا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أفاد بعض الأعاظم</w:t>
      </w:r>
      <w:r>
        <w:rPr>
          <w:rStyle w:val="FootnoteAnchor"/>
          <w:rtl w:val="true"/>
        </w:rPr>
        <w:footnoteReference w:id="274"/>
      </w:r>
      <w:r>
        <w:rPr>
          <w:rFonts w:ascii="Amiri" w:hAnsi="Amiri" w:eastAsia="Amiri" w:cs="Amiri"/>
          <w:color w:val="111111"/>
          <w:sz w:val="28"/>
          <w:sz w:val="28"/>
          <w:szCs w:val="28"/>
          <w:rtl w:val="true"/>
          <w:lang w:bidi="ar-SA"/>
        </w:rPr>
        <w:t>انه يتعارض الصحيحان ويتساقطان، والمرجع حينئذٍ إلى العمومات والإطلاقات الدالّة على الحرمة، لخروجهماعن حريم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يدخل الحرم، فإذا دخل الحرم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مختصّاً بالجملة الأخيرة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ويقطع ما شاء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مرتبط بما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ابن سنان ظاهرٌ في المنع، وصحيح ابن حمران صريح في الجواز، فالجمع العرفي بينهما يقتضي البناء على الكراهة، وبعد الجمع يخصَّص العمومات بهما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أفاده من أنّ المقيّدين يتعارضان ويتساقطان، والمرجع إلى العمومات، غريبٌ‌، فإنّهما خبران تعارضا لو سُلّم التعارض، فلابدّ من الرجوع إلى المرجّحات، فإنْ كان هناك مرجّحٌ لأحدهما فهو المقدّم، فإنْ كان ذلك خبر الجواز يقيّد الإطلاقات به، وإنْ كان هو دليل المنع فالإطلاقات تبقى على حالها، وإنْ لم يكن هناك مرجّحٌ‌، يتخيّر في الأخذ بأيّهما شاء، وحينئذٍ له أن يختار دليل الجواز</w:t>
      </w:r>
      <w:r>
        <w:rPr>
          <w:rFonts w:eastAsia="Amiri" w:cs="Amiri" w:ascii="Amiri" w:hAnsi="Amiri"/>
          <w:color w:val="111111"/>
          <w:sz w:val="28"/>
          <w:szCs w:val="28"/>
          <w:rtl w:val="true"/>
          <w:lang w:bidi="ar-SA"/>
        </w:rPr>
        <w:t xml:space="preserve">». </w:t>
      </w:r>
      <w:bookmarkStart w:id="76" w:name="pg11809_94429"/>
    </w:p>
    <w:p>
      <w:pPr>
        <w:pStyle w:val="BookText"/>
        <w:rPr/>
      </w:pPr>
      <w:bookmarkEnd w:id="76"/>
      <w:r>
        <w:rPr>
          <w:rFonts w:ascii="Amiri" w:hAnsi="Amiri" w:eastAsia="Amiri" w:cs="Amiri"/>
          <w:color w:val="111111"/>
          <w:sz w:val="28"/>
          <w:sz w:val="28"/>
          <w:szCs w:val="28"/>
          <w:rtl w:val="true"/>
          <w:lang w:bidi="ar-SA"/>
        </w:rPr>
        <w:t xml:space="preserve">ويقيّد الإطلاقات به، وعلى فرض التعارض يقدّم دليل المنع للشهرة، ولذلك نجد تصريح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السيّد من الجواز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الدليل مختصّ بالبعير، والتعدّي متوقّفٌ على إلغاء الخصوصيّة، إمّا لوحدة المناط، أو لعدم القول بالفصل، فتدبّر</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0723839_73709187"/>
      <w:bookmarkStart w:id="78" w:name="_Toc26"/>
      <w:bookmarkEnd w:id="77"/>
      <w:r>
        <w:rPr>
          <w:rtl w:val="true"/>
        </w:rPr>
        <w:t>جواز تصرف الإنسان فيما أنبته</w:t>
      </w:r>
      <w:bookmarkEnd w:id="78"/>
    </w:p>
    <w:p>
      <w:pPr>
        <w:pStyle w:val="BookText"/>
        <w:rPr/>
      </w:pPr>
      <w:r>
        <w:rPr>
          <w:rFonts w:ascii="Amiri" w:hAnsi="Amiri" w:eastAsia="Amiri" w:cs="Amiri"/>
          <w:color w:val="111111"/>
          <w:sz w:val="28"/>
          <w:sz w:val="28"/>
          <w:szCs w:val="28"/>
          <w:rtl w:val="true"/>
          <w:lang w:bidi="ar-SA"/>
        </w:rPr>
        <w:t>المورد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يقلع المُحرِم ما غرسه الإنسان وأنبته بنفسه، بلا خلافٍ فيه في الجملة، وإنْ اختلفوا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يختصّ بما أنبته فى مِلْكه وهو المنقول عن القاضي</w:t>
      </w:r>
      <w:r>
        <w:rPr>
          <w:rStyle w:val="FootnoteAnchor"/>
          <w:rtl w:val="true"/>
        </w:rPr>
        <w:footnoteReference w:id="276"/>
      </w:r>
      <w:r>
        <w:rPr>
          <w:rFonts w:ascii="Amiri" w:hAnsi="Amiri" w:eastAsia="Amiri" w:cs="Amiri"/>
          <w:color w:val="111111"/>
          <w:sz w:val="28"/>
          <w:sz w:val="28"/>
          <w:szCs w:val="28"/>
          <w:rtl w:val="true"/>
          <w:lang w:bidi="ar-SA"/>
        </w:rPr>
        <w:t>وابن زُهرة</w:t>
      </w:r>
      <w:r>
        <w:rPr>
          <w:rStyle w:val="FootnoteAnchor"/>
          <w:rtl w:val="true"/>
        </w:rPr>
        <w:footnoteReference w:id="277"/>
      </w:r>
      <w:r>
        <w:rPr>
          <w:rFonts w:ascii="Amiri" w:hAnsi="Amiri" w:eastAsia="Amiri" w:cs="Amiri"/>
          <w:color w:val="111111"/>
          <w:sz w:val="28"/>
          <w:sz w:val="28"/>
          <w:szCs w:val="28"/>
          <w:rtl w:val="true"/>
          <w:lang w:bidi="ar-SA"/>
        </w:rPr>
        <w:t>والكيدري</w:t>
      </w:r>
      <w:r>
        <w:rPr>
          <w:rStyle w:val="FootnoteAnchor"/>
          <w:rtl w:val="true"/>
        </w:rPr>
        <w:footnoteReference w:id="278"/>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يعمّ ما كان في غير مِلْكه، وهو 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النزهة</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وغيرها؟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لأصل الجواز بصحيح حريز،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ينبتُ في الحرم فهو حرامٌ على النّاس أجمعين، إلّاما أنبته أنت وغرسته</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الأعاظم من المعاصرين</w:t>
      </w:r>
      <w:r>
        <w:rPr>
          <w:rStyle w:val="FootnoteAnchor"/>
          <w:rtl w:val="true"/>
        </w:rPr>
        <w:footnoteReference w:id="28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عين هذا الحديث غير مذيّل بهذا الذيل، وحيثُ أنّ السائل واحد وكذا المسؤول عنه، فالحديث كما يحتمل أنْ يكون متعدّداً حيث سمع حريز من الأمام عليه السلام مرّتين، كذلك يحتمل أنْ يكون واحداً، لا يعلم أنّه زيد في أحد النقلين أو حصل النقص في الآخر، فلا علم بثبوت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أليس بناء العلماء المتّخذ من بناء العقلاء على تقديم احتمال النقيصة على احتمال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القاعدة تامّة فيما إذا كان الحديث واحداً، وأمّا مع احتمال التعدّد، فلا مجال للتقديم المزبور، كما لا مجال للاعتماد عليه، إلّامع الوثوق بالتعدّد، وهو غير موجودٍ، فلا شيء يقيّد إطلاقات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متعدّد، لتغاير بعض رجال السند فيهما، والاختلاف في المتن، فلا صارف عمّا هو ظاهرٌ من التعدّد، ومجرّد كون السائل واحداً وكذا المسؤول عنه، لا يصلحُ لذلك، ولذا ذكرهما صاحب الوسائل رحمه الله في بابين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هناك مثبتٌ للتعدّد، فإنّ ما أفاده من أنّه لا تكون قاعدة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تقديم احتمال النقيصة جارية في المقام، وحيث لا وثوق بالتعدّد فالمرجع هو الإطلاقات، غريبٌ‌، فإنّه نعلم إجمالاً بالوحدة أو التعدّد، فإنْ كان في الواقع متعدّداً فالحديث المشتمل على الزيادة حجّة، وإنْ كان واحداً فالقاعدة تقتضي ثبوت الزيادة، وعلى كلا التقديرين تكون الزيادة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روى صحيح حريز الذي ذكرناه في أوّل المسألة، قال متّصلاً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أنبته أو غرسته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دخل على الإنسان فلابأس بقلعه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بنى هو في موضع يكون فيه نبتٌ لا يجوز له قلعه، فيحتمل أنْ يكون ذلك من تتمّة الصحيح، وإلّا كانت فتوى منه مستظهراً لها من الخبرين الأولين اللّذين وإنْ كانا مشتملين على خصوص الشجرة، إلّاأنّه لا قائل بالفرق بينه وبين غيره</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كونه من تتمّة الصحيح، لفهم الأصحاب وأرباب الحديث ذلك، ولذا استدلّوا به مع هذه الزيادة في هذه المسألة، ونقلوه معها في كتب الحديث، سيّما وأنّ بناء الشيخ في نقل الأخبار ليس على ذلك، بحيث ينقل الحديث ويعقّبه بفتواه بنحوٍ يُوهم كونها من تتمّة الحديث، كما عليه بناء الصدوق رحمه الله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ما اُفيد من أنّه يمكن أن يستفاد من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الخبران الواردان فيما نبت في منزله أو مضربه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فإنّ ما فيهما عن نبت النبات في منزله أو في مضربه، ومحلّ الكلام وما في ذيل الصحيح هو الإنبات والغرس، سواءٌ في منزله أو غيره، وعليه فلا يحتمل أن تكون الزيادة فتوى من الشيخ رحمه الله ألصقها بالصحيح، فلا ينبغي التوقّف 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وأغرب من ذلك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بعد ذلك بأسطر يفتي بجواز قطع ما أنبته وأغرسه في غير ملكه، ويستدلّ له بصحيح زرارة، وليس لزرارة رواية تدلّ على ذلك، وإنْ كان مراده صحيح حريز، وأثبت زرارة اشتباهاً، فهو مخالفٌ لما أفاده قبل ذلك بأسطر من احتمال عدم كون الزيادة تتمّة الصحيح، واللّه تعالى مُقيل العثرات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الصحيح عدم الفرق بين كون الغرس في مِلْكه أو في غير مِلْكه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79" w:name="pg11809_94433"/>
    </w:p>
    <w:p>
      <w:pPr>
        <w:pStyle w:val="Heading3"/>
        <w:numPr>
          <w:ilvl w:val="2"/>
          <w:numId w:val="1"/>
        </w:numPr>
        <w:rPr/>
      </w:pPr>
      <w:bookmarkStart w:id="80" w:name="__RefHeading___Toc10723841_73709187"/>
      <w:bookmarkStart w:id="81" w:name="_Toc27"/>
      <w:bookmarkEnd w:id="79"/>
      <w:bookmarkEnd w:id="80"/>
      <w:r>
        <w:rPr>
          <w:rtl w:val="true"/>
        </w:rPr>
        <w:t>تذييلٌ حول تصرّف الإنسان فيما أنبته</w:t>
      </w:r>
      <w:bookmarkEnd w:id="81"/>
    </w:p>
    <w:p>
      <w:pPr>
        <w:pStyle w:val="BookText"/>
        <w:rPr/>
      </w:pPr>
      <w:r>
        <w:rPr>
          <w:rFonts w:ascii="Amiri" w:hAnsi="Amiri" w:eastAsia="Amiri" w:cs="Amiri"/>
          <w:color w:val="111111"/>
          <w:sz w:val="28"/>
          <w:sz w:val="28"/>
          <w:szCs w:val="28"/>
          <w:rtl w:val="true"/>
          <w:lang w:bidi="ar-SA"/>
        </w:rPr>
        <w:t>أفاد بعض الأعاظم من المعاصرين</w:t>
      </w:r>
      <w:r>
        <w:rPr>
          <w:rStyle w:val="FootnoteAnchor"/>
          <w:rtl w:val="true"/>
        </w:rPr>
        <w:footnoteReference w:id="2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الظاهر وقوع المعارضة بين أدلّة المستثنيات، بتقريب أنّ مقتضى ما دلّ على استثناء شجر الفواكه مثلاً هو أن لا يكون له عِدْلٌ آخر، ويكون المستنثى منحصراً فيه، وكذا مقتضى ما دلّ على استثناء ما نبت في المنزل والمضرب، وهكذا باقي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تصدّى للجمع بين النصوص وأفاد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يمكن الجمع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تقيّيد الإطلاق لكلّ واحدٍ منها المقابل للعطف بأو، فيكون كلّ عنوانٍ من تلك العناوين عنواناً مستقلّاً محكوماً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تقيّيد الإطلاق المقابل للعطف بالواو، فتكون النتيجة أنّ جواز القطع مشروطٌ باجتماع جميع العناوين المستثناة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اختار هو قدس سره الأوّل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يتمّ فيما إذا كان الحكم واحداً، وكلّ من الأدلّة متضمّناً لكون تمام الموضوع له هو ما تضمّنه، كما في موارد تعدّد الشرط واتّحاد الجزاء، نظير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الجُدران فقصّر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أمثال المقام ممّا لا يكون الحكم واحداً، بل متعدّداً، إذ كلّ طائفةٍ من تلك الأدلّة تدلّ على استثناء عنوان وخروجه عن تحت دليل المنع، ولا نظر لها إلى العنوان الآخر، ولا إلى أنّ ما استثني إنّما يكون منحصراً فيما تضمّنته، فلا مجرى لهذه الكبرى الكليّة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بين أدلّة المستثنيات أصلاً، حتّى نحتاج إلى هذه التكلفات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جملة من الاُمور التي ذكروها في عداد المحرّمات على المُحرِم كانت بنظر المصنّف رحمه الله مكروهة، ولذا ذكرها في المكروهات، ونحن تبعاً له نتعرّض لتلك الاُمور عندما يتعرّض لها</w:t>
      </w:r>
      <w:r>
        <w:rPr>
          <w:rFonts w:eastAsia="Amiri" w:cs="Amiri" w:ascii="Amiri" w:hAnsi="Amiri"/>
          <w:color w:val="111111"/>
          <w:sz w:val="28"/>
          <w:szCs w:val="28"/>
          <w:rtl w:val="true"/>
          <w:lang w:bidi="ar-SA"/>
        </w:rPr>
        <w:t>.</w:t>
      </w:r>
      <w:bookmarkStart w:id="82" w:name="pg11809_94435"/>
    </w:p>
    <w:p>
      <w:pPr>
        <w:pStyle w:val="BookText"/>
        <w:rPr/>
      </w:pPr>
      <w:bookmarkEnd w:id="82"/>
      <w:r>
        <w:rPr>
          <w:rFonts w:ascii="Amiri" w:hAnsi="Amiri" w:eastAsia="Amiri" w:cs="Amiri"/>
          <w:color w:val="111111"/>
          <w:sz w:val="28"/>
          <w:sz w:val="28"/>
          <w:szCs w:val="28"/>
          <w:rtl w:val="true"/>
          <w:lang w:bidi="ar-SA"/>
        </w:rPr>
        <w:t>ويُكره الإكتحال بالسّواد،</w:t>
      </w:r>
    </w:p>
    <w:p>
      <w:pPr>
        <w:pStyle w:val="Heading3"/>
        <w:numPr>
          <w:ilvl w:val="2"/>
          <w:numId w:val="1"/>
        </w:numPr>
        <w:rPr/>
      </w:pPr>
      <w:bookmarkStart w:id="83" w:name="__RefHeading___Toc10723843_73709187"/>
      <w:bookmarkStart w:id="84" w:name="_Toc28"/>
      <w:bookmarkEnd w:id="83"/>
      <w:r>
        <w:rPr>
          <w:rtl w:val="true"/>
        </w:rPr>
        <w:t>مكروهات الإحرام</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الإحرام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الإكتحال بالسّواد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المنافع</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 xml:space="preserve">، بل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الفرقة عليه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97"/>
      </w:r>
      <w:r>
        <w:rPr>
          <w:rFonts w:ascii="Amiri" w:hAnsi="Amiri" w:eastAsia="Amiri" w:cs="Amiri"/>
          <w:color w:val="111111"/>
          <w:sz w:val="28"/>
          <w:sz w:val="28"/>
          <w:szCs w:val="28"/>
          <w:rtl w:val="true"/>
          <w:lang w:bidi="ar-SA"/>
        </w:rPr>
        <w:t>، والمفيد</w:t>
      </w:r>
      <w:r>
        <w:rPr>
          <w:rStyle w:val="FootnoteAnchor"/>
          <w:rtl w:val="true"/>
        </w:rPr>
        <w:footnoteReference w:id="298"/>
      </w:r>
      <w:r>
        <w:rPr>
          <w:rFonts w:ascii="Amiri" w:hAnsi="Amiri" w:eastAsia="Amiri" w:cs="Amiri"/>
          <w:color w:val="111111"/>
          <w:sz w:val="28"/>
          <w:sz w:val="28"/>
          <w:szCs w:val="28"/>
          <w:rtl w:val="true"/>
          <w:lang w:bidi="ar-SA"/>
        </w:rPr>
        <w:t>، وسلّار</w:t>
      </w:r>
      <w:r>
        <w:rPr>
          <w:rStyle w:val="FootnoteAnchor"/>
          <w:rtl w:val="true"/>
        </w:rPr>
        <w:footnoteReference w:id="299"/>
      </w:r>
      <w:r>
        <w:rPr>
          <w:rFonts w:ascii="Amiri" w:hAnsi="Amiri" w:eastAsia="Amiri" w:cs="Amiri"/>
          <w:color w:val="111111"/>
          <w:sz w:val="28"/>
          <w:sz w:val="28"/>
          <w:szCs w:val="28"/>
          <w:rtl w:val="true"/>
          <w:lang w:bidi="ar-SA"/>
        </w:rPr>
        <w:t>، وابن إدريس</w:t>
      </w:r>
      <w:r>
        <w:rPr>
          <w:rStyle w:val="FootnoteAnchor"/>
          <w:rtl w:val="true"/>
        </w:rPr>
        <w:footnoteReference w:id="300"/>
      </w:r>
      <w:r>
        <w:rPr>
          <w:rFonts w:ascii="Amiri" w:hAnsi="Amiri" w:eastAsia="Amiri" w:cs="Amiri"/>
          <w:color w:val="111111"/>
          <w:sz w:val="28"/>
          <w:sz w:val="28"/>
          <w:szCs w:val="28"/>
          <w:rtl w:val="true"/>
          <w:lang w:bidi="ar-SA"/>
        </w:rPr>
        <w:t>، وابن الجُنيد</w:t>
      </w:r>
      <w:r>
        <w:rPr>
          <w:rStyle w:val="FootnoteAnchor"/>
          <w:rtl w:val="true"/>
        </w:rPr>
        <w:footnoteReference w:id="301"/>
      </w:r>
      <w:r>
        <w:rPr>
          <w:rFonts w:ascii="Amiri" w:hAnsi="Amiri" w:eastAsia="Amiri" w:cs="Amiri"/>
          <w:color w:val="111111"/>
          <w:sz w:val="28"/>
          <w:sz w:val="28"/>
          <w:szCs w:val="28"/>
          <w:rtl w:val="true"/>
          <w:lang w:bidi="ar-SA"/>
        </w:rPr>
        <w:t>وجماعة آخرين القول بالحرمة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القول بالحرمة إذا كان للزّينة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الاختلاف في الحكم هو اختلاف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يكتحل الرّجل والمرأة المُحرِمان بالكحل الأسود إلّامن علّة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تكتحل المرأة المُحرِمة بالسّواد، إنّ السواد زينة</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الكُحل للمُحرِم‌؟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بالسواد فلا، ولكن بالصبر والحضض</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ونحوها غيرها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الجواز إلّاللزِّينة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يكتحل وهو مُحرِم بما لم يكن فيه طيب يوجد ريحه، وأمّا للزِّينة فلا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تكتحل المرأة بالكُحل كلّه، إلّاالكُحل الأسود للزِّينة</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ظهورها في الجواز مطلقاً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عن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تكتحل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بسوادٍ ليس فيه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فكرهه من أجل أنّه زينة</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يَكتحل المُحرِم إنْ هو رمد بكُحلٍ ليس فيه زعفران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يكتحل المُحرِم عينيه إنْ شاء بصبر ليس فيه زعفران ولا وَرَس</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النصوص يقتضي تقيّيد الطائفتين الأُولى والثالثة بالطائفة الثانية المفصّلة بين كونه للزّينه فلا يجوز، وما لم يكن لها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بما في صدر الطائفة الثانية، فيردّه أنّ ما في صدر تلك النصوص أعمّ من الطائفة الأُولى، فإنّه يدلّ على جواز الإكتحال مطلقاً، والطائفة الأُولى تدلّ على المنع عن الإكتحال بالكحل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بما في ذيلها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للزّينة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فيردّه أنّه لا مانع من حرمة الإكتحال للزِّينة مطلقاً، والإكتحال بالسّواد، لأنّه بنفسه زينة وإنْ لم يقصدها، فلا يصلح للتقيّيد، مع احتمال إرادة ما يسبب للزِّينة وإنْ لم يقصدها، فتوافق تلك الطائفة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النواهي الظاهرة في المنع تُحمل على إرادة الكراهة للطائفة الثالثة، الصريحة في الجواز، فتكون نتيجة الجمع كراهة الإكتحال بالسواد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صحيح حمّاد من نصوص تلك الطائفة تكون أعمّ من نصوص المنع عن الإكتحال بالأسود، فيقيّد إطلاقها بها، فتختصّ بالكُحل غير الأسود، وقد مرّ مراراً أنّ الجمع الموضوعي مقدّم على الجمع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حمّاد، فهو غير صريحٍ ولا ظاهرٍ في الجواز، لأنّ الكراهة في الأخبار كثيراً ما يُراد بها الحرمة، ولا أقلّ من الاحتمال المؤدّي إلى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الأخبار يقتضي البناء على حُرمة الإكتحال بالأسود مطلقاً لأنّه زينة، والإكتحال بغير الأسود إذا قصد به الزينة، وأمّا الإكتحال بما فيه طيب، فقد تقدّم حكمه في مسألة حرمة الطيب على المُحرِم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التعليل الوارد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السّواد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كلّ تزيين للمُحرِمة، وإنْ لم تقصد به الزينة، قضيّة لعموم العلّة</w:t>
      </w:r>
      <w:r>
        <w:rPr>
          <w:rFonts w:eastAsia="Amiri" w:cs="Amiri" w:ascii="Amiri" w:hAnsi="Amiri"/>
          <w:color w:val="111111"/>
          <w:sz w:val="28"/>
          <w:szCs w:val="28"/>
          <w:rtl w:val="true"/>
          <w:lang w:bidi="ar-SA"/>
        </w:rPr>
        <w:t>.</w:t>
      </w:r>
      <w:bookmarkStart w:id="85" w:name="pg11809_94439"/>
    </w:p>
    <w:p>
      <w:pPr>
        <w:pStyle w:val="BookText"/>
        <w:rPr/>
      </w:pPr>
      <w:bookmarkEnd w:id="85"/>
      <w:r>
        <w:rPr>
          <w:rFonts w:ascii="Amiri" w:hAnsi="Amiri" w:eastAsia="Amiri" w:cs="Amiri"/>
          <w:color w:val="111111"/>
          <w:sz w:val="28"/>
          <w:sz w:val="28"/>
          <w:szCs w:val="28"/>
          <w:rtl w:val="true"/>
          <w:lang w:bidi="ar-SA"/>
        </w:rPr>
        <w:t>والنظر في المرآة</w:t>
      </w:r>
    </w:p>
    <w:p>
      <w:pPr>
        <w:pStyle w:val="Heading3"/>
        <w:numPr>
          <w:ilvl w:val="2"/>
          <w:numId w:val="1"/>
        </w:numPr>
        <w:rPr/>
      </w:pPr>
      <w:bookmarkStart w:id="86" w:name="__RefHeading___Toc10723845_73709187"/>
      <w:bookmarkStart w:id="87" w:name="_Toc29"/>
      <w:bookmarkEnd w:id="86"/>
      <w:r>
        <w:rPr>
          <w:rtl w:val="true"/>
        </w:rPr>
        <w:t>النظر في المرآة</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المكروهات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والقاضي</w:t>
      </w:r>
      <w:r>
        <w:rPr>
          <w:rStyle w:val="FootnoteAnchor"/>
          <w:rtl w:val="true"/>
        </w:rPr>
        <w:footnoteReference w:id="31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32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324"/>
      </w:r>
      <w:r>
        <w:rPr>
          <w:rFonts w:ascii="Amiri" w:hAnsi="Amiri" w:eastAsia="Amiri" w:cs="Amiri"/>
          <w:color w:val="111111"/>
          <w:sz w:val="28"/>
          <w:sz w:val="28"/>
          <w:szCs w:val="28"/>
          <w:rtl w:val="true"/>
          <w:lang w:bidi="ar-SA"/>
        </w:rPr>
        <w:t>وأبي الصلاح</w:t>
      </w:r>
      <w:r>
        <w:rPr>
          <w:rStyle w:val="FootnoteAnchor"/>
          <w:rtl w:val="true"/>
        </w:rPr>
        <w:footnoteReference w:id="325"/>
      </w:r>
      <w:r>
        <w:rPr>
          <w:rFonts w:ascii="Amiri" w:hAnsi="Amiri" w:eastAsia="Amiri" w:cs="Amiri"/>
          <w:color w:val="111111"/>
          <w:sz w:val="28"/>
          <w:sz w:val="28"/>
          <w:szCs w:val="28"/>
          <w:rtl w:val="true"/>
          <w:lang w:bidi="ar-SA"/>
        </w:rPr>
        <w:t>وابني إدريس</w:t>
      </w:r>
      <w:r>
        <w:rPr>
          <w:rStyle w:val="FootnoteAnchor"/>
          <w:rtl w:val="true"/>
        </w:rPr>
        <w:footnoteReference w:id="326"/>
      </w:r>
      <w:r>
        <w:rPr>
          <w:rFonts w:ascii="Amiri" w:hAnsi="Amiri" w:eastAsia="Amiri" w:cs="Amiri"/>
          <w:color w:val="111111"/>
          <w:sz w:val="28"/>
          <w:sz w:val="28"/>
          <w:szCs w:val="28"/>
          <w:rtl w:val="true"/>
          <w:lang w:bidi="ar-SA"/>
        </w:rPr>
        <w:t>وسعيد</w:t>
      </w:r>
      <w:r>
        <w:rPr>
          <w:rStyle w:val="FootnoteAnchor"/>
          <w:rtl w:val="true"/>
        </w:rPr>
        <w:footnoteReference w:id="327"/>
      </w:r>
      <w:r>
        <w:rPr>
          <w:rFonts w:ascii="IRNazanin" w:hAnsi="IRNazanin" w:eastAsia="IRNazanin"/>
          <w:color w:val="111111"/>
          <w:sz w:val="28"/>
          <w:sz w:val="28"/>
          <w:szCs w:val="28"/>
          <w:rtl w:val="true"/>
          <w:lang w:bidi="fa-IR"/>
        </w:rPr>
        <w:t xml:space="preserve">، البناء على </w:t>
      </w:r>
    </w:p>
    <w:p>
      <w:pPr>
        <w:pStyle w:val="BookText"/>
        <w:rPr/>
      </w:pPr>
      <w:r>
        <w:rPr>
          <w:rFonts w:ascii="Amiri" w:hAnsi="Amiri" w:eastAsia="Amiri" w:cs="Amiri"/>
          <w:color w:val="111111"/>
          <w:sz w:val="28"/>
          <w:sz w:val="28"/>
          <w:szCs w:val="28"/>
          <w:rtl w:val="true"/>
          <w:lang w:bidi="ar-SA"/>
        </w:rPr>
        <w:t>الحُرمة، بل نُسب إلى الأكثر، بل المشهور</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الحكم بالحُرمة إذا كان النظر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في المرآة وأنتَ محرم، لأنّه من الزينة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في المرآة وأنتَ مُحرم، لأنّه من الزِّينة</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حملها الفاضل النراقي</w:t>
      </w:r>
      <w:r>
        <w:rPr>
          <w:rStyle w:val="FootnoteAnchor"/>
          <w:rtl w:val="true"/>
        </w:rPr>
        <w:footnoteReference w:id="332"/>
      </w:r>
      <w:r>
        <w:rPr>
          <w:rFonts w:ascii="Amiri" w:hAnsi="Amiri" w:eastAsia="Amiri" w:cs="Amiri"/>
          <w:color w:val="111111"/>
          <w:sz w:val="28"/>
          <w:sz w:val="28"/>
          <w:szCs w:val="28"/>
          <w:rtl w:val="true"/>
          <w:lang w:bidi="ar-SA"/>
        </w:rPr>
        <w:t>على الكراهة، لأنّه متضمّنة للجملة المحتملة للخبريّة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مراراً من ظهور الجملة الخبريّة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تقيّيد إطلاق تلك النصوص بما في جملةٍ أُخرى منها دالّة على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المُحرِم في المرآة لزينة، فإنْ نظر فليلبّ‌</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المرأة المُحرِمة في المرآة للزِّينة</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فيثبت 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يُحمل المطلق على المقيّد في المتوافقين، وعليه فمقتضى الطائفة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حرمة النظر في المرآة بقصد الزينة، ومقتضى الأُولى حُرمة النظر إلى المرآة مطلقاً، سواءٌ أكان من قصده الزينة أم لم يكن، وسواءٌ أكانت المرآة معدّة للزِّينة أم لا، لأنّ النظر فيها بنفسه زينة كما يقتضية ما فيها من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حقيقةً أو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بينهما، فيعمل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الحرمة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هذا الحكم بالنظر في المرآة، وأمّا النظر في غيرها ممّا يحكي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المنع عنه، والتعدّي عن المرآة إليه بتفتيح المناط كما ترى‌، فالمتعيّن هو الرجوع إلى الأصل، وهو يقتضي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يختصّ الحكم بالمعتاد فعله للزِّينة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أم 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إطلاق النصوص يقتضي الثاني، والانصراف إلى المعتاد فعله للزِّينة، لو سُلّم بدوي زائلٌ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عدم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هذا الحكم بين المرأة والرّجل، لأنّ بعض النصوص واردٌ في حقّ المرأة وبعضها الآخر في حقّ الرّجل، مضافاً إلى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في المرآة وأنت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إعادة التلبية لو نظر فيها بعد الإحرام أم لا؟</w:t>
      </w:r>
    </w:p>
    <w:p>
      <w:pPr>
        <w:pStyle w:val="BookText"/>
        <w:rPr/>
      </w:pPr>
      <w:r>
        <w:rPr>
          <w:rFonts w:ascii="Amiri" w:hAnsi="Amiri" w:eastAsia="Amiri" w:cs="Amiri"/>
          <w:color w:val="111111"/>
          <w:sz w:val="28"/>
          <w:sz w:val="28"/>
          <w:szCs w:val="28"/>
          <w:rtl w:val="true"/>
          <w:lang w:bidi="ar-SA"/>
        </w:rPr>
        <w:t>ظاهر صحيح معاوية المتقدّم هو الأوّل، ولكن تسالم الأصحاب على عدم الوجوب، يوجبُ حمله على الاستحباب، ومقتضى إطلاق الصحيح عدم الفرق بين العالم والجاهل والناسي، بل بين الرّجل والمرأة، فيستحبّ إعادة التلبية للجميع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88" w:name="pg11809_94442"/>
    </w:p>
    <w:p>
      <w:pPr>
        <w:pStyle w:val="BookText"/>
        <w:rPr/>
      </w:pPr>
      <w:bookmarkEnd w:id="88"/>
      <w:r>
        <w:rPr>
          <w:rFonts w:ascii="Amiri" w:hAnsi="Amiri" w:eastAsia="Amiri" w:cs="Amiri"/>
          <w:color w:val="111111"/>
          <w:sz w:val="28"/>
          <w:sz w:val="28"/>
          <w:szCs w:val="28"/>
          <w:rtl w:val="true"/>
          <w:lang w:bidi="ar-SA"/>
        </w:rPr>
        <w:t>ولبس الخاتم للزِّينة،</w:t>
      </w:r>
    </w:p>
    <w:p>
      <w:pPr>
        <w:pStyle w:val="Heading3"/>
        <w:numPr>
          <w:ilvl w:val="2"/>
          <w:numId w:val="1"/>
        </w:numPr>
        <w:rPr/>
      </w:pPr>
      <w:bookmarkStart w:id="89" w:name="__RefHeading___Toc10723847_73709187"/>
      <w:bookmarkStart w:id="90" w:name="_Toc30"/>
      <w:bookmarkEnd w:id="89"/>
      <w:r>
        <w:rPr>
          <w:rtl w:val="true"/>
        </w:rPr>
        <w:t>لبس الخاتم للزِّينة</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المكروهات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 الخاتم 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 رحمه الله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الأصحاب الحرمة،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يعرف خلافاً بين الأصحاب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للحرمة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عموم العلّة في نصوص الإكتحال بالسواد والنظر في المرآة، فإنّه قد عرفت أنّه يستفاد منه حرمة كلّ ما هو 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مسمع،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أيلبس المُحرِم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يلبسه للزِّينة</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عن الكليني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يلبسه للزِّينة</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 مراده ذلك فليس هو خبراً آخر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أنْ يكون مذكوراً في مقام التعليل، فيدلّ الخبر على حرمة لبسه مطلقاً لكونه 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قيداً اللّبس، أي لا يقصد بلبسه الزينة وإلّا حرم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وبإزائه ما يدلّ على جواز اللّبس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العبد الصالح عليه السلام وهو مُحرِمٌ وعليه خاتم وهو يطوف طواف الفريضة</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نجيح،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بلبس الخاتم للمُحرِم</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الاحتمال الأوّل الذي ذكرناه في خبر مسمع، يكون المتعيّن الجمع بين النصوص بحمل خبر مسمع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الاحتمال الثاني يكون هو أخصّ من نصوص الجواز، ويقيّد إطلاقها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مرجّحٌ للثاني، فلا دليل على المنع، والأصل يقتضي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المُدّعى على الحرمة، فلا يضرّ مخالفته بعد معلوميّة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الأصحاب على عدم الفرق في هذا الحكم بين الرّجل والمرأة، وقد ورد في المرأة 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بن صدقة، عن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 المرأة المُحرِمة الخاتم من 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أنّ لبسه ليس للسُنّة بل للزِّينة، وبنصوص الباب يرفع اليد عن عموم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العلّة المشار إليها كما لا يخفى‌، وعليه فالأظهر هو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لبس الخاتم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لبسه للسُنّة فلا خلاف في جوازة، بل عليه الإجماع كما ادّعاه غير واحد</w:t>
      </w:r>
      <w:r>
        <w:rPr>
          <w:rStyle w:val="FootnoteAnchor"/>
          <w:rtl w:val="true"/>
        </w:rPr>
        <w:footnoteReference w:id="345"/>
      </w:r>
      <w:r>
        <w:rPr>
          <w:rFonts w:ascii="Amiri" w:hAnsi="Amiri" w:eastAsia="Amiri" w:cs="Amiri"/>
          <w:color w:val="111111"/>
          <w:sz w:val="28"/>
          <w:sz w:val="28"/>
          <w:szCs w:val="28"/>
          <w:rtl w:val="true"/>
          <w:lang w:bidi="ar-SA"/>
        </w:rPr>
        <w:t xml:space="preserve">،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اختصاص خبر مسمع على الاحتمال الثاني باللّبس للزِّينة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وخبر نجيح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التفرقة بين ما كان للسُنّة أو الزينة إلى القصد، وعلّله بأنّه ليس هاهنا هيئة تختصّ بإحداهما دون الاُخرى‌،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وحاشية الكركي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هيئة لبس الخاتم للزِّينة مغايرة لهيئة لبسه للسُنّة، إلّاأنّ أقسام الخاتم مختلفة؛ بعضها للزِّينة وبعضها لا زينة فيه أصلاً، مع أنّ هيئة اللّبس أيضاً تختلف بالوجدان، فمن لبسه في رأس إبهامه لا يكون ذلك زينة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أخذناه قيداً للبس كان ظاهراً في قصد الزينة، وإنْ جعلناه علّة، كان دالّاً على أنّ كلّ لبسٍ صدق عليه أنّه زينة مرجوح، سواءٌ قصد به الزينة أو السُنّة وإلّا فلا، فتدبّر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91" w:name="pg11809_94445"/>
    </w:p>
    <w:p>
      <w:pPr>
        <w:pStyle w:val="Heading3"/>
        <w:numPr>
          <w:ilvl w:val="2"/>
          <w:numId w:val="1"/>
        </w:numPr>
        <w:rPr/>
      </w:pPr>
      <w:bookmarkStart w:id="92" w:name="__RefHeading___Toc10723849_73709187"/>
      <w:bookmarkStart w:id="93" w:name="_Toc31"/>
      <w:bookmarkEnd w:id="91"/>
      <w:bookmarkEnd w:id="92"/>
      <w:r>
        <w:rPr>
          <w:rtl w:val="true"/>
        </w:rPr>
        <w:t>لبس المرأة الحُليّ للزِّينة</w:t>
      </w:r>
      <w:bookmarkEnd w:id="93"/>
    </w:p>
    <w:p>
      <w:pPr>
        <w:pStyle w:val="BookText"/>
        <w:rPr/>
      </w:pPr>
      <w:r>
        <w:rPr>
          <w:rFonts w:ascii="Amiri" w:hAnsi="Amiri" w:eastAsia="Amiri" w:cs="Amiri"/>
          <w:color w:val="111111"/>
          <w:sz w:val="28"/>
          <w:sz w:val="28"/>
          <w:szCs w:val="28"/>
          <w:rtl w:val="true"/>
          <w:lang w:bidi="ar-SA"/>
        </w:rPr>
        <w:t xml:space="preserve">ومن المكروهات عند جماعةٍ‌، لَبسُ المرأة الحُليّ غير المعتاد لها لبسه، وهذا الحكم 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المشهور الحرمة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وملخّص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ما يكون معتاداً لها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غير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يعدّ الملبوس ما هو زينة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غيرها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التقادير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تُظهرها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تظهرها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لبس الحُليّ لها مطلقاً إلّاحُليّاً مشهوراً للزِّينة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 تلبس الحُليّ كلّه، إلّا حُلياً مشهوراً للزِّينة</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الكاهلي،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 المرأة الحُليّ كلّه، إلّاالقرط المشهور والقلادة المشهورة</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النصوص تدلّ على حرمة لبس الحُليّ المشهور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لبس الحُليّ المعتاد لها، مشهوراً أم لا، كصحيح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للمرأة حُليٌّ لم تحدثه للإحرام لم تنزع حُليّها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والنسبة بينه وبين ما تقدّم عمومٌ من وجه، فيقدّم ما تقدّم للشهرة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لبس الحُليّ المشهور في صورة الاعتياد، كصحيح ابن الحجّاج،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يكون عليها الحُليّ والخلخال والمسكة والقرطان من الذهب والورق، تحرم فيه وهو عليها، وقد كانت تلبسه في بيتها قبل حَجّها، اتنزعه إذا أحرمت أو تتركه، على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فيه، وتلبسه من غير أن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تُظهره للرّجال في مركبها ومسيرها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والنسبة بينه وبين ما تقدّم عموم مطلق، فيقيّد إطلاق ما دلّ على المنع من لبس الحُليّ المشهور بما ذا لم يكن معتاداً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لبس الحُليّ المشهور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تحرم المرأة في الذهب والخزّ</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مصدّق،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 المرأة المُحرِمة الخاتم من ذهب، فإنّ الخاتم من ذهب، بل الحُليّ من الذهب مطلقاً من الحُليّ المشهور</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 هذه الأخبار، وبين نصوص المنع، يقتضي حملها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لبس الحُليّ إذا أظهرتها لزوجها، كخبر النضر بن سويد،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المُحرِمة، أيّ شيء تلبس من الثياب‌؟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الثياب كلّها الا المصبوغة بالزعفران والوَرَس، ولا تلبس القفّازين ولا حُلياً تتزيّن به لزوجها، ولا تكتحل إلّامن علّة، ولا تمسّ طيباً، ولا تلبس حُليّاً ولا فرنداً</w:t>
      </w:r>
      <w:r>
        <w:rPr>
          <w:rStyle w:val="FootnoteAnchor"/>
          <w:rtl w:val="true"/>
        </w:rPr>
        <w:footnoteReference w:id="362"/>
      </w:r>
      <w:r>
        <w:rPr>
          <w:rFonts w:ascii="Amiri" w:hAnsi="Amiri" w:eastAsia="Amiri" w:cs="Amiri"/>
          <w:color w:val="111111"/>
          <w:sz w:val="28"/>
          <w:sz w:val="28"/>
          <w:szCs w:val="28"/>
          <w:rtl w:val="true"/>
          <w:lang w:bidi="ar-SA"/>
        </w:rPr>
        <w:t>، ولا بأس بالعلم في الثوب</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معارض له، فإنّ النصوص السابقة تدلّ على جواز لبس الحُليّ من حيث هو، وهذا يدلّ على المنع من التزيّن للزوج فيؤخذ بظاهره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ذيل صحيح ابن الحجّاج</w:t>
      </w:r>
      <w:r>
        <w:rPr>
          <w:rStyle w:val="FootnoteAnchor"/>
          <w:rtl w:val="true"/>
        </w:rPr>
        <w:footnoteReference w:id="364"/>
      </w:r>
      <w:r>
        <w:rPr>
          <w:rFonts w:ascii="Amiri" w:hAnsi="Amiri" w:eastAsia="Amiri" w:cs="Amiri"/>
          <w:color w:val="111111"/>
          <w:sz w:val="28"/>
          <w:sz w:val="28"/>
          <w:szCs w:val="28"/>
          <w:rtl w:val="true"/>
          <w:lang w:bidi="ar-SA"/>
        </w:rPr>
        <w:t>يدلّ على المنع من إظهار الزينة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الممنوع من الحُليّ للنساء، هو أن تلبس الحُليّ وتتزيّن به للزوج وغيره من الرّجال، وإلّا فلا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يُكره لها لبس الحُليّ للزِّينة، وتشتدّ الكراهة إذا لم يكن معتاداً، أو لم تكن لابسة إيّاه قبل الإحرام، أو إذا كان مشهوراً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94" w:name="pg11809_94449"/>
    </w:p>
    <w:p>
      <w:pPr>
        <w:pStyle w:val="BookText"/>
        <w:rPr/>
      </w:pPr>
      <w:bookmarkEnd w:id="94"/>
      <w:r>
        <w:rPr>
          <w:rFonts w:ascii="Amiri" w:hAnsi="Amiri" w:eastAsia="Amiri" w:cs="Amiri"/>
          <w:color w:val="111111"/>
          <w:sz w:val="28"/>
          <w:sz w:val="28"/>
          <w:szCs w:val="28"/>
          <w:rtl w:val="true"/>
          <w:lang w:bidi="ar-SA"/>
        </w:rPr>
        <w:t>والحِجامة،</w:t>
      </w:r>
    </w:p>
    <w:p>
      <w:pPr>
        <w:pStyle w:val="Heading3"/>
        <w:numPr>
          <w:ilvl w:val="2"/>
          <w:numId w:val="1"/>
        </w:numPr>
        <w:rPr/>
      </w:pPr>
      <w:bookmarkStart w:id="95" w:name="__RefHeading___Toc10723851_73709187"/>
      <w:bookmarkStart w:id="96" w:name="_Toc32"/>
      <w:bookmarkEnd w:id="95"/>
      <w:r>
        <w:rPr>
          <w:rtl w:val="true"/>
        </w:rPr>
        <w:t>كراهة الحجامة</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66"/>
      </w:r>
      <w:r>
        <w:rPr>
          <w:rFonts w:ascii="Amiri" w:hAnsi="Amiri" w:eastAsia="Amiri" w:cs="Amiri"/>
          <w:color w:val="111111"/>
          <w:sz w:val="28"/>
          <w:sz w:val="28"/>
          <w:szCs w:val="28"/>
          <w:rtl w:val="true"/>
          <w:lang w:bidi="ar-SA"/>
        </w:rPr>
        <w:t>وابن حمزة</w:t>
      </w:r>
      <w:r>
        <w:rPr>
          <w:rStyle w:val="FootnoteAnchor"/>
          <w:rtl w:val="true"/>
        </w:rPr>
        <w:footnoteReference w:id="36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ومختصره</w:t>
      </w:r>
      <w:r>
        <w:rPr>
          <w:rStyle w:val="FootnoteAnchor"/>
          <w:rtl w:val="true"/>
        </w:rPr>
        <w:footnoteReference w:id="369"/>
      </w:r>
      <w:r>
        <w:rPr>
          <w:rFonts w:ascii="Amiri" w:hAnsi="Amiri" w:eastAsia="Amiri" w:cs="Amiri"/>
          <w:color w:val="111111"/>
          <w:sz w:val="28"/>
          <w:sz w:val="28"/>
          <w:szCs w:val="28"/>
          <w:rtl w:val="true"/>
          <w:lang w:bidi="ar-SA"/>
        </w:rPr>
        <w:t xml:space="preserve">، ونسبه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جمعٍ من الأصحاب، واختاره هو أيضاً</w:t>
      </w:r>
      <w:r>
        <w:rPr>
          <w:rStyle w:val="FootnoteAnchor"/>
          <w:rtl w:val="true"/>
        </w:rPr>
        <w:footnoteReference w:id="370"/>
      </w:r>
      <w:r>
        <w:rPr>
          <w:rFonts w:ascii="Amiri" w:hAnsi="Amiri" w:eastAsia="Amiri" w:cs="Amiri"/>
          <w:color w:val="111111"/>
          <w:sz w:val="28"/>
          <w:sz w:val="28"/>
          <w:szCs w:val="28"/>
          <w:rtl w:val="true"/>
          <w:lang w:bidi="ar-SA"/>
        </w:rPr>
        <w:t>وجمع من المحقّقين المتأخّرين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على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في صورة الاختيار، كصحيح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يحتجم المُحرِم ما لم يحلق أو يقطع الشعر</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في حال الضرورة يجوز وإنْ حلق أو قطع الشعر، فمن هذا القيد يُستكشف أنّ مورده صورة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هل يصلح له أن يحتجم‌؟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يحلق مكان المحاجم، ولا يجزّه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المُحرِم يحتجم‌؟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المنع إلّاعند الضرورة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يحتجم‌؟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 يجد بُدّاً فليحتجم، ولا يحلق مكان المحاجم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يحتجم المُحرِم، إلّاأن يخاف على نفسه أن لا يستطيع الصلاة</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الصيقل،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يحتجم‌؟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يخاف التلف، ولا يستطيع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آذاه الدّم فلا بأس به، ويحتجم ولا يحلق الشعر</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احتجام رسول اللّه صلى الله عليه و آله، وأبي الحسن والحسين عليهم السلام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حمل القائلون بالكراهة نصوص المنع على الكراهة، واستشهد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له بخبر يونس المتقدّم، لقوله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الجمع الموضوعي بحمل نصوص المنع على صورة الاختيار، ونصوص الجواز على صورة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في نصوص المنع، فإنّها مفصّلة بين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ومعه لا يصل الدور إلى الجمع الحُكمي،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قابلٌ للحمل على إرادة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الموضوعي لا يتمّ بالنسبة إلى صحيح حريز، فإنّه يدلّ على الجواز في خصوص حال الاختيار، وإلّا لم يكن للتقييد وجه، فإنّه مع الضرورة يجوز مع القيد أيضاً، وعليه فيتعيّن الرجوع إلى الجمع الحكمي، وهو يقتضي الكراهة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مرجوحيّة للاحتجام مع الضرورة، وأمّا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97" w:name="pg11809_94452"/>
    </w:p>
    <w:p>
      <w:pPr>
        <w:pStyle w:val="BookText"/>
        <w:rPr/>
      </w:pPr>
      <w:bookmarkEnd w:id="97"/>
      <w:r>
        <w:rPr>
          <w:rFonts w:ascii="Amiri" w:hAnsi="Amiri" w:eastAsia="Amiri" w:cs="Amiri"/>
          <w:color w:val="111111"/>
          <w:sz w:val="28"/>
          <w:sz w:val="28"/>
          <w:szCs w:val="28"/>
          <w:rtl w:val="true"/>
          <w:lang w:bidi="ar-SA"/>
        </w:rPr>
        <w:t>بدونها فهي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الرابعة المتضمّنة لاحتجام المعصومين عليهم السلام تدلّ على عدم الكراهة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متضمّنة لأفعالٍ تكون مجملة لنا، غايته أنّهم احتجموا، لكن لا نعلم في أيّ حالٍ وقعت الحجامة، ولعلّها كانت في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والمأخوذ في الأدلّة رافعاً لمرجوحيّة الاحتجام، عناوين الاحتياج إلى الحجامة، والأذيّة، وعدم الاستطاعة من الصلاة، وخوف التلف، ولا يخفى أنّ للاحتياج مراتب، وأمّا الأذيّة وخوف التلف، فالنسبة بينهما عموم من وجه، والجمع بينهما يقتضي البناء على رافعيّة كلّ منهما للمرجوحيّة، وكذا عدم الاستطاعة للصلاة، وأمّا الاحتياج فيقيّد إطلاقه بالعناوين الاُخر، أو يحمل على إرادة مراتب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حكمه في المسألة اللّاحقة</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0723853_73709187"/>
      <w:bookmarkStart w:id="99" w:name="_Toc33"/>
      <w:bookmarkEnd w:id="98"/>
      <w:r>
        <w:rPr>
          <w:rtl w:val="true"/>
        </w:rPr>
        <w:t>حَكّ الجَسد المفضيّ إلى ادمائة</w:t>
      </w:r>
      <w:bookmarkEnd w:id="99"/>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391"/>
      </w:r>
      <w:r>
        <w:rPr>
          <w:rFonts w:ascii="Amiri" w:hAnsi="Amiri" w:eastAsia="Amiri" w:cs="Amiri"/>
          <w:color w:val="111111"/>
          <w:sz w:val="28"/>
          <w:sz w:val="28"/>
          <w:szCs w:val="28"/>
          <w:rtl w:val="true"/>
          <w:lang w:bidi="ar-SA"/>
        </w:rPr>
        <w:t>أنّه يُكره حَكّ الجَسد المفضيّ إلى إدمائه، وذهب جماعة اُخرى إلى حرمته</w:t>
      </w:r>
      <w:r>
        <w:rPr>
          <w:rStyle w:val="FootnoteAnchor"/>
          <w:rtl w:val="true"/>
        </w:rPr>
        <w:footnoteReference w:id="392"/>
      </w:r>
      <w:r>
        <w:rPr>
          <w:rFonts w:ascii="Amiri" w:hAnsi="Amiri" w:eastAsia="Amiri" w:cs="Amiri"/>
          <w:color w:val="111111"/>
          <w:sz w:val="28"/>
          <w:sz w:val="28"/>
          <w:szCs w:val="28"/>
          <w:rtl w:val="true"/>
          <w:lang w:bidi="ar-SA"/>
        </w:rPr>
        <w:t>، واستدلّ للحرمة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عمر بن يزيد،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بحك الرأس واللّحية ما </w:t>
      </w:r>
    </w:p>
    <w:p>
      <w:pPr>
        <w:pStyle w:val="BookText"/>
        <w:rPr/>
      </w:pPr>
      <w:r>
        <w:rPr>
          <w:rFonts w:ascii="Amiri" w:hAnsi="Amiri" w:eastAsia="Amiri" w:cs="Amiri"/>
          <w:color w:val="111111"/>
          <w:sz w:val="28"/>
          <w:sz w:val="28"/>
          <w:szCs w:val="28"/>
          <w:rtl w:val="true"/>
          <w:lang w:bidi="ar-SA"/>
        </w:rPr>
        <w:t>لم يلق الشعر، ويَحكّ الجَسد ما لم يُدمه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كيف يَحكّ رأسه‌؟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بأظافيره ما لم يُدم أو يقطع الشعر</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لابدّ من حملها عن الكراهة، لما هو صريح في الجواز، وهو 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يكون به الجَرَب فيؤذية‌؟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يحكّه، فإن سال الدّم فلا بأس</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96"/>
      </w:r>
      <w:r>
        <w:rPr>
          <w:rFonts w:ascii="Amiri" w:hAnsi="Amiri" w:eastAsia="Amiri" w:cs="Amiri"/>
          <w:color w:val="111111"/>
          <w:sz w:val="28"/>
          <w:sz w:val="28"/>
          <w:szCs w:val="28"/>
          <w:rtl w:val="true"/>
          <w:lang w:bidi="ar-SA"/>
        </w:rPr>
        <w:t>بأنّ الموثّق ظاهرٌ في الضرورة، بناءً على انسباقها من الأذيّة فيه، فيبقى ما دلّ على حُرمة الحَكّ مع الإدماء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مساوقة الأذيّة للضرورة، أنّه لم يُفرض في الموثّق أن ترك الحكّ يؤذيه، بل المفروض مجرّد إيذاء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فالحَكّ قد رُخّص فيه مطلقاً سواءٌ أكان مضطرّاً إليه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حَكّ الجَرَب له فردان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يوجب سيلان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لا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ينبّه الإمام عليه السلام على أنّه يجب التحفّظ على عدم خروج الدّم إنْ أمكن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الموثّق مطلق، ويوجب رفع اليد عن ظهور الخبرين في الحرمة، ويُحملان على الكراهة، فتكون النتيجة أنّ الأظهر هو الكراهة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00" w:name="pg11809_94454"/>
    </w:p>
    <w:p>
      <w:pPr>
        <w:pStyle w:val="Heading3"/>
        <w:numPr>
          <w:ilvl w:val="2"/>
          <w:numId w:val="1"/>
        </w:numPr>
        <w:rPr/>
      </w:pPr>
      <w:bookmarkStart w:id="101" w:name="__RefHeading___Toc10723855_73709187"/>
      <w:bookmarkStart w:id="102" w:name="_Toc34"/>
      <w:bookmarkEnd w:id="100"/>
      <w:bookmarkEnd w:id="101"/>
      <w:r>
        <w:rPr>
          <w:rtl w:val="true"/>
        </w:rPr>
        <w:t>السّواك المُفضي إلى الإدماء</w:t>
      </w:r>
      <w:bookmarkEnd w:id="102"/>
    </w:p>
    <w:p>
      <w:pPr>
        <w:pStyle w:val="BookText"/>
        <w:rPr/>
      </w:pPr>
      <w:r>
        <w:rPr>
          <w:rFonts w:ascii="Amiri" w:hAnsi="Amiri" w:eastAsia="Amiri" w:cs="Amiri"/>
          <w:color w:val="111111"/>
          <w:sz w:val="28"/>
          <w:sz w:val="28"/>
          <w:szCs w:val="28"/>
          <w:rtl w:val="true"/>
          <w:lang w:bidi="ar-SA"/>
        </w:rPr>
        <w:t>وممّا وقع الخلاف فيه بين الأصحاب السواك المُفضي إلى الإدماء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جمعٌ من القدماء إلي حرمته</w:t>
      </w:r>
      <w:r>
        <w:rPr>
          <w:rStyle w:val="FootnoteAnchor"/>
          <w:rtl w:val="true"/>
        </w:rPr>
        <w:footnoteReference w:id="397"/>
      </w:r>
      <w:r>
        <w:rPr>
          <w:rFonts w:ascii="Amiri" w:hAnsi="Amiri" w:eastAsia="Amiri" w:cs="Amiri"/>
          <w:color w:val="111111"/>
          <w:sz w:val="28"/>
          <w:sz w:val="28"/>
          <w:szCs w:val="28"/>
          <w:rtl w:val="true"/>
          <w:lang w:bidi="ar-SA"/>
        </w:rPr>
        <w:t>، وجمعٌ منهم ومن المتأخّرين إلى كراهته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فيه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الحرمة، كصحيح ابن أبي عمير، عن حمّاد، عن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يستاك‌؟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يُدمي</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الحرمة وعدم الكراهة، كصحيح معاوية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يستاك‌؟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أدمى يستاك‌؟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السُنّة</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 كخبر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هل يصلح له أن يستاك‌؟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ينبغي أن يُدمي فمه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الأخير غير ظاهر في الكراهة، وإنْ لم يكن ظاهراً في الحرمة أيضاً، وأمّا صحيح معاوية مُتروك الظاهر، لأنّه دالٌّ على عدم الكراهة أيضاً، ولم يقل به أحد، فلا صارف عن ظهور الأوّل في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ودَلْك الجسد،</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عنه إنّما هو بعنوان الإدماء الذي عرفت أنّه مكروه، سواءٌ كان بالحجامة أو الدلك أو السواك، وعليه فنفس تلك الأدلّة تصلح قرينةً لحمل النهي في المقام علي الكراهة، مضافاً إلى أنّ إنكار 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الكراهة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حكم الفصد أيضاً وأنّه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إخراج دم الدُّمل بعصره، فالظاهر جوازه بلا كراهية، لصحيح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يعصر الدُّمل ويربط عليه الخرقة‌؟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قلع الضرس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فيه مرسلٌ‌</w:t>
      </w:r>
      <w:r>
        <w:rPr>
          <w:rStyle w:val="FootnoteAnchor"/>
          <w:rtl w:val="true"/>
        </w:rPr>
        <w:footnoteReference w:id="403"/>
      </w:r>
      <w:r>
        <w:rPr>
          <w:rFonts w:ascii="Amiri" w:hAnsi="Amiri" w:eastAsia="Amiri" w:cs="Amiri"/>
          <w:color w:val="111111"/>
          <w:sz w:val="28"/>
          <w:sz w:val="28"/>
          <w:szCs w:val="28"/>
          <w:rtl w:val="true"/>
          <w:lang w:bidi="ar-SA"/>
        </w:rPr>
        <w:t>دالٌّ على ثبوت الفدية فيه، وسيأتي الكلام فيه في محلّه، ورواية دالّة عليجوازه في حال الضرورة، وهي رواية الصيقل،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يؤذيه ضرسه، أيقلعه‌؟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غير حال الضرورة لم يرد نصٌّ بجوازه ولا بحرمته أو كراهته، ومقتضى الأصل هو الجواز، كما أنّ مقتضى القاعدة المتقدّمة كراهته، واللّه العالم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اتّفقت كلمات الأصحاب على كراهته،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دَلْك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المُفضيّ إلى الإدماء، إمّا في خصوص الحمّام أو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الأخبار 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المُحرِم يغتسل‌؟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يفيض الماء على رأسه ولا يدلكه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يدخل المُحرِم الحمّام، ولكن لا يتدلّك</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تسالم الأصحاب على عدم حرمته، ولأجله يحمل النهي على الكراهة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03" w:name="pg11809_94457"/>
    </w:p>
    <w:p>
      <w:pPr>
        <w:pStyle w:val="BookText"/>
        <w:rPr/>
      </w:pPr>
      <w:bookmarkEnd w:id="103"/>
      <w:r>
        <w:rPr>
          <w:rFonts w:ascii="Amiri" w:hAnsi="Amiri" w:eastAsia="Amiri" w:cs="Amiri"/>
          <w:color w:val="111111"/>
          <w:sz w:val="28"/>
          <w:sz w:val="28"/>
          <w:szCs w:val="28"/>
          <w:rtl w:val="true"/>
          <w:lang w:bidi="ar-SA"/>
        </w:rPr>
        <w:t>ولبس السّلاح اختياراً،</w:t>
      </w:r>
    </w:p>
    <w:p>
      <w:pPr>
        <w:pStyle w:val="Heading3"/>
        <w:numPr>
          <w:ilvl w:val="2"/>
          <w:numId w:val="1"/>
        </w:numPr>
        <w:rPr/>
      </w:pPr>
      <w:bookmarkStart w:id="104" w:name="__RefHeading___Toc10723857_73709187"/>
      <w:bookmarkStart w:id="105" w:name="_Toc35"/>
      <w:bookmarkEnd w:id="104"/>
      <w:r>
        <w:rPr>
          <w:rtl w:val="true"/>
        </w:rPr>
        <w:t>لبس السّلاح اختياراً</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وقع فيه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السّلاح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فمختار المصنّف رحمه الله في جملةٍ من كتبه</w:t>
      </w:r>
      <w:r>
        <w:rPr>
          <w:rStyle w:val="FootnoteAnchor"/>
          <w:rtl w:val="true"/>
        </w:rPr>
        <w:footnoteReference w:id="408"/>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وتبعهما غيرهما</w:t>
      </w:r>
      <w:r>
        <w:rPr>
          <w:rStyle w:val="FootnoteAnchor"/>
          <w:rtl w:val="true"/>
        </w:rPr>
        <w:footnoteReference w:id="410"/>
      </w:r>
      <w:r>
        <w:rPr>
          <w:rFonts w:ascii="Amiri" w:hAnsi="Amiri" w:eastAsia="Amiri" w:cs="Amiri"/>
          <w:color w:val="111111"/>
          <w:sz w:val="28"/>
          <w:sz w:val="28"/>
          <w:szCs w:val="28"/>
          <w:rtl w:val="true"/>
          <w:lang w:bidi="ar-SA"/>
        </w:rPr>
        <w:t>هو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w:t>
      </w:r>
      <w:r>
        <w:rPr>
          <w:rStyle w:val="FootnoteAnchor"/>
          <w:rtl w:val="true"/>
        </w:rPr>
        <w:footnoteReference w:id="411"/>
      </w:r>
      <w:r>
        <w:rPr>
          <w:rFonts w:ascii="Amiri" w:hAnsi="Amiri" w:eastAsia="Amiri" w:cs="Amiri"/>
          <w:color w:val="111111"/>
          <w:sz w:val="28"/>
          <w:sz w:val="28"/>
          <w:szCs w:val="28"/>
          <w:rtl w:val="true"/>
          <w:lang w:bidi="ar-SA"/>
        </w:rPr>
        <w:t>هو الحرمة، ويشهد لها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المُحرِم إذا خاف العدو يلبس السّلاح، فلا كفّارة عليه</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أيحمل السّلاح المُحرِم‌؟ فقال عليه 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خاف المُحرِم عدوّاً أو سرقاً فليلبس السّلاح</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يحرم الرّجل وعليه سلاحه إذا خاف العدو</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للكراهة، وعدم الحرمة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احتجاجهم مأخوذ من دليل الخطاب، وهو ضعيفٌ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مفهوم الشرط، وهو حجّة عنده وعند أكثر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أنّ الشرط وإنْ كان له المفهوم، إلّا أنّه فيما إذا لم يظهر للتعليق وجه سوى نفي الحكم عمّا عدا محلّ الشرط، وهنا ليس كذلك، إذ لا يبعد أنْ يكون التعليق باعتبار عدم الاحتياج إلى لبس السّلاح عند انتفاء الخوف</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في محلّه أنّ الشرط إنْ كان محقّقاً للموضوع الذي لا مفهوم له، أفاد المفهوم، سواءٌ أكان للتعليق فائدة أُخرى أم لم تكن، وفي المقام حيث لا تكون الشرطية مسوقة لبيان تحقّق الموضوع، كما هو واضح، فلها المفهوم، ولا يرفع اليد عن الظهور بمجرّد الاحتمال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الحلبي يدلّ بالمفهوم على ثبوت الكفّارة في لبس السّلاح مع عدم الخوف، وحيث أنّه لا كفّارة في لبس السّلاح إجماعاً، فيستكشف من ذلك أنّ الموضوع في هذه النصوص ما يغطّي الرأس كالمِغفر أو يحيط بالبدن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كالدِّرع، وحينئذٍ حرمة لبسه ليست لأجل حمل السّلاح، بل من جهة تغطية الرأس، ولبس ما لا يجوز لبسه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يلزم ممّا اُفيد إلغاء صحيح الحلبي، وأمّا الأخيران فلا يجري فيهما ما ذُكر، بل الموضوع 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سلاحه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سؤال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أيحمل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كما ترى ظاهران في العموم، ويشملان حتّى مثل حمل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صارف عن ظهور النصوص، فالأظهر 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إلى الحلبيّين</w:t>
      </w:r>
      <w:r>
        <w:rPr>
          <w:rStyle w:val="FootnoteAnchor"/>
          <w:rtl w:val="true"/>
        </w:rPr>
        <w:footnoteReference w:id="418"/>
      </w:r>
      <w:r>
        <w:rPr>
          <w:rFonts w:ascii="Amiri" w:hAnsi="Amiri" w:eastAsia="Amiri" w:cs="Amiri"/>
          <w:color w:val="111111"/>
          <w:sz w:val="28"/>
          <w:sz w:val="28"/>
          <w:szCs w:val="28"/>
          <w:rtl w:val="true"/>
          <w:lang w:bidi="ar-SA"/>
        </w:rPr>
        <w:t>تحريم اشتهار السّلاح أيضاً، وإنْ لم يكن معه لَبسٌ ولا حَمْلٌ يصدق أنّه متسلّح، بل كان معلّقاً على دابّةٍ ونحوها،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بخبر الأربعمائة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تخرجوا بالسّيوف إلى الحرم</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حريز أو 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يدخل الحرم بسلاحٍ‌، إلّاأن يدخله في جوالق أو يغيّبه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يَخرج بالسّلاح من بلده، ولكن إذا دخل مكّة لم يُظهره</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لعدم القائل بالحرمة، وللفظ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حريز، تُحمل النصوص على الكراهة،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أحد القولين في ذلك كلّه،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رحمه الله بعدما ذكر عدّة أُمور في المكروهات، وقد عرفت أنّ بعضها محرّمة وليست بمكروهة،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أحد القولين في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ونظره إلى أنّ هناك قولاً بالحرمة، لا إلى القول بعدم الكراهة، وقد عرفت تفصيل القول في كلّ واحدٍ منها</w:t>
      </w:r>
      <w:r>
        <w:rPr>
          <w:rFonts w:eastAsia="Amiri" w:cs="Amiri" w:ascii="Amiri" w:hAnsi="Amiri"/>
          <w:color w:val="111111"/>
          <w:sz w:val="28"/>
          <w:szCs w:val="28"/>
          <w:rtl w:val="true"/>
          <w:lang w:bidi="ar-SA"/>
        </w:rPr>
        <w:t>.</w:t>
      </w:r>
      <w:bookmarkStart w:id="106" w:name="pg11809_94461"/>
    </w:p>
    <w:p>
      <w:pPr>
        <w:pStyle w:val="BookText"/>
        <w:rPr/>
      </w:pPr>
      <w:bookmarkEnd w:id="106"/>
      <w:r>
        <w:rPr>
          <w:rFonts w:ascii="Amiri" w:hAnsi="Amiri" w:eastAsia="Amiri" w:cs="Amiri"/>
          <w:color w:val="111111"/>
          <w:sz w:val="28"/>
          <w:sz w:val="28"/>
          <w:szCs w:val="28"/>
          <w:rtl w:val="true"/>
          <w:lang w:bidi="ar-SA"/>
        </w:rPr>
        <w:t>والنقاب للمرأة،</w:t>
      </w:r>
    </w:p>
    <w:p>
      <w:pPr>
        <w:pStyle w:val="Heading3"/>
        <w:numPr>
          <w:ilvl w:val="2"/>
          <w:numId w:val="1"/>
        </w:numPr>
        <w:rPr/>
      </w:pPr>
      <w:bookmarkStart w:id="107" w:name="__RefHeading___Toc10723859_73709187"/>
      <w:bookmarkStart w:id="108" w:name="_Toc36"/>
      <w:bookmarkEnd w:id="107"/>
      <w:r>
        <w:rPr>
          <w:rtl w:val="true"/>
        </w:rPr>
        <w:t>النقاب للمرأة</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حكم جماعة بكراهته</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النقاب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والمنسوب إلى الأكثر</w:t>
      </w:r>
      <w:r>
        <w:rPr>
          <w:rStyle w:val="FootnoteAnchor"/>
          <w:rtl w:val="true"/>
        </w:rPr>
        <w:footnoteReference w:id="424"/>
      </w:r>
      <w:r>
        <w:rPr>
          <w:rFonts w:ascii="Amiri" w:hAnsi="Amiri" w:eastAsia="Amiri" w:cs="Amiri"/>
          <w:color w:val="111111"/>
          <w:sz w:val="28"/>
          <w:sz w:val="28"/>
          <w:szCs w:val="28"/>
          <w:rtl w:val="true"/>
          <w:lang w:bidi="ar-SA"/>
        </w:rPr>
        <w:t xml:space="preserve">حرمته،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الإجماع على 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وكلمات الفقهاءفي هذه المسألة، ومسألة تغطية المرأة وجهها في الإحرام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جعلهما واحدة، وحكم بحرمتهما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جزم بحرمة التغطية وكراهة النقاب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فقد حكم بحرمة كل منهما مستقلّاً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دعوى الإجماع في كلماتهم على حرمة التغطية</w:t>
      </w:r>
      <w:r>
        <w:rPr>
          <w:rStyle w:val="FootnoteAnchor"/>
          <w:rtl w:val="true"/>
        </w:rPr>
        <w:footnoteReference w:id="428"/>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علماء الأمصار</w:t>
      </w:r>
      <w:r>
        <w:rPr>
          <w:rStyle w:val="FootnoteAnchor"/>
          <w:rtl w:val="true"/>
        </w:rPr>
        <w:footnoteReference w:id="429"/>
      </w:r>
      <w:r>
        <w:rPr>
          <w:rFonts w:ascii="Amiri" w:hAnsi="Amiri" w:eastAsia="Amiri" w:cs="Amiri"/>
          <w:color w:val="111111"/>
          <w:sz w:val="28"/>
          <w:sz w:val="28"/>
          <w:szCs w:val="28"/>
          <w:rtl w:val="true"/>
          <w:lang w:bidi="ar-SA"/>
        </w:rPr>
        <w:t xml:space="preserve">، ومع ذلك فقد حَكموا بجواز أن تسدل قناعها </w:t>
      </w:r>
    </w:p>
    <w:p>
      <w:pPr>
        <w:pStyle w:val="BookText"/>
        <w:rPr/>
      </w:pPr>
      <w:r>
        <w:rPr>
          <w:rFonts w:ascii="Amiri" w:hAnsi="Amiri" w:eastAsia="Amiri" w:cs="Amiri"/>
          <w:color w:val="111111"/>
          <w:sz w:val="28"/>
          <w:sz w:val="28"/>
          <w:szCs w:val="28"/>
          <w:rtl w:val="true"/>
          <w:lang w:bidi="ar-SA"/>
        </w:rPr>
        <w:t xml:space="preserve">على رأسها إلى طرف أنفها، أو إلى ذقنها أو نحرها، وبرغم ذلك نجد تصريح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المسألة تعدّ من المشكلات</w:t>
      </w:r>
      <w:r>
        <w:rPr>
          <w:rStyle w:val="FootnoteAnchor"/>
          <w:rtl w:val="true"/>
        </w:rPr>
        <w:footnoteReference w:id="430"/>
      </w:r>
      <w:r>
        <w:rPr>
          <w:rFonts w:ascii="Amiri" w:hAnsi="Amiri" w:eastAsia="Amiri" w:cs="Amiri"/>
          <w:color w:val="111111"/>
          <w:sz w:val="28"/>
          <w:sz w:val="28"/>
          <w:szCs w:val="28"/>
          <w:rtl w:val="true"/>
          <w:lang w:bidi="ar-SA"/>
        </w:rPr>
        <w:t>، وعليه فالأولى صرف عنان الكلام إلى بيان ما يستفاد من النصوص، ونخبة القول في ذلك إنّ النصوص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إحرام المرأة في وجهها، وإحرام الرّجل في رأسه، كصحيح عبد اللّه بن ميمون، عن جعفر، عن أبيه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لا تتنقّب، لأنّ إحرام المرأة في وجهها، وإحرام الرّجل في رأسه</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هذا التعليل مع قطع النظر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تتنقّب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لزوم كشف وجهها، لعدم كون ذلك معنى الإحرام، بل غاية ما يدلّ عليه أنّ محلّ الإحرام هو الوجه، وأمّا كيفيّة الإحرام فلابدّ من الرجوع إلى 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النقاب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أبو جعفر عليه السلام بامرأةٍ متنقّبة وهي مُحرِمة،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أحرِمي واسفري، وأرخي ثوبك من فوق رأسك، فإنّك إنْ تنقّبت لم يتغيّر 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تُرخيه‌؟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 عينها،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فمها؟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يستفاد من هذا الخبر سوى عدم جواز النقاب، وأمّا حرمة تغطية وجهها، ووجوب الإسفار، فلا يستفادان منه، بل يدلّ على جواز تغطية معظم الوجه، وهو من أعلاه إلى الفم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البزنطي،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أبو جعفر عليه السلام بامرأةٍ مُحرِمة قد استترت بمروحة، فأماط بنفسه عن وجهها</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استدلّ بهذا الخبر على حرمة التغطية، ووجوب الإسفار، ولكنّه بيان فعل مجمل غير معلوم الوجه، ولعلّ في المروحة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والمِروحة بالكسر آلة يتروّح بها،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تروحتُ بالمروحة، كأنّه من الطيب، لأنّ الريح تلين به وتطيب بعد أن لم تكن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عيينة،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ما يحلّ للمرأة أن تلبس وهي محرمة‌؟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كلّها ما خلا القفّازين والبُرقُع والحرير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 دلالته على كراهة النقاب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النقاب، يعني للمرأة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أبي العلاء،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كره للمُحرِمة البرقع والقفّازين</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على إرادته من البرقع</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الكراهة في الأخبار أعمّ من الكراهة المصطلحة، وقابلة لإرادة الحرمة منها، فإذا انضمّت هذه النصوص إلى ما تقدّم، يكون المستفاد من المجموع حرمة النقاب للمرأة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 دلالته على حرمة التغطية،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المُحرِمة لا بأس بأن تُغطّي وجهها كلّه عند النوم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دلالته على ذلك تتوقّف على ثبوت المفهوم لغير الشرط، ولا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حرمة أن تُغطّي المُحرِمة وجهها، ولا على وجوب كشفه، وإنّما الدليل تضمّن النهي عن النقاب، كما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 عدم الخصوصيّة للنقاب، بل المراد أن لا تغطّي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الممكن أنْ يكون وجه المرأة كبدن الرّجل كلّه، فكما أنّ الشارع الأقدس نهى عن لبس ثياب مخصوصة، وأمر بلبس ثوبي الإحرام، ولا سبيل هناك إلى أنْ يقال إنّ المستفاد من ما دلّ على حرمة لبس القميص وما شاكل، لزوم كونه عرياناً، فيعارض تلك النصوص مع ما دلّ على لزوم لبس الثوبين، كذلك لا سبيل في المقام إلى دعوى أنّ المستفاد من حرمة النقاب أو المروحة، لزوم كون وجهها مكشوفاً، أو أنّه يحرم تغطية الوجه عليها، كي تعارض هذه النصوص مع ما سيجيء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هذه النصوص هو حرمة النقاب والبرقع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طوائف أُخرى من الأخبار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لزوم أن تتستّر من الأجنبي، كموثّق سماعة،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سألة عن المُحرِمة‌؟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 بها رجلٌ استترت منه بثوبها، ولا تستتر بيدها من الشمس</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ولعلّه من هذه الطائفة صحيح معاوية بن عمّار، عن الإمام الصادق عليه السلام،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تسدل المرأة الثوب على وجهها من أعلاها إلى النحر إذا كانت راكبة</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أنّها تسدل ثوبها إلى طرف الأنف الأعلى‌، أو إلى الفم أو الذقن أو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عيص،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النقاب، يعني للمرأة المُحرِمة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تسدل الثوب على وجهها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ذلك 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طرف الأنف قدر ما تُبصِر</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المتقدّم، فقد حكم فيه عليه السلام بأنّها تسدل ثوبها إلى عينها، وكأنّ الراوي فهم منه عدم جواز الأزيد، 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تبلغ فمها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قرينة على أنّ الحَدّ المذكور ليس لزوميّاً بالنسبة إلى 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 تسدل الثوب على وجهها إلى الذقن</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المُحرِمة تسدل ثوبها إلى نحرها</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النصوص قد عمل بها الأصحاب،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الإسدال جائز عند علمائنا أجمع، وهو قول عامّة أهل العلم</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أوجبه للستر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جواز الإسدال بل وجوبه فمع الإجماع، لأنّها عورة يلزمها الستر من الرجال الأجانب</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النصوص هو لزوم الإسدال، ولا ينافي ذلك ما ورد في كتاب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من وجوب أن تستر المرأة وجهها، فإنّه يمكن أنْ يكون ذلك من أحكام الإحرام، فلا وجه لرفع اليد عن ظهور الروايات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بالإسدال لوروده مورد توهم الحظر لا يستفاد منها أزيد من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جميع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رَدّ بعضها إلى بعض، أنّه يحرم على المرأة في حال الإحرام أن تضع النقاب والبرقع وما شاكل، ولكن عليها أن تسدل ثوبها الذي على رأسها إلى طرف الأنف الأعلى، ولها أن تسدله إلى الفم، وإلى الذقن، بل إلى النحر، من دون تعارض بين النصوص أصلاً، وعليه يسقط البحث المعنون في المقام، وهو</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النصوص الأُولى تدلّ على حرمة التغطية، والأخيرة على جواز الإسدال، فكيف التوفيق بين الطائفتين، فهل تُحمل الأُولى على صورة عدم وجود الناظر، والأخيرة على صورة وجوده، أم تقيّد الثانية بالاُولى‌، ويُقال إنّه يجوز الإسدال إلّا إذا استلزم التغطية، أم يقال إنّه للتغطية مراتب ويكون المُحرّم منها ما إذا كان الثوب متّصلاً بوجهها، فيكون المراد منه جواز الإسدال لها بأن تُبعد الثوب عن وجهها بيدها أو بشيء آخر بمقدار يخرج عن حَدّ التغطية، ويدخل في التظليل، أو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ذلك من وجوه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شيئاً من ذلك لا يتمّ‌، وكلّ في غير محلّه، لعدم التنافي بين النصوص أصلاً، والشاهد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عليه السلام في صحيح الحلبي بين النهي عن النقاب والأمر بالإسدال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ذكرناه أنّ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449"/>
      </w:r>
      <w:r>
        <w:rPr>
          <w:rFonts w:ascii="Amiri" w:hAnsi="Amiri" w:eastAsia="Amiri" w:cs="Amiri"/>
          <w:color w:val="111111"/>
          <w:sz w:val="28"/>
          <w:sz w:val="28"/>
          <w:szCs w:val="28"/>
          <w:rtl w:val="true"/>
          <w:lang w:bidi="ar-SA"/>
        </w:rPr>
        <w:t xml:space="preserve">من عدم جواز كون الثوب الذي يسدل مماسّاً للوجه، بل لابدّ أن تمنعه بيدها أو خشبةٍ من أن يباشر وجهها، واختاره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451"/>
      </w:r>
      <w:r>
        <w:rPr>
          <w:rFonts w:ascii="Amiri" w:hAnsi="Amiri" w:eastAsia="Amiri" w:cs="Amiri"/>
          <w:color w:val="111111"/>
          <w:sz w:val="28"/>
          <w:sz w:val="28"/>
          <w:szCs w:val="28"/>
          <w:rtl w:val="true"/>
          <w:lang w:bidi="ar-SA"/>
        </w:rPr>
        <w:t>أنّه المشهور، بل عن الشيخ</w:t>
      </w:r>
      <w:r>
        <w:rPr>
          <w:rStyle w:val="FootnoteAnchor"/>
          <w:rtl w:val="true"/>
        </w:rPr>
        <w:footnoteReference w:id="452"/>
      </w:r>
      <w:r>
        <w:rPr>
          <w:rFonts w:ascii="Amiri" w:hAnsi="Amiri" w:eastAsia="Amiri" w:cs="Amiri"/>
          <w:color w:val="111111"/>
          <w:sz w:val="28"/>
          <w:sz w:val="28"/>
          <w:szCs w:val="28"/>
          <w:rtl w:val="true"/>
          <w:lang w:bidi="ar-SA"/>
        </w:rPr>
        <w:t>وجوب إراقة الدّم مع تعمّد المباشرة، غير تامّ‌، فإنّه لا وجه له ولا دليل عليه سوى دعوى الجمع بين الصحاح الدالّة على الإسدال والنصوص المانعة عن التغطية، بحمل الأُولى على غير المصيبة للبَشَرة بخلاف الثانية، بل لعلّ المرتفعة ليس من التغطية، وقد عرفت أنّه لا دليل على حرمة التغطية، فلا موضوع لهذا الكلام أصلاً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لو كان دليلٌ على حرمتها لم يكن هذا الجمع صحيحاً، فإنّ الإسدال بمعنيّيه تغطيةٌ عرفاً، مع أنّ الجمع بإخراج الإسدال بقسميه عن ذلك أولى منه من وجوه،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وغيرهما من اختصاص الحرمة بالنقاب والبرقع، وأنّه لا يستفاد من النصوص الأُولى أزيد من ذلك، هو الصحيح، وإيراد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بتعدّد أفراد التغطية بغير السدل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كالشّد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ملاحظة اللطوخ ونحوه، لا وقع له، سيّما مع اعترافه قبل ذلك بأسطر بأنّ الدليل خالٍ عن ذكر التغطية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غرائب الكلام ما عنونوه في المقام من أنّه يجبُ على المُحرِمة أن تكشف بعض رأسها، مقدّمةً لكشف تمام الوجه، فعند الصلاة يجتمع فيها فعلان واجبان متنافيان في الحدود، وهما في الوجه، فإنّه يجبُ عليها كشفه كما يجبُ عليها ستره، فمقدّمة الواجب متعارضة فيهما، فهل يقدّم جانب الرأس، أو جانب الوجه‌؟</w:t>
      </w:r>
    </w:p>
    <w:p>
      <w:pPr>
        <w:pStyle w:val="BookText"/>
        <w:rPr/>
      </w:pPr>
      <w:r>
        <w:rPr>
          <w:rFonts w:ascii="Amiri" w:hAnsi="Amiri" w:eastAsia="Amiri" w:cs="Amiri"/>
          <w:color w:val="111111"/>
          <w:sz w:val="28"/>
          <w:sz w:val="28"/>
          <w:szCs w:val="28"/>
          <w:rtl w:val="true"/>
          <w:lang w:bidi="ar-SA"/>
        </w:rPr>
        <w:t>فجماعة قدّموا ستر الرأس</w:t>
      </w:r>
      <w:r>
        <w:rPr>
          <w:rStyle w:val="FootnoteAnchor"/>
          <w:rtl w:val="true"/>
        </w:rPr>
        <w:footnoteReference w:id="457"/>
      </w:r>
      <w:r>
        <w:rPr>
          <w:rFonts w:ascii="Amiri" w:hAnsi="Amiri" w:eastAsia="Amiri" w:cs="Amiri"/>
          <w:color w:val="111111"/>
          <w:sz w:val="28"/>
          <w:sz w:val="28"/>
          <w:szCs w:val="28"/>
          <w:rtl w:val="true"/>
          <w:lang w:bidi="ar-SA"/>
        </w:rPr>
        <w:t>، وأشكل عليهم الآخرون</w:t>
      </w:r>
      <w:r>
        <w:rPr>
          <w:rStyle w:val="FootnoteAnchor"/>
          <w:rtl w:val="true"/>
        </w:rPr>
        <w:footnoteReference w:id="458"/>
      </w:r>
      <w:r>
        <w:rPr>
          <w:rFonts w:ascii="Amiri" w:hAnsi="Amiri" w:eastAsia="Amiri" w:cs="Amiri"/>
          <w:color w:val="111111"/>
          <w:sz w:val="28"/>
          <w:sz w:val="28"/>
          <w:szCs w:val="28"/>
          <w:rtl w:val="true"/>
          <w:lang w:bidi="ar-SA"/>
        </w:rPr>
        <w:t xml:space="preserve">، بأنّه إذا جاز لها الإسدال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أفتى هؤلاء الأعاظم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اُمورٌ لا طائل تحتها وقع الأعاظم فيها، واللّه تعالى مُقيل العثرات، فالمسألة بحمد اللّه تعالى خالية عن الإشكال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09" w:name="pg11809_94469"/>
    </w:p>
    <w:p>
      <w:pPr>
        <w:pStyle w:val="BookText"/>
        <w:rPr/>
      </w:pPr>
      <w:bookmarkEnd w:id="109"/>
      <w:r>
        <w:rPr>
          <w:rFonts w:ascii="Amiri" w:hAnsi="Amiri" w:eastAsia="Amiri" w:cs="Amiri"/>
          <w:color w:val="111111"/>
          <w:sz w:val="28"/>
          <w:sz w:val="28"/>
          <w:szCs w:val="28"/>
          <w:rtl w:val="true"/>
          <w:lang w:bidi="ar-SA"/>
        </w:rPr>
        <w:t>والإحرام في الثياب الوسخة والمَعلمة، والحَناء للزِّينة،</w:t>
      </w:r>
    </w:p>
    <w:p>
      <w:pPr>
        <w:pStyle w:val="Heading3"/>
        <w:numPr>
          <w:ilvl w:val="2"/>
          <w:numId w:val="1"/>
        </w:numPr>
        <w:rPr/>
      </w:pPr>
      <w:bookmarkStart w:id="110" w:name="__RefHeading___Toc10723861_73709187"/>
      <w:bookmarkStart w:id="111" w:name="_Toc37"/>
      <w:bookmarkEnd w:id="110"/>
      <w:r>
        <w:rPr>
          <w:rtl w:val="true"/>
        </w:rPr>
        <w:t>بقيّة مكروهات الإحرام</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المكروهات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الإحرام في الثياب الوسخة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لخبر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يحرم في ثوبٍ وسخ‌؟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أقول إنّه حرام، ولكن تطهيره أحبّ إليّ‌، وطهوره غَسله، ولا يغسل الرّجل ثوبه الذي يحرم فيه حتّى يحلّ وإنْ توسّخ، إلّاأن تصيبه جنابة أو شيء فيغسله</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في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المَعلمة</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يحرم الرّجل في الثوب المعلم، وتركه أحبّ إليّ إذا قَدر على غيره</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بالنسبة إلى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المرأة فلا كراهة لإحرامها فيها، لخبر النضر بن سويد، عن أبي الحسن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بالعلم في الثوب</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0723863_73709187"/>
      <w:bookmarkStart w:id="113" w:name="_Toc38"/>
      <w:bookmarkEnd w:id="112"/>
      <w:r>
        <w:rPr>
          <w:rtl w:val="true"/>
        </w:rPr>
        <w:t>استعمال الحناء للزِّينة</w:t>
      </w:r>
      <w:bookmarkEnd w:id="11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وقع الخلاف في حرمته وكراهته،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الحناء للزِّينة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46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حرمته، وعن الأكثر أنّه مكروه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بتعليل المنع عن النظر والمرآة والإكتحال بالسّواد بأنّهما زينة، بل مقتضاه الحرمة وإنْ لم يقصد به الزينة، لعدم توقّف صدقها على القصد، ولكن 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ليمسّه ويداوي به بعيره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بطيب وما به بأس</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يدلّ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مخصوصٌ بالتداوي، فلا يعمّ ما كان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عطف الخاص على العام، والمسّ أعمّ‌،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بطيب وما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كالصريح في عدم الإختصاص بصورة التداوي، وأنّه يجوز في حال الإختيار ولغير التداوي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بينه وبين التعليل عموم من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عموم مطلق، لأنّ الحناء زينة مطلقاً، والتعليل قد عرفت عدم اختصاصه بصورة قصد الزينة، فيقيّد إطلاق العلّة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النسبة عموماً من وجه، يقدّم الصحيح للشهرة، وعليه فلا توقّف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الكلام حينئذٍ في الدليل على الكراهة، فقد استدلّ لها بخبرالكناني،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امرأةٍ خافت الشقاق، فأرادت أن تُحرِم، هل تخضب يدها بالحناء قبل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أن تفعل</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الخبر مختصٌّ بالتزيّين للزوج، ولا محذور في كراهة ذلك بالخصوص، وقد تقدّم في مسألة لَبس المرأة الحُليّ أنّ خبر نضر بن سويد يتضمّن النهي عن الحُليّ تتزيّن به المرأة لزوجها، وأنّ ذلك حرام، ومثل الحُليّ الحنّاء، والخبر يدلّ على جواز ذلك عند خوف الشقاق، وعليه فلا دليل على كراهة الحناء للزِّينة للنساء مطلقاً، فالأظهر عدم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مورد للبحث في أنّه هل يكون مكروهاً على الرجال أيضاً لقاعدة الاشتراك،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471"/>
      </w:r>
      <w:r>
        <w:rPr>
          <w:rFonts w:ascii="Amiri" w:hAnsi="Amiri" w:eastAsia="Amiri" w:cs="Amiri"/>
          <w:color w:val="111111"/>
          <w:sz w:val="28"/>
          <w:sz w:val="28"/>
          <w:szCs w:val="28"/>
          <w:rtl w:val="true"/>
          <w:lang w:bidi="ar-SA"/>
        </w:rPr>
        <w:t>، أو لإلغاء خصوصيّة المرأة وإن ذكرها من باب المثال كما عن غيره‌؟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مورد للكلام في أنّه هل يعمّ الكراهة ما لو استعملت الحناء قبل الإحرام مع بقاء أثره إلى حين الإحرام أم 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ودخول الحمّام، وتلبية المنادي،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الحمّام وتلبية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 الأوّل،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 فيه خبر عقبة بن خالد،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يدخل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لا يدخل</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المحمول على الكراهة، لصحيح معاوية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يدخل المُحرِم الحمّام ولكن لا يتدلّك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تلبية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بعض النصوص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حمّاد بن عيسى‌،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أن يُلبّي مَنْ دعاه حتّى يقضي إحرامه،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المرسل</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أبي إسحاق، عن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 الرّجل فناداه الرّجل فلا يُجيبه بالتلبية، لأنّه قد أجاب اللّه بالتلبية في الإحرام</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وأفتى بها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للرّجل أن يُجيب بالتلبية إذا نُودي وهو محرم</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واستعمال الرياحين، ويجوزُ حَكّ الجَسَد والسّواك ما لم 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يصلح لأن يكون قرينةً صارفة لظهور النهي في الحرمة، لما عرفت مراراً أنّ الكراهة في الأخبار أعمّ من الكراهة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آخر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يُلبّي المُحرِم</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المنجبر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أقف عليه في كتب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ثبوته وانجبار ضعفه كما أفاده رحمه الله، فغير ظاهر الدلالة على المقام، لأنّه غير ظاهر في التلبية إذا دعاه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التلبية إمّا تكون تلبيةً للّه تعالى المأمور بها، أو إذا دعاه داعٍ‌، والمراد من الخبر ليس هو الأولى قطعاً، فلا محالة يراد منه الثانية، ولعلّ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تسالم الأصحاب على عدم الحرمة إذا لم ينقل القول بها إلّاعن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كافياً في الحكم بالجواز والكراهة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فيه في مسألة استعمال الطيب</w:t>
      </w:r>
      <w:r>
        <w:rPr>
          <w:rStyle w:val="FootnoteAnchor"/>
          <w:rtl w:val="true"/>
        </w:rPr>
        <w:footnoteReference w:id="480"/>
      </w:r>
      <w:r>
        <w:rPr>
          <w:rFonts w:ascii="Amiri" w:hAnsi="Amiri" w:eastAsia="Amiri" w:cs="Amiri"/>
          <w:color w:val="111111"/>
          <w:sz w:val="28"/>
          <w:sz w:val="28"/>
          <w:szCs w:val="28"/>
          <w:rtl w:val="true"/>
          <w:lang w:bidi="ar-SA"/>
        </w:rPr>
        <w:t xml:space="preserve">، وعرفت أنّ الأظهر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هناك بيان الريحان موضوعاً، كما أنّه قد تقدّم في مبحث المكروهات</w:t>
      </w:r>
      <w:r>
        <w:rPr>
          <w:rStyle w:val="FootnoteAnchor"/>
          <w:rtl w:val="true"/>
        </w:rPr>
        <w:footnoteReference w:id="481"/>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حَكّ الجَسَد والسّواك ما لم 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الإدماء يكرهان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14" w:name="pg11809_94474"/>
    </w:p>
    <w:p>
      <w:pPr>
        <w:pStyle w:val="BookText"/>
        <w:rPr/>
      </w:pPr>
      <w:bookmarkEnd w:id="114"/>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كفّارات الصيد، وهو الحيوان المحلّل الممتنع في البرّ، ويجوز صيد البحر، وهو ما يبيض ويفرخ فيه، والدجاج الحبشي</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10723865_73709187"/>
      <w:bookmarkStart w:id="116" w:name="_Toc39"/>
      <w:bookmarkEnd w:id="115"/>
      <w:r>
        <w:rPr>
          <w:rtl w:val="true"/>
        </w:rPr>
        <w:t>الباب الخامس في كفّارات الإحرام</w:t>
      </w:r>
      <w:bookmarkEnd w:id="116"/>
    </w:p>
    <w:p>
      <w:pPr>
        <w:pStyle w:val="Heading3"/>
        <w:numPr>
          <w:ilvl w:val="2"/>
          <w:numId w:val="1"/>
        </w:numPr>
        <w:rPr/>
      </w:pPr>
      <w:bookmarkStart w:id="117" w:name="__RefHeading___Toc10723867_73709187"/>
      <w:bookmarkStart w:id="118" w:name="_Toc40"/>
      <w:bookmarkEnd w:id="117"/>
      <w:r>
        <w:rPr>
          <w:rtl w:val="true"/>
        </w:rPr>
        <w:t>اشارة</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فصلان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كفّارات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الباب الرابع في مبحث لزوم ترك الصيد أنّه الحيوان الممتنع في البرّ، أعمّ من مأكول اللّحم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قاله المصنّف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الحيوان المحلّل الممتنع 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هناك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صيد البحر، وهو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في البحر،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يبيض ويفرخ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ممّا يعيش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بالسِّندي والغرغر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طائر أغبر اللّون في قدر الدجاج، أصله من البحر</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إشكال في جوازه،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بل المحكيّ منه مستفيض</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119" w:name="pg11809_94475"/>
    </w:p>
    <w:p>
      <w:pPr>
        <w:pStyle w:val="BookText"/>
        <w:rPr/>
      </w:pPr>
      <w:bookmarkEnd w:id="119"/>
      <w:r>
        <w:rPr>
          <w:rFonts w:ascii="Amiri" w:hAnsi="Amiri" w:eastAsia="Amiri" w:cs="Amiri"/>
          <w:color w:val="111111"/>
          <w:sz w:val="28"/>
          <w:sz w:val="28"/>
          <w:szCs w:val="28"/>
          <w:rtl w:val="true"/>
          <w:lang w:bidi="ar-SA"/>
        </w:rPr>
        <w:t>ففي النعامة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الدجاج الحبشي‌؟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الصيد، إنّما الصيد ما طار بين السماء والأرض وصَفّ‌</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من الأخبار، وقد مرّ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المقام في خصوص مايترتّب على الصيد من الكفّارة، وفيه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لكفّارته بدلٌ بالخصوص، وفيه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0723869_73709187"/>
      <w:bookmarkStart w:id="121" w:name="_Toc41"/>
      <w:bookmarkEnd w:id="120"/>
      <w:r>
        <w:rPr>
          <w:rtl w:val="true"/>
        </w:rPr>
        <w:t>كفّارة قتل النعامة</w:t>
      </w:r>
      <w:bookmarkEnd w:id="121"/>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الحيوان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على فرض شمول البدنة للجزور،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علمائنا أجمع</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 طائفة من الأخبار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فَجَزاءٌ مِثْلُ ما قَتَلَ مِنَ اَلنَّعَمِ‌</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النعامة بدنة، وفي حمار وحش بقرة، وفي الظبي شاة، وفي البقرة بقرة</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الظبي شاة، وفي البقرة بقرة، وفي الحمار بدنة، وفي النعامة بدنة، وفيما سوى ذلك قيمته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يقتل نعامة‌؟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حمار وحش‌؟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قتل نعامة‌؟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بدنة، فإنْ لم يجد فإطعام ستّين مسكيناً، فإنْ كانت قيمة البدنة أكثر من إطعام ستّين مسكيناً، لم يزد على إطعام ستّين مسكيناً، وإنْ كانت قيمة البدنة أقلّ من إطعام ستّين مسكيناً، لم يكن عليه إلّاقيمة البدنة</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الخلاف في البدنة،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مختصّة بالاُنثى أم تعمّ الذّكر؟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الأثيريّة</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Style w:val="FootnoteAnchor"/>
          <w:rtl w:val="true"/>
        </w:rPr>
        <w:footnoteReference w:id="4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هل تشمل البقرة أم تختصّ بالإبل‌؟</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العلوم</w:t>
      </w:r>
      <w:r>
        <w:rPr>
          <w:rFonts w:eastAsia="IRNazanin" w:cs="IRNazanin"/>
          <w:color w:val="111111"/>
          <w:sz w:val="28"/>
          <w:szCs w:val="28"/>
          <w:rtl w:val="true"/>
          <w:lang w:bidi="fa-IR"/>
        </w:rPr>
        <w:t>»</w:t>
      </w:r>
      <w:r>
        <w:rPr>
          <w:rStyle w:val="FootnoteAnchor"/>
          <w:rtl w:val="true"/>
        </w:rPr>
        <w:footnoteReference w:id="500"/>
      </w:r>
      <w:r>
        <w:rPr>
          <w:rFonts w:ascii="Amiri" w:hAnsi="Amiri" w:eastAsia="Amiri" w:cs="Amiri"/>
          <w:color w:val="111111"/>
          <w:sz w:val="28"/>
          <w:sz w:val="28"/>
          <w:szCs w:val="28"/>
          <w:rtl w:val="true"/>
          <w:lang w:bidi="ar-SA"/>
        </w:rPr>
        <w:t>و عن غيرهما الأوّل</w:t>
      </w:r>
      <w:r>
        <w:rPr>
          <w:rStyle w:val="FootnoteAnchor"/>
          <w:rtl w:val="true"/>
        </w:rPr>
        <w:footnoteReference w:id="501"/>
      </w:r>
      <w:r>
        <w:rPr>
          <w:rFonts w:ascii="Amiri" w:hAnsi="Amiri" w:eastAsia="Amiri" w:cs="Amiri"/>
          <w:color w:val="111111"/>
          <w:sz w:val="28"/>
          <w:sz w:val="28"/>
          <w:szCs w:val="28"/>
          <w:rtl w:val="true"/>
          <w:lang w:bidi="ar-SA"/>
        </w:rPr>
        <w:t>، و عن بعضٍ الثاني</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النزاع في الثاني لا يترتّب عليه أثر، للتصريح في صحيح يعقوب بن شعيب بالبدنة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للإختصاص بالمقابلة بين البدنة والبقرة في النصوص فعجيبٌ‌، فإنّ النصوص في مقام بيان جنس الكفّارة، وتدلّ على أنّ كفّارة النعامة بدنة وكفّارة البقرة بقرة، وهذا لا ينافي كون البدنة أعمّ من الإبل والبقر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بالاستدلال بالمقابلة بينهما في نصوص الهَدْي، لاحظ خبر معاوية، عن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هَدْيك إنْ كان من البدن أو من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الأُولى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مقتضي الاحتياط، هو الاقتصار على الاُنثى‌، لأنّ الاُنثى مُجزية قطعاً، وغيرها يشكّ في إجزائة، والإشتغال اليقيني يستدعي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قبيل دوران الأمر بين التعيّين والتخيّير، ومقتضى أصالة البراءة عن تعيّن الخصوصيّة الزائدة 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الإبل الجامع بين الجنسين واجب قطعاً، ويشكّ في اعتبار الاُنوثيّة، والأصل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يُستدلّ لإجزاء الذكورة بالنصوص الواردة في الهَدْي، كصحيح معاوية بن عمّار، 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البدن ذوات الأرحام من الإبل والبقر، وقد تجزى الذكورة من البدن</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أنّ البدن أعمّ من ذوات الأرحام وغيرها، وعليه فمقتضى إطلاق نصوص الباب، الاكتفاء بغير ذوات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يمكن أن يستدلّ بها بإطلاقها الشامل للمقام، إذ لا اختصاص للنص بالبدن الّتي يُضحّى بها، فمقتضى إطلاقها إجزاء الذكورة أيضاً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ما تقدّم من نصوص البدنة، خبر أبي الصباح، عن الإمامح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قَتَلَهُ مِنْكُمْ مُتَعَمِّداً فَجَزاءٌ مِثْلُ ما قَتَلَ مِنَ اَلنَّعَمِ‌</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الظبي شاة، وفي حمار وحش بقرة، وفي النعامة جزور</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وأفتى بما تضمّنه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ووجود محمّد بن أبي الفضيل في السند لا يضرّ، لأنّه حسن على أقلّ التقادير، ولكن لم يثبت مخالفته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ثبت أنّ جماعة من الصحابة حكموا في النعامة ببدنة، وهو قول علمائنا أجمع، فمن قتل نعامةً وهو مُحرِم، وجبَ عليه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11"/>
      </w:r>
      <w:r>
        <w:rPr>
          <w:rFonts w:ascii="Amiri" w:hAnsi="Amiri" w:eastAsia="Amiri" w:cs="Amiri"/>
          <w:color w:val="111111"/>
          <w:sz w:val="28"/>
          <w:sz w:val="28"/>
          <w:szCs w:val="28"/>
          <w:rtl w:val="true"/>
          <w:lang w:bidi="ar-SA"/>
        </w:rPr>
        <w:t>، وظاهر ذلك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مخالفة بينه وبين النصوص السابقة، ولا بين القولين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فرق بين الجزور والبدنة، إلّا أنّ البدنة ما يُحرز للهدي، والجزور أعمّ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ثبت ذلك فلا كلام، وإنْ كان مجملاً يحمل على المبيّن، وهو ما في النصوص السابقة، وإنْ ثبت أنّه أعمّ من البدنة، يقيّد إطلاقه بما تقدّم، وإنْ كان مغايراً معها وقع التعارض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الجمع بينها بالتخيّير، لأنّ كلّاً من الطائفتين تدلّ على تعيّن ما تضمنته، فالجمع بالتخيّير ليس عرفيّاً، فلابدّ من الرجوع إلى</w:t>
      </w:r>
      <w:r>
        <w:rPr>
          <w:rFonts w:eastAsia="Amiri" w:cs="Amiri" w:ascii="Amiri" w:hAnsi="Amiri"/>
          <w:color w:val="111111"/>
          <w:sz w:val="28"/>
          <w:szCs w:val="28"/>
          <w:rtl w:val="true"/>
          <w:lang w:bidi="ar-SA"/>
        </w:rPr>
        <w:t xml:space="preserve">). </w:t>
      </w:r>
      <w:bookmarkStart w:id="122" w:name="pg11809_94480"/>
    </w:p>
    <w:p>
      <w:pPr>
        <w:pStyle w:val="BookText"/>
        <w:rPr/>
      </w:pPr>
      <w:bookmarkEnd w:id="122"/>
      <w:r>
        <w:rPr>
          <w:rFonts w:ascii="Amiri" w:hAnsi="Amiri" w:eastAsia="Amiri" w:cs="Amiri"/>
          <w:color w:val="111111"/>
          <w:sz w:val="28"/>
          <w:sz w:val="28"/>
          <w:szCs w:val="28"/>
          <w:rtl w:val="true"/>
          <w:lang w:bidi="ar-SA"/>
        </w:rPr>
        <w:t>المرجّحات، وهي تقتضي تقديم نصوص البدنة للشهرة، وأصحيّة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البدنة، والمراد بها الإبل، والأظهر كفاية غير ذوات الأرحام، وإنْ كانت هي أفضل وأحوط</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0723871_73709187"/>
      <w:bookmarkStart w:id="124" w:name="_Toc42"/>
      <w:bookmarkEnd w:id="123"/>
      <w:r>
        <w:rPr>
          <w:rtl w:val="true"/>
        </w:rPr>
        <w:t>تنبيهان</w:t>
      </w:r>
      <w:r>
        <w:rPr>
          <w:rtl w:val="true"/>
        </w:rPr>
        <w:t>:</w:t>
      </w:r>
      <w:bookmarkEnd w:id="12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التنبيه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وفاقاً للرياض</w:t>
      </w:r>
      <w:r>
        <w:rPr>
          <w:rStyle w:val="FootnoteAnchor"/>
          <w:rtl w:val="true"/>
        </w:rPr>
        <w:footnoteReference w:id="5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كانت البدنة إسماً لما يُهدى، اعتبر فيها السّن المعتبر في الهَدي</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أنّه يمكن أن يستدلّ لاعتبار ذلك السّن بالنصوص الصحيحة، منها المرتضوي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البدن الثني، ومن المَعْز الثني، من الضأن الجذع</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 فإنّ إطلاقها شاملٌ للمقام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خلافاً للمحكي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فاعتبر المماثلة بين الصيد وفدائه، ففي الصغير من الإبل ما في سنّه، وفي الكبير كذلك، وفي الذَّكر ذكر، وفي الاُنثى اُنثى، ولم نقف له على دليل</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نعم هو 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 xml:space="preserve">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وقبله ذكره ابن الجُنيد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الاحتياط أنْ يكون جزاء الذَّكر من الصيد ذكراً من النعم، وجزاء الاُنثى اُنثى‌، والمسنّ مسناً، والصغير صغيراً من الجنس الذي هو مثله في الجزاء، فإنْ تطوّع بالأعلى منه سنّاً كان تعظيماً لشعائر اللّه</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واختاره ابن إدريس</w:t>
      </w:r>
      <w:r>
        <w:rPr>
          <w:rStyle w:val="FootnoteAnchor"/>
          <w:rtl w:val="true"/>
        </w:rPr>
        <w:footnoteReference w:id="520"/>
      </w:r>
      <w:r>
        <w:rPr>
          <w:rFonts w:ascii="Amiri" w:hAnsi="Amiri" w:eastAsia="Amiri" w:cs="Amiri"/>
          <w:color w:val="111111"/>
          <w:sz w:val="28"/>
          <w:sz w:val="28"/>
          <w:szCs w:val="28"/>
          <w:rtl w:val="true"/>
          <w:lang w:bidi="ar-SA"/>
        </w:rPr>
        <w:t xml:space="preserve">أيضاً، وقوّاه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المماثلة شخصيّة، فيفدي الصغير بالصغير، والكبير بالكبير، والذّكر بالذَّكر، والاُنثى بالاُنثى؟ أو نوعيّة فيجزي الصغير عن الكبير، والذَّكر عن الاُنثى؟ احتمالان، والثاني أظهر في الفتوى، لكن الأفضل الأوّل لتيقّن حصول البراءة</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فقد استدلّ للأوّل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فَجَزاءٌ مِثْلُ ما قَتَلَ مِنَ اَلنَّعَمِ‌</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بتقريب أنّ مقتضى إطلاق المماثلة هي المماثلة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تكن الآية الشريفة مفسّرة، كان ما اُفيد تامّاً من هذه الجهة، ولكن قد فُسّرت في النصوص بأنّ المراد بالمماثلة هي النوعيّة منها، ومعه لا وجه لذلك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25" w:name="pg11809_94482"/>
    </w:p>
    <w:p>
      <w:pPr>
        <w:pStyle w:val="BookText"/>
        <w:rPr/>
      </w:pPr>
      <w:bookmarkEnd w:id="125"/>
      <w:r>
        <w:rPr>
          <w:rFonts w:ascii="Amiri" w:hAnsi="Amiri" w:eastAsia="Amiri" w:cs="Amiri"/>
          <w:color w:val="111111"/>
          <w:sz w:val="28"/>
          <w:sz w:val="28"/>
          <w:szCs w:val="28"/>
          <w:rtl w:val="true"/>
          <w:lang w:bidi="ar-SA"/>
        </w:rPr>
        <w:t>ومع العجز يفض ثمن البدنة على البِرّ، ويُطعم ستّين مسكيناً، لكلّ مسكينٍ مُدّان، وما زاد عن ستّين له، ولا يجب عليه ما نقص عنه،</w:t>
      </w:r>
    </w:p>
    <w:p>
      <w:pPr>
        <w:pStyle w:val="Heading3"/>
        <w:numPr>
          <w:ilvl w:val="2"/>
          <w:numId w:val="1"/>
        </w:numPr>
        <w:rPr/>
      </w:pPr>
      <w:bookmarkStart w:id="126" w:name="__RefHeading___Toc10723873_73709187"/>
      <w:bookmarkStart w:id="127" w:name="_Toc43"/>
      <w:bookmarkEnd w:id="126"/>
      <w:r>
        <w:rPr>
          <w:rtl w:val="true"/>
        </w:rPr>
        <w:t>حكم العاجز عن دفع البدنة</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دفع البدنة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 ثمن البدنة على البرّ ويُطعم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ستّين مسكيناً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مسكينٍ مُدّان، وما زاد عن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ولا يجبُ عليه ما نقص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كلّه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الشيخ</w:t>
      </w:r>
      <w:r>
        <w:rPr>
          <w:rStyle w:val="FootnoteAnchor"/>
          <w:rtl w:val="true"/>
        </w:rPr>
        <w:footnoteReference w:id="525"/>
      </w:r>
      <w:r>
        <w:rPr>
          <w:rFonts w:ascii="Amiri" w:hAnsi="Amiri" w:eastAsia="Amiri" w:cs="Amiri"/>
          <w:color w:val="111111"/>
          <w:sz w:val="28"/>
          <w:sz w:val="28"/>
          <w:szCs w:val="28"/>
          <w:rtl w:val="true"/>
          <w:lang w:bidi="ar-SA"/>
        </w:rPr>
        <w:t>، وبه قال ابن إدريس</w:t>
      </w:r>
      <w:r>
        <w:rPr>
          <w:rStyle w:val="FootnoteAnchor"/>
          <w:rtl w:val="true"/>
        </w:rPr>
        <w:footnoteReference w:id="526"/>
      </w:r>
      <w:r>
        <w:rPr>
          <w:rFonts w:ascii="IRNazanin" w:hAnsi="IRNazanin" w:eastAsia="IRNazanin"/>
          <w:color w:val="111111"/>
          <w:sz w:val="28"/>
          <w:sz w:val="28"/>
          <w:szCs w:val="28"/>
          <w:rtl w:val="true"/>
          <w:lang w:bidi="fa-IR"/>
        </w:rPr>
        <w:t>وابن البرّاج</w:t>
      </w:r>
      <w:r>
        <w:rPr>
          <w:rStyle w:val="FootnoteAnchor"/>
          <w:rtl w:val="true"/>
        </w:rPr>
        <w:footnoteReference w:id="527"/>
      </w:r>
      <w:r>
        <w:rPr>
          <w:rFonts w:ascii="Amiri" w:hAnsi="Amiri" w:eastAsia="Amiri" w:cs="Amiri"/>
          <w:color w:val="111111"/>
          <w:sz w:val="28"/>
          <w:sz w:val="28"/>
          <w:szCs w:val="28"/>
          <w:rtl w:val="true"/>
          <w:lang w:bidi="ar-SA"/>
        </w:rPr>
        <w:t>، وهو المشهور بين المتأخّرين</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متضمّنٌ لأحكامٍ بعضها متّفقٌ عليه، وبعضها 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تقويم البدنة وفضّ ثمنها، وإطعام ستّين مسكيناً، وأنّه لا يجب إتمام ما زاد له أو ما نقص عنه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الثمن على البرّ، فإنّه وإنْ ذكره جماعة، إلّاأنّ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532"/>
      </w:r>
      <w:r>
        <w:rPr>
          <w:rFonts w:ascii="Amiri" w:hAnsi="Amiri" w:eastAsia="Amiri" w:cs="Amiri"/>
          <w:color w:val="111111"/>
          <w:sz w:val="28"/>
          <w:sz w:val="28"/>
          <w:szCs w:val="28"/>
          <w:rtl w:val="true"/>
          <w:lang w:bidi="ar-SA"/>
        </w:rPr>
        <w:t xml:space="preserve">مكان البرّ الطعام، </w:t>
      </w:r>
    </w:p>
    <w:p>
      <w:pPr>
        <w:pStyle w:val="BookText"/>
        <w:rPr/>
      </w:pPr>
      <w:r>
        <w:rPr>
          <w:rFonts w:ascii="Amiri" w:hAnsi="Amiri" w:eastAsia="Amiri" w:cs="Amiri"/>
          <w:color w:val="111111"/>
          <w:sz w:val="28"/>
          <w:sz w:val="28"/>
          <w:szCs w:val="28"/>
          <w:rtl w:val="true"/>
          <w:lang w:bidi="ar-SA"/>
        </w:rPr>
        <w:t xml:space="preserve">واختاره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35"/>
      </w:r>
      <w:r>
        <w:rPr>
          <w:rFonts w:ascii="Amiri" w:hAnsi="Amiri" w:eastAsia="Amiri" w:cs="Amiri"/>
          <w:color w:val="111111"/>
          <w:sz w:val="28"/>
          <w:sz w:val="28"/>
          <w:szCs w:val="28"/>
          <w:rtl w:val="true"/>
          <w:lang w:bidi="ar-SA"/>
        </w:rPr>
        <w:t>الطعام المخرج الحنطة والشعير والتمر والزبيب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مسكين مُدّان، فإنّه وإنْ كان أشهر</w:t>
      </w:r>
      <w:r>
        <w:rPr>
          <w:rStyle w:val="FootnoteAnchor"/>
          <w:rtl w:val="true"/>
        </w:rPr>
        <w:footnoteReference w:id="536"/>
      </w:r>
      <w:r>
        <w:rPr>
          <w:rFonts w:ascii="Amiri" w:hAnsi="Amiri" w:eastAsia="Amiri" w:cs="Amiri"/>
          <w:color w:val="111111"/>
          <w:sz w:val="28"/>
          <w:sz w:val="28"/>
          <w:szCs w:val="28"/>
          <w:rtl w:val="true"/>
          <w:lang w:bidi="ar-SA"/>
        </w:rPr>
        <w:t>، إلّاأنّ الصدوق والعُمّاني</w:t>
      </w:r>
      <w:r>
        <w:rPr>
          <w:rStyle w:val="FootnoteAnchor"/>
          <w:rtl w:val="true"/>
        </w:rPr>
        <w:footnoteReference w:id="537"/>
      </w:r>
      <w:r>
        <w:rPr>
          <w:rFonts w:ascii="Amiri" w:hAnsi="Amiri" w:eastAsia="Amiri" w:cs="Amiri"/>
          <w:color w:val="111111"/>
          <w:sz w:val="28"/>
          <w:sz w:val="28"/>
          <w:szCs w:val="28"/>
          <w:rtl w:val="true"/>
          <w:lang w:bidi="ar-SA"/>
        </w:rPr>
        <w:t>وغيرهما</w:t>
      </w:r>
      <w:r>
        <w:rPr>
          <w:rStyle w:val="FootnoteAnchor"/>
          <w:rtl w:val="true"/>
        </w:rPr>
        <w:footnoteReference w:id="538"/>
      </w:r>
      <w:r>
        <w:rPr>
          <w:rFonts w:ascii="Amiri" w:hAnsi="Amiri" w:eastAsia="Amiri" w:cs="Amiri"/>
          <w:color w:val="111111"/>
          <w:sz w:val="28"/>
          <w:sz w:val="28"/>
          <w:szCs w:val="28"/>
          <w:rtl w:val="true"/>
          <w:lang w:bidi="ar-SA"/>
        </w:rPr>
        <w:t>اختاروا أنّ لكلّ مسكين مُدّاً، وقوّاه الفاضل النراقي</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الأحكام المتّفق عليها، فالنصوص أيضاً متّفقة عليها، كما ستمرّ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فضّ الثمن على البرّ، فأكثر النصوص خالية عن البرّ، بل متضمّنة لفضّ الثمن على الطعام،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عبيدة،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ولم يجد ما يكفّر من موضعه الذي أصاب فيه الصيد، قوّم جزاؤه من النعم دراهم، ثمّ قوّمت الدراهم طعاماً، ثمّ جُعل لكلّ مسكينٍ نصف صاع، فإنْ لم يقدر على الطعام صام لكلّ نصفٍ صاع يوماً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ومحمّد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قتل نعامة‌؟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بدنه، فإنْ لم يجد فإطعام ستّين مسكيناً، فإنْ كانت قيمة البدنة أكثر من إطعام ستّين مسكيناً، لم يزد على طعام ستّين مسكيناً، وإنْ كانت قيمة البدنة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أقلّ من إطعام ستّين مسكيناً، لم يكن عليه إلّاقيمة البدنة</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ومثله مرسل جميل عنه عليه السلام بلا تفاوتٍ‌</w:t>
      </w:r>
      <w:r>
        <w:rPr>
          <w:rStyle w:val="FootnoteAnchor"/>
          <w:rtl w:val="true"/>
        </w:rPr>
        <w:footnoteReference w:id="542"/>
      </w:r>
      <w:r>
        <w:rPr>
          <w:rFonts w:ascii="Amiri" w:hAnsi="Amiri" w:eastAsia="Amiri" w:cs="Amiri"/>
          <w:color w:val="111111"/>
          <w:sz w:val="28"/>
          <w:sz w:val="28"/>
          <w:szCs w:val="28"/>
          <w:rtl w:val="true"/>
          <w:lang w:bidi="ar-SA"/>
        </w:rPr>
        <w:t>، ونحوها غيرها</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رواية واحدة متضمّنة لفضّه على البرّ، وهي رواية الزُّهري، عن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أوَتدري كيف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ذلِكَ صِياماً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الصيد قيمة، ثمّ يفضّ تلك القيمة على البرّ، ثمّ يُكال ذلك البرّ أصواعاً، فيصوم لكلّ نصف صاعٍ يوماً</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الرواية معتبرة لزم تقيّيد الآية الكريمة، والنصوص المطلقة بها، إلّا أنّها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مراراً من أنّه لم يثبت كونه كتاب رواية، فضلاً عن اعتباره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الزُهري فقد رواه الصدوق بإسناده عن الزُهري وفيه غمزٌ، ورواه الكليني بسندٍ فيه ضعفاء كسفيان بن عُييّنة وغيره، ورواه الشيخ بإسناده عن الكليني، فالخبر ضعيفُ السند لا يُعتمد عليه، وعليه فالأظهر أنّه يفض على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إلى البُرّ كما ترى‌، وعليه فالحقّ إجزاء كلّ طعام عن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الاجتزاء بالمُدّ، أو لزوم مُدّين، فالنصوص الواردة مختلفة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بمُدّين كصحيح أبي عُبيدة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بكفاية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محرمٍ أصاب نعامة وحمار وحش‌؟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أن يتصدّق‌؟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 والصّدقة مُدٌّ على كلّ مسكين، الحديث</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شيئاً فدائه بدنة من الإبل، فإنْ لم يجد ما يشتري بدنة، فأراد أن يتصدّق، فعليه أن يُطعم ستّين مسكيناً، كلّ مسكينٍ مُدّاً، الحديث</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كصحيح زرارة ومحمّد بن مسلم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الجمع بين النصوص باختلاف القيمة، فإنْ وفت بمُدّين تصدّق بهما، وإلّا فمُدّ على الكلّ أو على البعض</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واعترف هو بعدم القائل به، ولكنّه جمعٌ تبرّعي لا شاهد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ترجيح نصوص المُدّين، من جهة تعارض حقّ الفقراء هنا، إذ هو تفريق للموجود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الواجب صرف جميع القيمة على كلّ تقدير تمّ ما اُفيد، وحيثُ إنّه لا يجبُ ذلك، بل الواجب هو إطعام ستّين مسكيناً من قيمة الفداء والزائد له، فلا يتمّ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بحمل الظاهر على النص فيكتفى بالمُدّ، والمُدّان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المطلقة تُحمل على المقيّدة، وهو واضح، وأمّا صحيح المُدّين فهو مطلق بالنسبة إلى النعامة، فيقيّد إطلاقه بنصوص المُدّ، وعليه فالأظهر هو الاجتزاء بالمُدّ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قدّمناه أنّه لو زاد قيمتها عن ستّين مُدّاً يكون الزائد له، وأمّا لو نقصت، فالظاهر كما مرّ عدم الخلاف في أنّه لا يلزمه أيضاً الإتمام من غير من أطلق الإطعام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51"/>
      </w:r>
      <w:r>
        <w:rPr>
          <w:rFonts w:ascii="Amiri" w:hAnsi="Amiri" w:eastAsia="Amiri" w:cs="Amiri"/>
          <w:color w:val="111111"/>
          <w:sz w:val="28"/>
          <w:sz w:val="28"/>
          <w:szCs w:val="28"/>
          <w:rtl w:val="true"/>
          <w:lang w:bidi="ar-SA"/>
        </w:rPr>
        <w:t>الإجماع على عدم وجوب الزائد، ويشهد به صحيح زرارة ومحمّد ومرسل جميل</w:t>
      </w:r>
      <w:r>
        <w:rPr>
          <w:rStyle w:val="FootnoteAnchor"/>
          <w:rtl w:val="true"/>
        </w:rPr>
        <w:footnoteReference w:id="552"/>
      </w:r>
      <w:r>
        <w:rPr>
          <w:rFonts w:ascii="Amiri" w:hAnsi="Amiri" w:eastAsia="Amiri" w:cs="Amiri"/>
          <w:color w:val="111111"/>
          <w:sz w:val="28"/>
          <w:sz w:val="28"/>
          <w:szCs w:val="28"/>
          <w:rtl w:val="true"/>
          <w:lang w:bidi="ar-SA"/>
        </w:rPr>
        <w:t>، وبهما يقيّد إطلاق ما دلّ على إطعام ستّين مسكيناً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عَدْلُ ذلِكَ صِياماً</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الهدي ما بلغ يتصدّق به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28" w:name="pg11809_94487"/>
    </w:p>
    <w:p>
      <w:pPr>
        <w:pStyle w:val="BookText"/>
        <w:rPr/>
      </w:pPr>
      <w:bookmarkEnd w:id="128"/>
      <w:r>
        <w:rPr>
          <w:rFonts w:ascii="Amiri" w:hAnsi="Amiri" w:eastAsia="Amiri" w:cs="Amiri"/>
          <w:color w:val="111111"/>
          <w:sz w:val="28"/>
          <w:sz w:val="28"/>
          <w:szCs w:val="28"/>
          <w:rtl w:val="true"/>
          <w:lang w:bidi="ar-SA"/>
        </w:rPr>
        <w:t>الظاهر في عدم كون الزائد له، فيحمل على إرادة الصدقة على الوجه المذكور في الصحاح الاُخر</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0723875_73709187"/>
      <w:bookmarkStart w:id="130" w:name="_Toc44"/>
      <w:bookmarkEnd w:id="129"/>
      <w:r>
        <w:rPr>
          <w:rtl w:val="true"/>
        </w:rPr>
        <w:t>تذييل</w:t>
      </w:r>
      <w:bookmarkEnd w:id="130"/>
    </w:p>
    <w:p>
      <w:pPr>
        <w:pStyle w:val="BookText"/>
        <w:rPr/>
      </w:pPr>
      <w:r>
        <w:rPr>
          <w:rFonts w:ascii="Amiri" w:hAnsi="Amiri" w:eastAsia="Amiri" w:cs="Amiri"/>
          <w:color w:val="111111"/>
          <w:sz w:val="28"/>
          <w:sz w:val="28"/>
          <w:szCs w:val="28"/>
          <w:rtl w:val="true"/>
          <w:lang w:bidi="ar-SA"/>
        </w:rPr>
        <w:t>في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الحلبيّين أنّه مع العجز عن البدنة، ينتقل الفرض إلى الصوم</w:t>
      </w:r>
      <w:r>
        <w:rPr>
          <w:rStyle w:val="FootnoteAnchor"/>
          <w:rtl w:val="true"/>
        </w:rPr>
        <w:footnoteReference w:id="555"/>
      </w:r>
      <w:r>
        <w:rPr>
          <w:rFonts w:ascii="Amiri" w:hAnsi="Amiri" w:eastAsia="Amiri" w:cs="Amiri"/>
          <w:color w:val="111111"/>
          <w:sz w:val="28"/>
          <w:sz w:val="28"/>
          <w:szCs w:val="28"/>
          <w:rtl w:val="true"/>
          <w:lang w:bidi="ar-SA"/>
        </w:rPr>
        <w:t>، وحيثُ إنّه لا دليل عليه، ومخالفٌ للكتاب والسُنّة، فيتعيّن حمل كلامهما على صورة العجز عن البدنة عيناً وقيمة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داود الرقي،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عليه بدنة واجبة في فداء؟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بدنة فسبع شياة، فإنْ لم يقدر صام ثمانية عشر يوماً</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وإنْ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 xml:space="preserve">أفتى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558"/>
      </w:r>
      <w:r>
        <w:rPr>
          <w:rFonts w:ascii="Amiri" w:hAnsi="Amiri" w:eastAsia="Amiri" w:cs="Amiri"/>
          <w:color w:val="111111"/>
          <w:sz w:val="28"/>
          <w:sz w:val="28"/>
          <w:szCs w:val="28"/>
          <w:rtl w:val="true"/>
          <w:lang w:bidi="ar-SA"/>
        </w:rPr>
        <w:t>بمضمونه، لكنّهما وافقا المشهور في المقام، فلابدّ من تقيّيد إطلاقه بنصوص الباب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60"/>
      </w:r>
      <w:r>
        <w:rPr>
          <w:rFonts w:ascii="Amiri" w:hAnsi="Amiri" w:eastAsia="Amiri" w:cs="Amiri"/>
          <w:color w:val="111111"/>
          <w:sz w:val="28"/>
          <w:sz w:val="28"/>
          <w:szCs w:val="28"/>
          <w:rtl w:val="true"/>
          <w:lang w:bidi="ar-SA"/>
        </w:rPr>
        <w:t xml:space="preserve">، 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62"/>
      </w:r>
      <w:r>
        <w:rPr>
          <w:rFonts w:ascii="Amiri" w:hAnsi="Amiri" w:eastAsia="Amiri" w:cs="Amiri"/>
          <w:color w:val="111111"/>
          <w:sz w:val="28"/>
          <w:sz w:val="28"/>
          <w:szCs w:val="28"/>
          <w:rtl w:val="true"/>
          <w:lang w:bidi="ar-SA"/>
        </w:rPr>
        <w:t>، وابن إدريس</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كفّارة جزاء الصيد على التخيّير، ولكن </w:t>
      </w:r>
    </w:p>
    <w:p>
      <w:pPr>
        <w:pStyle w:val="BookText"/>
        <w:rPr/>
      </w:pPr>
      <w:r>
        <w:rPr>
          <w:rFonts w:ascii="Amiri" w:hAnsi="Amiri" w:eastAsia="Amiri" w:cs="Amiri"/>
          <w:color w:val="111111"/>
          <w:sz w:val="28"/>
          <w:sz w:val="28"/>
          <w:szCs w:val="28"/>
          <w:rtl w:val="true"/>
          <w:lang w:bidi="ar-SA"/>
        </w:rPr>
        <w:t>المشهور بين الأصحاب شهرة عظيمة أنّها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فَجَزاءٌ مِثْلُ ما قَتَلَ مِنَ اَلنَّعَمِ يَحْكُمُ بِهِ ذَوا عَدْلٍ مِنْكُمْ هَدْياً بالِغَ اَلْكَعْبَةِ أَوْ كَفّارَةٌ طَعامُ مَساكِينَ أَوْ عَدْلُ ذلِكَ صِياماً</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بتقريب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بالخيار يختار ما يشاء، وكلّ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كذا، فالأوّل بالخيار</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عبد اللّه بن سنان،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تعالى في من قتل صيداً متعمّداً وهو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فَجَزاءٌ مِثْلُ 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يهديه، أمّا أن يقوم فيشتري به طعاماً فيطعمه المساكين، يطعم كلّ مسكين مُدّاً، وأمّا ينظر كم يبلغ عدد كلّ ذلك من المساكين، فيصوم مكان كلّ مسكين يوماً</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خبر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فغايتها الظهور في التخيّير، ولكنّها تُحمل على إرادة الترتيب، للنصوص المتقدّمة المعلّقة للإطعام على عدم وجدان البدنة،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حريز، فيقيّد إطلاقه بما ورد في المقام، فالأظهر هو تذييل الترتيب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 الطعام الذي يجب أن يتصدّق به دون قيمته، فلا ينتقل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الفرض إلى الصيام، لعدم صدق العجز مع القدرة على القيمة، وكذا لو فقد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يشتري غيره من الطعام، أو يضع القيمة العادلة عند ثقةٍ ليشتريه إذا وجده إذا أراد الرجوع، وإلّا أبقاها عنده مترقّباً لوجوده‌؟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المصنّف رحمه الله في بعض كتبه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الأوّل فليس له وجهٌ وجيه، فالمتعيّن هو الثاني إنْ لم نقل بوجوب فوريّة الإخراج، وإلّا فيصدق العجز، وينتقل الفرض إلى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لو تلف ما وضعه‌؟ فعن المصنّف أنّه يلحق بالزكاة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المعزولة في عدم الضمان بغير تفريط، لإتيانه بالواجب، وأصالة البراءة من الإخراج ثانياً، ونفي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الإلحاق بالزكاة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الفرق بينهما من جهة تعلّق الزكاة بالعين، والفداء بالذمّة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وإتيانه بالواجب ممنوعٌ‌، وأصالة البراءة لا مورد لها مع استصحاب البقاء في الذمّة، ونفي الحرج لم أفهم وجه تطبيقه على المقام، وعليه فالأظهر عدم الإلحاق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أن يُحكم في ذلك الجزاءبالمماثلة، والتقويم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رجلان صالحان فقيهان عارفان بالصيد ومثله وقيمة مثله، ولو كان أحدهما القاتل جاز إنْ كان القتل خطأ، ولا كذا لو كان عمداً، لأنّه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w:t>
      </w:r>
      <w:r>
        <w:rPr>
          <w:rStyle w:val="FootnoteAnchor"/>
          <w:rtl w:val="true"/>
        </w:rPr>
        <w:footnoteReference w:id="56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 وحكاه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الأردبيلي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اعتبار التعدّد ينافي اعتبار الحكم، إذ ليس بعد شهادة العدلين شيءٌ إلّاما جاء من الحلف في دعوى الدين على الميّت، فلا يبعد إرادة الشهادة من الحكم</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أثر في كتب الفروع لاعتبار شهادة العدلين في المثليّة أيضاً، إلّا ما تسمعه في آخر الكفّارات، ضرورة أنّ المنصوص حكمه ما جاء في النص، وغير المنصوص حكمه ضمان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بالآية الشريفة أنّ كون الصيد إذا كان مثليّاً يجب أن يُهدى ما يكون مثله، وما لا يكون مثليّاً يجبُ ما عيّن جزاءً له، وإلّا فيجب فيه القيمة، لابدّ فيه من حكم المعصوم عليه السلام، وقد بيّنت جميع ذلك في نصوصنا، والوجه في استظهار ذلك أنّ جملةً من النصوص تدلّ على أنّ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جملةٍ من الأخبارالمعتبرة أنّ المراد به رسول اللّه صلى الله عليه و آله والإمام من بعده، لاحظ</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فالعدل رسول اللّه صلى الله عليه و آله والإمام من بعده يحكم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أخطأت به الكتاب</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أنّ رسم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تصرّف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حسن إبراهيم بن عمر اليماني، عن أبي عبداللّه عليه السلام</w:t>
      </w:r>
      <w:r>
        <w:rPr>
          <w:rStyle w:val="FootnoteAnchor"/>
          <w:rtl w:val="true"/>
        </w:rPr>
        <w:footnoteReference w:id="576"/>
      </w:r>
      <w:r>
        <w:rPr>
          <w:rFonts w:ascii="Amiri" w:hAnsi="Amiri" w:eastAsia="Amiri" w:cs="Amiri"/>
          <w:color w:val="111111"/>
          <w:sz w:val="28"/>
          <w:sz w:val="28"/>
          <w:szCs w:val="28"/>
          <w:rtl w:val="true"/>
          <w:lang w:bidi="ar-SA"/>
        </w:rPr>
        <w:t>، ونحوهماغيرهما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فالمراد من يحكم أي يبيّن حكم اللّه تعالى في المثل للمقتول من الصيد، فتدلّ الآية الكريمة على اعتبار النص الشرعي في المثليّة، بل لو كانت القراءة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فيها ذلك، فيكون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والإمام عليه السلام من بعده، على معنى الإجتزاء بحكم أحدهما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31" w:name="pg11809_94492"/>
    </w:p>
    <w:p>
      <w:pPr>
        <w:pStyle w:val="BookText"/>
        <w:rPr/>
      </w:pPr>
      <w:bookmarkEnd w:id="131"/>
      <w:r>
        <w:rPr>
          <w:rFonts w:ascii="Amiri" w:hAnsi="Amiri" w:eastAsia="Amiri" w:cs="Amiri"/>
          <w:color w:val="111111"/>
          <w:sz w:val="28"/>
          <w:sz w:val="28"/>
          <w:szCs w:val="28"/>
          <w:rtl w:val="true"/>
          <w:lang w:bidi="ar-SA"/>
        </w:rPr>
        <w:t>ولو عجز صام عن كلّ مُدّين يوماً،</w:t>
      </w:r>
    </w:p>
    <w:p>
      <w:pPr>
        <w:pStyle w:val="Heading3"/>
        <w:numPr>
          <w:ilvl w:val="2"/>
          <w:numId w:val="1"/>
        </w:numPr>
        <w:rPr/>
      </w:pPr>
      <w:bookmarkStart w:id="132" w:name="__RefHeading___Toc10723877_73709187"/>
      <w:bookmarkStart w:id="133" w:name="_Toc45"/>
      <w:bookmarkEnd w:id="132"/>
      <w:r>
        <w:rPr>
          <w:rtl w:val="true"/>
        </w:rPr>
        <w:t>العجز عن إطعام الستّين</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إطعام الستّين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عن كلّ مُدّين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إعطاء المسكين مُدّين، وعن كلّ مُدٍّ يوماً بناءً على إعطائة المُدّ، على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العُمّاني</w:t>
      </w:r>
      <w:r>
        <w:rPr>
          <w:rStyle w:val="FootnoteAnchor"/>
          <w:rtl w:val="true"/>
        </w:rPr>
        <w:footnoteReference w:id="578"/>
      </w:r>
      <w:r>
        <w:rPr>
          <w:rFonts w:ascii="IRNazanin" w:hAnsi="IRNazanin" w:eastAsia="IRNazanin"/>
          <w:color w:val="111111"/>
          <w:sz w:val="28"/>
          <w:sz w:val="28"/>
          <w:szCs w:val="28"/>
          <w:rtl w:val="true"/>
          <w:lang w:bidi="fa-IR"/>
        </w:rPr>
        <w:t>والصدوق</w:t>
      </w:r>
      <w:r>
        <w:rPr>
          <w:rStyle w:val="FootnoteAnchor"/>
          <w:rtl w:val="true"/>
        </w:rPr>
        <w:footnoteReference w:id="579"/>
      </w:r>
      <w:r>
        <w:rPr>
          <w:rFonts w:ascii="Amiri" w:hAnsi="Amiri" w:eastAsia="Amiri" w:cs="Amiri"/>
          <w:color w:val="111111"/>
          <w:sz w:val="28"/>
          <w:sz w:val="28"/>
          <w:szCs w:val="28"/>
          <w:rtl w:val="true"/>
          <w:lang w:bidi="ar-SA"/>
        </w:rPr>
        <w:t>ثمانية عشر يوماً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مع العجز عن الإطعام يصوم ثمانية عشر يوماً، كصحيح معاوية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يقدر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إطعام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مكان ذلك ثمانية عشر يوماً، مكان كلّ عشرة مساكين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موثّق أبي بصير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يصوم بدل كلّ مُدّ يوماً، كمرسل ابن بُكير، عن بعض أصحابنا، عن أبي عبداللّه عليه 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عَدْلُ ذلِكَ صِياماً</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قيمة الهَدي </w:t>
      </w:r>
    </w:p>
    <w:p>
      <w:pPr>
        <w:pStyle w:val="BookText"/>
        <w:rPr/>
      </w:pPr>
      <w:r>
        <w:rPr>
          <w:rFonts w:ascii="Amiri" w:hAnsi="Amiri" w:eastAsia="Amiri" w:cs="Amiri"/>
          <w:color w:val="111111"/>
          <w:sz w:val="28"/>
          <w:sz w:val="28"/>
          <w:szCs w:val="28"/>
          <w:rtl w:val="true"/>
          <w:lang w:bidi="ar-SA"/>
        </w:rPr>
        <w:t>طعاماً، ثمّ يصوم لكلّ مُدٍّ يوماً، فإذا زادت الأمداد على شهرين، فليس عليه أكثر منه</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يصوم بدل كلّ مُدّين يوماً، كصحيح أبي عُبيدة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 على الطعام، صام لكلّ نصف صاع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صحيح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يصوم بدل طعام كلّ مسكين يوماً، كصحيح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عَدْلُ ذلِكَ صِياماً</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الهَدي ما بلغ يتصدّق به، فإنْ لم يكن عنده، فليصم بقدر ما بلغ لكلّ طعامٍ مسكين يوماً</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الطوائف الثلاث الأخيرة لا تعارض بينها، والمقصود من الجميع هو أنّ عليه أن يصوم بدل إطعام كلّ مسكين يوماً، إذ صحيح أبي عبيدة المصرّح بأنّه يصوم بدل نصف صاع يوماً، إنّما يحكم بذلك بعدما جعل عليه السلام لكلّ مسكين نصف صاع، مع أنّ الطائفة الأخيرة شاهدة لهذا الجمع، ونسبتها مع الطائفة الأُولى عموم مطلق، فيقيّد إطلاقها بها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زادت على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أربعين صاعاً، فإنّها زائدة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غير الستّين، بلا خلاف،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دعوى الإجماع عليه، ويشهد به مرسل ابن بكير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كانت أقلّ‌، كما لو كانت اثنى عشر صاعاً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5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الصوم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مقتضى إطلاق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جماعةٍ منهم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ينقص من الصوم بنسبة نقص الطعام، ففي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المختار من أنّه لكلّ مُدّ صوم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ثمانية وأربعين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المصرّحة بذلك، لاحظ ما ورد في صحيح محمّد بن مسلم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عنده، فليصم بقدر ما بلغ، لكلّ طعامٍ مسكين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بالاحتياط، لاحتمال عِدْل الصيد أو الجزاء لا الطعام، ولا يعلم أنّ عدلهما يتناول ما دون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التصريح بما عرفت في النصوص، وأيضاً التصريح بأنّ المراد من العِدْل عِدل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مرسل ابن بكير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ما اُفيد شبه الاجتهاد في مقابل النص</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انكسر نصف الصاع أو المُدّ على القولين</w:t>
      </w:r>
      <w:r>
        <w:rPr>
          <w:rFonts w:eastAsia="Amiri" w:cs="Amiri" w:ascii="Amiri" w:hAnsi="Amiri"/>
          <w:color w:val="111111"/>
          <w:sz w:val="28"/>
          <w:szCs w:val="28"/>
          <w:rtl w:val="true"/>
          <w:lang w:bidi="ar-SA"/>
        </w:rPr>
        <w:t xml:space="preserve">:). </w:t>
      </w:r>
      <w:bookmarkStart w:id="134" w:name="pg11809_94495"/>
    </w:p>
    <w:p>
      <w:pPr>
        <w:pStyle w:val="BookText"/>
        <w:rPr/>
      </w:pPr>
      <w:bookmarkEnd w:id="134"/>
      <w:r>
        <w:rPr>
          <w:rFonts w:ascii="Amiri" w:hAnsi="Amiri" w:eastAsia="Amiri" w:cs="Amiri"/>
          <w:color w:val="111111"/>
          <w:sz w:val="28"/>
          <w:sz w:val="28"/>
          <w:szCs w:val="28"/>
          <w:rtl w:val="true"/>
          <w:lang w:bidi="ar-SA"/>
        </w:rPr>
        <w:t>فإن عجز، صام ثمانية عشر يوماً،</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عليه صيام يوم كامل،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واستدلّ له بأنّ صيام اليوم لا يتبعّض، والسقوط غير ممكن، لشغل ذمّته، فيجب إكمال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النصوص أنّ صيام يومٍ بدلٌ عن نصف الصاع أو المُدّ، وهو غير متحقّق هنا، فالمتّجه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ممكن لشغل ذمّته غير واضحة، إذ الكلام في شغل الذمّة، فكيف يفرض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تمّ الإجماع فهو، والا فالأظهر السقوط</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0723879_73709187"/>
      <w:bookmarkStart w:id="136" w:name="_Toc46"/>
      <w:bookmarkEnd w:id="135"/>
      <w:r>
        <w:rPr>
          <w:rtl w:val="true"/>
        </w:rPr>
        <w:t>العجز عن صوم الستّين</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الستّين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وقد تقدّم ما هو المدرك لذلك، وهو صحيح معاوية، ونحوه المحمولة على صورة العجز عن صوم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تمكّن من أكثر من الثمانية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كالعشرين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وجوبه إشكال</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للأصل، وإطلاق النصوص والفتاوي، ومن الاحتياط، وأنّ الميسور لا يسقط بالمعسور</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الميسور قد أشرنا في هذا الشرح مراراً إلى أنّها غير تامّة في إجزاء المأمور به، مع أنّ إطلاق النصوص بل صراحتها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قلَّ ما يمكن أن يتّفق القدرة على صوم الثمانية عشر يوماً والعجز عمّا زاد عليها ولو بيوم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القاعدة، وكذا أصالة الاحتياط، فإنّ الأصل عند الشكّ في التكليف البراءة، مع أنّه لا مورد للأصل مع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شهراً فعجز عن صوم الشهر الثاني، فهذا الشخص يعدّ عاجزاً من الأوّل عن صوم الستّين، ووظيفته صوم ثمانية عشر يوماً، فلا يجب عليه شيء بعد ذلك وإنْ أصبح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علم المكلّف بالعجز، وهو مفقودٌ، فلم تكن وظيفته في الواقع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دخل للعلم فيه، بل الموضوع هو العجز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يعجز عنه شهرٌ وبدله تسعة، فيجب صوم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الثمانية عشر بدلُ الشهرين، لا أنّ التسعة بدل الشهر،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أقوى الاحتمالات وجوب تسعة ثمّ ما قُدّر، ثمّ السقوط</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37" w:name="pg11809_94497"/>
    </w:p>
    <w:p>
      <w:pPr>
        <w:pStyle w:val="Heading3"/>
        <w:numPr>
          <w:ilvl w:val="2"/>
          <w:numId w:val="1"/>
        </w:numPr>
        <w:rPr/>
      </w:pPr>
      <w:bookmarkStart w:id="138" w:name="__RefHeading___Toc10723881_73709187"/>
      <w:bookmarkStart w:id="139" w:name="_Toc47"/>
      <w:bookmarkEnd w:id="137"/>
      <w:bookmarkEnd w:id="138"/>
      <w:r>
        <w:rPr>
          <w:rtl w:val="true"/>
        </w:rPr>
        <w:t>كفّارة فرخ النعامة</w:t>
      </w:r>
      <w:bookmarkEnd w:id="13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فرخ النعامة قولان وروايتان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5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0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من صغار الإبل، ونُقل عن جملةٍ من الكتب نقل رواية مرسلةٍ به، ولم يقف عليها المحقّقون من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جمعٍ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مثل ما في النعامة، ويشهد له صحيح أبان بن تغلب،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 حُجّاج مُحرِمين أصابوا فراخ نعام، فأكلوا جميعاً؟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مكان كلّ فرخٍ أكلوه بدنة، يشتركون فيهن، فيشترون على عدد الفراخ وعدد الرِّجال</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الثاني، للصحيح المؤيّد بإطلاق ما دلّ على أنّ في قتل النعامة الصادقة على فرخها 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الذي استدلّ به للقول الأوّل، فيردّه عدم العثور عليه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خبرٌ مرسل منجبرٌ ضعفه بفتوى من تقدّمت الإشارة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الجائز استناد المفتين به إلى ما مرّ من اعتبار جماعةٍ المماثلة الشخصيّة، استناداً إلى الآية الكريمة، لا إلى الخبر، فلا جابر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المماثلة الشخصيّة، فقد مرّ فيه، وعرفت عدم اعتبارها، بل تقدّم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يدلّ بضميمة الأخبار على أنّ المثليّة منوطة ببيان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شيء، وهو أنّ المحكيّ عن المفيد</w:t>
      </w:r>
      <w:r>
        <w:rPr>
          <w:rStyle w:val="FootnoteAnchor"/>
          <w:rtl w:val="true"/>
        </w:rPr>
        <w:footnoteReference w:id="604"/>
      </w:r>
      <w:r>
        <w:rPr>
          <w:rFonts w:ascii="IRNazanin" w:hAnsi="IRNazanin" w:eastAsia="IRNazanin"/>
          <w:color w:val="111111"/>
          <w:sz w:val="28"/>
          <w:sz w:val="28"/>
          <w:szCs w:val="28"/>
          <w:rtl w:val="true"/>
          <w:lang w:bidi="fa-IR"/>
        </w:rPr>
        <w:t>والمرتضى</w:t>
      </w:r>
      <w:r>
        <w:rPr>
          <w:rStyle w:val="FootnoteAnchor"/>
          <w:rtl w:val="true"/>
        </w:rPr>
        <w:footnoteReference w:id="605"/>
      </w:r>
      <w:r>
        <w:rPr>
          <w:rFonts w:ascii="Amiri" w:hAnsi="Amiri" w:eastAsia="Amiri" w:cs="Amiri"/>
          <w:color w:val="111111"/>
          <w:sz w:val="28"/>
          <w:sz w:val="28"/>
          <w:szCs w:val="28"/>
          <w:rtl w:val="true"/>
          <w:lang w:bidi="ar-SA"/>
        </w:rPr>
        <w:t>وسلّار</w:t>
      </w:r>
      <w:r>
        <w:rPr>
          <w:rStyle w:val="FootnoteAnchor"/>
          <w:rtl w:val="true"/>
        </w:rPr>
        <w:footnoteReference w:id="606"/>
      </w:r>
      <w:r>
        <w:rPr>
          <w:rFonts w:ascii="Amiri" w:hAnsi="Amiri" w:eastAsia="Amiri" w:cs="Amiri"/>
          <w:color w:val="111111"/>
          <w:sz w:val="28"/>
          <w:sz w:val="28"/>
          <w:szCs w:val="28"/>
          <w:rtl w:val="true"/>
          <w:lang w:bidi="ar-SA"/>
        </w:rPr>
        <w:t>أنّه يجب التتابع في الصوم من هذه الكفّارة، واستدلّوا له بظهور الكتاب والسُنّة والفتاوي في أنّه كفّارة، والأصل فيها اعتبار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أصالة البراءة عن وجوب التتابع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عدمة، بعدما لم يدلّ على اعتبار التتابع في كلّ كفّارةٍ إلّاما خرج، بل دلّ الدليل على عدم اعتباره في غير كفّارة الظهار وكفّارة الدّم وكفّارة اليمين، كخبر سليمان بن جعفر الجعفري، عن أبي الحسن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الصيام الذي لا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الظهار، وكفّارة الدّم، وكفّارة اليمين</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فإنّه بمفهوم الحصر يدلّ على عدم وجوب التتابع في غير تلك الموارد ومنها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فالأظهر عدم اعتباره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40" w:name="pg11809_94499"/>
    </w:p>
    <w:p>
      <w:pPr>
        <w:pStyle w:val="BookText"/>
        <w:rPr/>
      </w:pPr>
      <w:bookmarkEnd w:id="140"/>
      <w:r>
        <w:rPr>
          <w:rFonts w:ascii="Amiri" w:hAnsi="Amiri" w:eastAsia="Amiri" w:cs="Amiri"/>
          <w:color w:val="111111"/>
          <w:sz w:val="28"/>
          <w:sz w:val="28"/>
          <w:szCs w:val="28"/>
          <w:rtl w:val="true"/>
          <w:lang w:bidi="ar-SA"/>
        </w:rPr>
        <w:t>وفي بقرة الوحش وحماره بقرة،</w:t>
      </w:r>
    </w:p>
    <w:p>
      <w:pPr>
        <w:pStyle w:val="Heading3"/>
        <w:numPr>
          <w:ilvl w:val="2"/>
          <w:numId w:val="1"/>
        </w:numPr>
        <w:rPr/>
      </w:pPr>
      <w:bookmarkStart w:id="141" w:name="__RefHeading___Toc10723883_73709187"/>
      <w:bookmarkStart w:id="142" w:name="_Toc48"/>
      <w:bookmarkEnd w:id="141"/>
      <w:r>
        <w:rPr>
          <w:rtl w:val="true"/>
        </w:rPr>
        <w:t>كفّارة قتل بقرة الوحش وحمار الوحش</w:t>
      </w:r>
      <w:bookmarkEnd w:id="142"/>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بقرة الوحش وحماره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قتل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أهليّة، كما هو المشهور بين الأصحاب،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الإجماع عليه، وعن غير واحدٍ الإجماع في الأوّل</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610"/>
      </w:r>
      <w:r>
        <w:rPr>
          <w:rFonts w:ascii="Amiri" w:hAnsi="Amiri" w:eastAsia="Amiri" w:cs="Amiri"/>
          <w:color w:val="111111"/>
          <w:sz w:val="28"/>
          <w:sz w:val="28"/>
          <w:szCs w:val="28"/>
          <w:rtl w:val="true"/>
          <w:lang w:bidi="ar-SA"/>
        </w:rPr>
        <w:t>وجوب بدنةٍ في قتل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611"/>
      </w:r>
      <w:r>
        <w:rPr>
          <w:rFonts w:ascii="Amiri" w:hAnsi="Amiri" w:eastAsia="Amiri" w:cs="Amiri"/>
          <w:color w:val="111111"/>
          <w:sz w:val="28"/>
          <w:sz w:val="28"/>
          <w:szCs w:val="28"/>
          <w:rtl w:val="true"/>
          <w:lang w:bidi="ar-SA"/>
        </w:rPr>
        <w:t>وجماعة من المتأخّرين</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لوجوب البقرة جملة من النصوص، كصحاح حريز، ويعقوب بن شعيب، وسليمان بن خالد المتقدّمة في النعامة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مختلفة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منها تدلّ على أنّ في قتله بقرة، كصحيح حريز، وموثّق أبي بصير، وخبر الكناني، المتقدّمة في النعامة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أُخرى منها تدلّ على أنّ فيه بدنة، كصحاح يعقوب بن شعيب، وسليمان بن خالد، وأبي بصير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يُجمع بين الطائفتين، بحمل الثانية على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المأمور به البقرة، فغيرها لا يكون مُجزياً، فكيف تُحمل على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يُجمع بالحمل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المراد التخيّير في المسألة الفرعيّة، فهو ليس جمعاً عرفيّاً، وإنْ كان المراد التخيّير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التخيّير في الأخذ بإحدى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فرع التكافؤ، وعدم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البدنة إنْ كانت أعمّ من الإبل والبقرة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من اللّغويين</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الطائفة الثانية يقيّد بالأولى‌، وإنْ كانت مختصّة بالإبل، فيقع التعارض بين الطائفتين، والترجيح مع الأُولى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في وجه أرجحيّة الأُولى تارةً بالأكثريّة، وأُخرى بموافقة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البقرة أقرب إلى الحمار من 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الأكثريّة ليست من مرجّحات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ما تقدّم من أنّ المماثلة في الآية الكريمة قيّدت بما يَحكم به 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الأقربيّة لا تفهم من المماثلة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 في قتل حمار الوحش بقرة أهليّة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3" w:name="pg11809_94501"/>
    </w:p>
    <w:p>
      <w:pPr>
        <w:pStyle w:val="BookText"/>
        <w:rPr/>
      </w:pPr>
      <w:bookmarkEnd w:id="143"/>
      <w:r>
        <w:rPr>
          <w:rFonts w:ascii="Amiri" w:hAnsi="Amiri" w:eastAsia="Amiri" w:cs="Amiri"/>
          <w:color w:val="111111"/>
          <w:sz w:val="28"/>
          <w:sz w:val="28"/>
          <w:szCs w:val="28"/>
          <w:rtl w:val="true"/>
          <w:lang w:bidi="ar-SA"/>
        </w:rPr>
        <w:t>فإنْ لم يجد، فضّ ثمنها على البِرّ، وأطعم ثلاثين مسكيناً لكلّ واحد مُدّان،</w:t>
      </w:r>
    </w:p>
    <w:p>
      <w:pPr>
        <w:pStyle w:val="Heading3"/>
        <w:numPr>
          <w:ilvl w:val="2"/>
          <w:numId w:val="1"/>
        </w:numPr>
        <w:rPr/>
      </w:pPr>
      <w:bookmarkStart w:id="144" w:name="__RefHeading___Toc10723885_73709187"/>
      <w:bookmarkStart w:id="145" w:name="_Toc49"/>
      <w:bookmarkEnd w:id="144"/>
      <w:r>
        <w:rPr>
          <w:rtl w:val="true"/>
        </w:rPr>
        <w:t>حكم العجز عن دفع البقرة</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قوَّم البقرة الأهليّة،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 ثمنها على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 أو على مطلق الطعام، كما هو المشهور بين الأصحاب</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وأطعم ثلاثين مسكيناً لكلّ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جماعة</w:t>
      </w:r>
      <w:r>
        <w:rPr>
          <w:rStyle w:val="FootnoteAnchor"/>
          <w:rtl w:val="true"/>
        </w:rPr>
        <w:footnoteReference w:id="616"/>
      </w:r>
      <w:r>
        <w:rPr>
          <w:rFonts w:ascii="Amiri" w:hAnsi="Amiri" w:eastAsia="Amiri" w:cs="Amiri"/>
          <w:color w:val="111111"/>
          <w:sz w:val="28"/>
          <w:sz w:val="28"/>
          <w:szCs w:val="28"/>
          <w:rtl w:val="true"/>
          <w:lang w:bidi="ar-SA"/>
        </w:rPr>
        <w:t>، ومُدّ عند آخرين</w:t>
      </w:r>
      <w:r>
        <w:rPr>
          <w:rStyle w:val="FootnoteAnchor"/>
          <w:rtl w:val="true"/>
        </w:rPr>
        <w:footnoteReference w:id="617"/>
      </w:r>
      <w:r>
        <w:rPr>
          <w:rFonts w:ascii="Amiri" w:hAnsi="Amiri" w:eastAsia="Amiri" w:cs="Amiri"/>
          <w:color w:val="111111"/>
          <w:sz w:val="28"/>
          <w:sz w:val="28"/>
          <w:szCs w:val="28"/>
          <w:rtl w:val="true"/>
          <w:lang w:bidi="ar-SA"/>
        </w:rPr>
        <w:t>، بلا خلاف الا فيما أشرنا إليه، والشاهد به جملةٌ من النصوص المتقدّمة في النعامة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الحكمان اللّذان وقع الخلاف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الثمن على البِرّ، أو على مطلق الطعام، ولا منشأ للقول بتعيّن البِرّ في المقام سوى تعيّن ذلك في كفّارة قتل النعامة، بضميمة عدم القول بالفصل بين هناك وبين المقام، وانصراف الطعام إلى البِرّ بل الطعام هو البرّ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تعيّن البرّ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ممنوع، والطعام أعمّ منه لغةً‌، فالأظهر عدم تعيّنه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يجب إطعام مُدّين لكلّ مسكين أو مُدّ واحد؟ </w:t>
      </w:r>
    </w:p>
    <w:p>
      <w:pPr>
        <w:pStyle w:val="BookText"/>
        <w:rPr/>
      </w:pPr>
      <w:r>
        <w:rPr>
          <w:rFonts w:ascii="Amiri" w:hAnsi="Amiri" w:eastAsia="Amiri" w:cs="Amiri"/>
          <w:color w:val="111111"/>
          <w:sz w:val="28"/>
          <w:sz w:val="28"/>
          <w:szCs w:val="28"/>
          <w:rtl w:val="true"/>
          <w:lang w:bidi="ar-SA"/>
        </w:rPr>
        <w:t>ولا يجبُ عليه التتميم الفاضل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عجز صام عن كلّ مُدّين يوماً، فإنْ عجز صام تسعة أيّام،</w:t>
      </w:r>
    </w:p>
    <w:p>
      <w:pPr>
        <w:pStyle w:val="BookText"/>
        <w:rPr/>
      </w:pPr>
      <w:r>
        <w:rPr>
          <w:rFonts w:ascii="Amiri" w:hAnsi="Amiri" w:eastAsia="Amiri" w:cs="Amiri"/>
          <w:color w:val="111111"/>
          <w:sz w:val="28"/>
          <w:sz w:val="28"/>
          <w:szCs w:val="28"/>
          <w:rtl w:val="true"/>
          <w:lang w:bidi="ar-SA"/>
        </w:rPr>
        <w:t>ففي صحيح أبي بصير المتقدّم في النعامة وحمار وحش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والصدقة مُدّ على كلّ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صحيح أبي عُبيدة لزوم مُدّين، وعليه فما ذكرناه في النعامة جارٍ هنا، فالأظهر الاجتزاء 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للإجتزاء بمُدّ بوجهٍ آخر، وهو أنّ الجمع بين مرسل ابن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عَدْلُ ذلِكَ صِياماً</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بثمن قيمة الهَدي طعاماً، ثمّ يصوم لكلّ مُدٍّ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محمّد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الهَدي ما بلغ يتصدّق به، فإنْ لم يكن عنده فليصم بقدر ما بلغ لكلّ طعام مسكينٍ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يقتضي الإجتزاء بمُدّ، ولا بأس به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عليه التتميم، والفاضلُ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النعامة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عجز صام عن كلّ 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لزوم المُدّين في الإطعام، وعن كلّ مُدٍّ بناءً على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 صام تسعة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للمعتبرة</w:t>
      </w:r>
      <w:r>
        <w:rPr>
          <w:rStyle w:val="FootnoteAnchor"/>
          <w:rtl w:val="true"/>
        </w:rPr>
        <w:footnoteReference w:id="620"/>
      </w:r>
      <w:r>
        <w:rPr>
          <w:rFonts w:ascii="Amiri" w:hAnsi="Amiri" w:eastAsia="Amiri" w:cs="Amiri"/>
          <w:color w:val="111111"/>
          <w:sz w:val="28"/>
          <w:sz w:val="28"/>
          <w:szCs w:val="28"/>
          <w:rtl w:val="true"/>
          <w:lang w:bidi="ar-SA"/>
        </w:rPr>
        <w:t>المستفيضة، والأمر فيها به وإنْ كان بعد الأمر بالصدقة، إلّاأنّه يُحمل على ما ذكر، كما سمعته في البدنة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46" w:name="pg11809_94503"/>
    </w:p>
    <w:p>
      <w:pPr>
        <w:pStyle w:val="BookText"/>
        <w:rPr/>
      </w:pPr>
      <w:bookmarkEnd w:id="146"/>
      <w:r>
        <w:rPr>
          <w:rFonts w:ascii="Amiri" w:hAnsi="Amiri" w:eastAsia="Amiri" w:cs="Amiri"/>
          <w:color w:val="111111"/>
          <w:sz w:val="28"/>
          <w:sz w:val="28"/>
          <w:szCs w:val="28"/>
          <w:rtl w:val="true"/>
          <w:lang w:bidi="ar-SA"/>
        </w:rPr>
        <w:t>وفي الظبي والثعلب والأرنب شاة،</w:t>
      </w:r>
    </w:p>
    <w:p>
      <w:pPr>
        <w:pStyle w:val="Heading3"/>
        <w:numPr>
          <w:ilvl w:val="2"/>
          <w:numId w:val="1"/>
        </w:numPr>
        <w:rPr/>
      </w:pPr>
      <w:bookmarkStart w:id="147" w:name="__RefHeading___Toc10723887_73709187"/>
      <w:bookmarkStart w:id="148" w:name="_Toc50"/>
      <w:bookmarkEnd w:id="147"/>
      <w:r>
        <w:rPr>
          <w:rtl w:val="true"/>
        </w:rPr>
        <w:t>كفّارة قتل الظبي والأرنب والثعلب</w:t>
      </w:r>
      <w:bookmarkEnd w:id="148"/>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الظَّبي والثَّعلب، والأرنب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عن غير واحد</w:t>
      </w:r>
      <w:r>
        <w:rPr>
          <w:rStyle w:val="FootnoteAnchor"/>
          <w:rtl w:val="true"/>
        </w:rPr>
        <w:footnoteReference w:id="621"/>
      </w:r>
      <w:r>
        <w:rPr>
          <w:rFonts w:ascii="Amiri" w:hAnsi="Amiri" w:eastAsia="Amiri" w:cs="Amiri"/>
          <w:color w:val="111111"/>
          <w:sz w:val="28"/>
          <w:sz w:val="28"/>
          <w:szCs w:val="28"/>
          <w:rtl w:val="true"/>
          <w:lang w:bidi="ar-SA"/>
        </w:rPr>
        <w:t>دعوى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في الظبي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أبي بصير المتقدّم</w:t>
      </w:r>
      <w:r>
        <w:rPr>
          <w:rStyle w:val="FootnoteAnchor"/>
          <w:rtl w:val="true"/>
        </w:rPr>
        <w:footnoteReference w:id="622"/>
      </w:r>
      <w:r>
        <w:rPr>
          <w:rFonts w:ascii="Amiri" w:hAnsi="Amiri" w:eastAsia="Amiri" w:cs="Amiri"/>
          <w:color w:val="111111"/>
          <w:sz w:val="28"/>
          <w:sz w:val="28"/>
          <w:szCs w:val="28"/>
          <w:rtl w:val="true"/>
          <w:lang w:bidi="ar-SA"/>
        </w:rPr>
        <w:t>في النعامة، فقد ورد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ظبياً؟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فإطعام عشرة مساكين،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ما يتصدّق به، فعليه صيام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الظبي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في الأرنب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الأرنب يُصيبه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هدياً بالغ الكعبة</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مُحرِم أصاب أرنباً أو ثعلباً؟ </w:t>
      </w:r>
    </w:p>
    <w:p>
      <w:pPr>
        <w:pStyle w:val="BookText"/>
        <w:rPr/>
      </w:pPr>
      <w:r>
        <w:rPr>
          <w:rFonts w:ascii="Amiri" w:hAnsi="Amiri" w:eastAsia="Amiri" w:cs="Amiri"/>
          <w:color w:val="111111"/>
          <w:sz w:val="28"/>
          <w:sz w:val="28"/>
          <w:szCs w:val="28"/>
          <w:rtl w:val="true"/>
          <w:lang w:bidi="ar-SA"/>
        </w:rPr>
        <w:t>فإنْ عجز فضَّ ثمنها على البِرّ وأطعم عشرة مساكين، لكلّ مسكينٍ مُدّان، والفاضل له، ولا يجبُ عليه التتميم،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الأرنب دم شاة</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له فيه خبر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ثعلباً؟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الثعلب</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سنده لو كان فإنّه منجبرٌ بالعمل، ودلالته واضحة، فإنّه يدلّ على تساوي الأرنب والثعلب في الجزاء،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في الأرنب شاة يدلّ حينئذٍ على أنّ في الثعلب أيضاً شاة، وتخصيص الأرنب بالشاة في الصحيح الثاني لا ينافي ذلك، إذ لعلّه اكتفى به لمعلوميّة التساوي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يعتدّ به في الظبي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عجز فضَّ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ثمن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غيره على حسب 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وأطعم عشرة 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لخبر أبي بصير وصحيح أبي عبيدة المتقدّمين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مسكينٍ 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مُدّ على البحث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والفاضل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إجماعاً،</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النصوص التي منها خبر أبي بصير، ومنها صحيح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كانت عليه شاة، فلم يجد فليطعم على عشرة مساكين، فمن لم يجد صام ثلاثة أيّام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عليه 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لخبر أبي عبيدة</w:t>
      </w:r>
      <w:r>
        <w:rPr>
          <w:rStyle w:val="FootnoteAnchor"/>
          <w:rtl w:val="true"/>
        </w:rPr>
        <w:footnoteReference w:id="626"/>
      </w:r>
      <w:r>
        <w:rPr>
          <w:rFonts w:ascii="Amiri" w:hAnsi="Amiri" w:eastAsia="Amiri" w:cs="Amiri"/>
          <w:color w:val="111111"/>
          <w:sz w:val="28"/>
          <w:sz w:val="28"/>
          <w:szCs w:val="28"/>
          <w:rtl w:val="true"/>
          <w:lang w:bidi="ar-SA"/>
        </w:rPr>
        <w:t>وابن مسلم المصرّح فيهما بالقيمة لا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عجز صام عن كلّ مُدّين يوماً، فإن عجز صام ثلاثة أيّام،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 صام عن كلّ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مُدّ على البحث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يزيد على العشرة، لما تقدّم من أنّ الصوم بدلُ الإطعام الذي قد سمعت عدم زيادته على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 صام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تجري الأحكام المذكورة بعد العجز عن الشاة في الثعلب والأرنب على الترتيب كما عن المشهور</w:t>
      </w:r>
      <w:r>
        <w:rPr>
          <w:rStyle w:val="FootnoteAnchor"/>
          <w:rtl w:val="true"/>
        </w:rPr>
        <w:footnoteReference w:id="6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على نحو التخيّير كما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لا بدل لفدائهما، كما عن ظاهر الصدوقين</w:t>
      </w:r>
      <w:r>
        <w:rPr>
          <w:rStyle w:val="FootnoteAnchor"/>
          <w:rtl w:val="true"/>
        </w:rPr>
        <w:footnoteReference w:id="628"/>
      </w:r>
      <w:r>
        <w:rPr>
          <w:rFonts w:ascii="Amiri" w:hAnsi="Amiri" w:eastAsia="Amiri" w:cs="Amiri"/>
          <w:color w:val="111111"/>
          <w:sz w:val="28"/>
          <w:sz w:val="28"/>
          <w:szCs w:val="28"/>
          <w:rtl w:val="true"/>
          <w:lang w:bidi="ar-SA"/>
        </w:rPr>
        <w:t>، وابني الجُنيد، وأبي عقيل</w:t>
      </w:r>
      <w:r>
        <w:rPr>
          <w:rStyle w:val="FootnoteAnchor"/>
          <w:rtl w:val="true"/>
        </w:rPr>
        <w:footnoteReference w:id="6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630"/>
      </w:r>
      <w:r>
        <w:rPr>
          <w:rFonts w:ascii="Amiri" w:hAnsi="Amiri" w:eastAsia="Amiri" w:cs="Amiri"/>
          <w:color w:val="111111"/>
          <w:sz w:val="28"/>
          <w:sz w:val="28"/>
          <w:szCs w:val="28"/>
          <w:rtl w:val="true"/>
          <w:lang w:bidi="ar-SA"/>
        </w:rPr>
        <w:t>؟ وجوهٌ أظهرها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ثبوت الأبدال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فلصحاح الحَذّاء وابن عمّار ومحمّد ومرسل ابن بكير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فلظاهر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عليها ما في الآية والرواية الظاهرتين في التخيّير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49" w:name="pg11809_94506"/>
    </w:p>
    <w:p>
      <w:pPr>
        <w:pStyle w:val="BookText"/>
        <w:rPr/>
      </w:pPr>
      <w:bookmarkEnd w:id="149"/>
      <w:r>
        <w:rPr>
          <w:rFonts w:ascii="Amiri" w:hAnsi="Amiri" w:eastAsia="Amiri" w:cs="Amiri"/>
          <w:color w:val="111111"/>
          <w:sz w:val="28"/>
          <w:sz w:val="28"/>
          <w:szCs w:val="28"/>
          <w:rtl w:val="true"/>
          <w:lang w:bidi="ar-SA"/>
        </w:rPr>
        <w:t>وفي كسر بيض النعام إذا تحرّك الفرخ، لكلّ بيضةٍ بكرة من الأبل، وإن لم يتحرّك أرسل فحولة الإبل في إناث بعددها، فالناتج هَديٌ لبيت اللّه،</w:t>
      </w:r>
    </w:p>
    <w:p>
      <w:pPr>
        <w:pStyle w:val="Heading3"/>
        <w:numPr>
          <w:ilvl w:val="2"/>
          <w:numId w:val="1"/>
        </w:numPr>
        <w:rPr/>
      </w:pPr>
      <w:bookmarkStart w:id="150" w:name="__RefHeading___Toc10723889_73709187"/>
      <w:bookmarkStart w:id="151" w:name="_Toc51"/>
      <w:bookmarkEnd w:id="150"/>
      <w:r>
        <w:rPr>
          <w:rtl w:val="true"/>
        </w:rPr>
        <w:t>كفّارة كسر بيض النعام</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كسر بيض النعام إذا تحرّك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بيضةٍ بكرة</w:t>
      </w:r>
      <w:r>
        <w:rPr>
          <w:rStyle w:val="FootnoteAnchor"/>
          <w:rtl w:val="true"/>
        </w:rPr>
        <w:footnoteReference w:id="631"/>
      </w:r>
      <w:r>
        <w:rPr>
          <w:rFonts w:ascii="IRNazanin" w:hAnsi="IRNazanin" w:eastAsia="IRNazanin"/>
          <w:color w:val="111111"/>
          <w:sz w:val="28"/>
          <w:sz w:val="28"/>
          <w:szCs w:val="28"/>
          <w:rtl w:val="true"/>
          <w:lang w:bidi="fa-IR"/>
        </w:rPr>
        <w:t>من الإبل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يتحرّك، أرسل فحولة الإبل في إناث بعددها، فالناتج هَدي لبيت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كما هو المشهور</w:t>
      </w:r>
      <w:r>
        <w:rPr>
          <w:rStyle w:val="FootnoteAnchor"/>
          <w:rtl w:val="true"/>
        </w:rPr>
        <w:footnoteReference w:id="632"/>
      </w:r>
      <w:r>
        <w:rPr>
          <w:rFonts w:ascii="Amiri" w:hAnsi="Amiri" w:eastAsia="Amiri" w:cs="Amiri"/>
          <w:color w:val="111111"/>
          <w:sz w:val="28"/>
          <w:sz w:val="28"/>
          <w:szCs w:val="28"/>
          <w:rtl w:val="true"/>
          <w:lang w:bidi="ar-SA"/>
        </w:rPr>
        <w:t>، بل ادّعى عليه الإجماع جماعة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جماعةٍ من القدماء، منهم الإسكافي</w:t>
      </w:r>
      <w:r>
        <w:rPr>
          <w:rStyle w:val="FootnoteAnchor"/>
          <w:rtl w:val="true"/>
        </w:rPr>
        <w:footnoteReference w:id="634"/>
      </w:r>
      <w:r>
        <w:rPr>
          <w:rFonts w:ascii="IRNazanin" w:hAnsi="IRNazanin" w:eastAsia="IRNazanin"/>
          <w:color w:val="111111"/>
          <w:sz w:val="28"/>
          <w:sz w:val="28"/>
          <w:szCs w:val="28"/>
          <w:rtl w:val="true"/>
          <w:lang w:bidi="fa-IR"/>
        </w:rPr>
        <w:t>، والصدوق</w:t>
      </w:r>
      <w:r>
        <w:rPr>
          <w:rStyle w:val="FootnoteAnchor"/>
          <w:rtl w:val="true"/>
        </w:rPr>
        <w:footnoteReference w:id="635"/>
      </w:r>
      <w:r>
        <w:rPr>
          <w:rFonts w:ascii="Amiri" w:hAnsi="Amiri" w:eastAsia="Amiri" w:cs="Amiri"/>
          <w:color w:val="111111"/>
          <w:sz w:val="28"/>
          <w:sz w:val="28"/>
          <w:szCs w:val="28"/>
          <w:rtl w:val="true"/>
          <w:lang w:bidi="ar-SA"/>
        </w:rPr>
        <w:t>في بعض كتبه، والمفيد</w:t>
      </w:r>
      <w:r>
        <w:rPr>
          <w:rStyle w:val="FootnoteAnchor"/>
          <w:rtl w:val="true"/>
        </w:rPr>
        <w:footnoteReference w:id="636"/>
      </w:r>
      <w:r>
        <w:rPr>
          <w:rFonts w:ascii="Amiri" w:hAnsi="Amiri" w:eastAsia="Amiri" w:cs="Amiri"/>
          <w:color w:val="111111"/>
          <w:sz w:val="28"/>
          <w:sz w:val="28"/>
          <w:szCs w:val="28"/>
          <w:rtl w:val="true"/>
          <w:lang w:bidi="ar-SA"/>
        </w:rPr>
        <w:t>، والسيّد</w:t>
      </w:r>
      <w:r>
        <w:rPr>
          <w:rStyle w:val="FootnoteAnchor"/>
          <w:rtl w:val="true"/>
        </w:rPr>
        <w:footnoteReference w:id="637"/>
      </w:r>
      <w:r>
        <w:rPr>
          <w:rFonts w:ascii="Amiri" w:hAnsi="Amiri" w:eastAsia="Amiri" w:cs="Amiri"/>
          <w:color w:val="111111"/>
          <w:sz w:val="28"/>
          <w:sz w:val="28"/>
          <w:szCs w:val="28"/>
          <w:rtl w:val="true"/>
          <w:lang w:bidi="ar-SA"/>
        </w:rPr>
        <w:t>، والديلمي</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إلى أنّ فيه الإرسال مطلقاً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الصدوقين</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إذا تحرّك، وبدونه فلكلّ بيضةٍ شاة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أوجب الشاة في إصابة البيضة</w:t>
      </w:r>
      <w:r>
        <w:rPr>
          <w:rStyle w:val="FootnoteAnchor"/>
          <w:rtl w:val="true"/>
        </w:rPr>
        <w:footnoteReference w:id="640"/>
      </w:r>
      <w:r>
        <w:rPr>
          <w:rFonts w:ascii="Amiri" w:hAnsi="Amiri" w:eastAsia="Amiri" w:cs="Amiri"/>
          <w:color w:val="111111"/>
          <w:sz w:val="28"/>
          <w:sz w:val="28"/>
          <w:szCs w:val="28"/>
          <w:rtl w:val="true"/>
          <w:lang w:bidi="ar-SA"/>
        </w:rPr>
        <w:t>، و الإرسال في الوطأ والفدغ</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المحدّثين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الإصابة باليد والكسر والأكل، ففيها البعير، وبين الوطأ فالكسر فالإرسال، وهو قريبٌ ممّا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وإنْ افترقا في الشاة والبعير</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مختلفة، وعلى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فيه البكرة مطلقاً، كصحيح سليمان بن خالد،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القطاة بكارة من الغنم إذ أصابه المُحرِم، مثل ما في بيض النعام بكارة من الإبل</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فيه الإرسال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آخر لسليمان،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وطأ بيض قطاة فشدخه‌؟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الفحل في عدد البيض من الغنم، كما يُرسل الفحل في عدد البيض من الإبل، ومن أصاب بيضة فعليه من الغنم</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بيض نعام وهو مُحرِم، فعليه أن يرسل الفحل في مثل عدد البيض من الإبل، فإنّه ربما فسد كلّه، وربما خلق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كلّه، وربما صلح بعضه وفسد بعضه، فما نتجت الإبل فهدياً بالغ الكعبة</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ومثلهما صحيحا الكناني</w:t>
      </w:r>
      <w:r>
        <w:rPr>
          <w:rStyle w:val="FootnoteAnchor"/>
          <w:rtl w:val="true"/>
        </w:rPr>
        <w:footnoteReference w:id="647"/>
      </w:r>
      <w:r>
        <w:rPr>
          <w:rFonts w:ascii="Amiri" w:hAnsi="Amiri" w:eastAsia="Amiri" w:cs="Amiri"/>
          <w:color w:val="111111"/>
          <w:sz w:val="28"/>
          <w:sz w:val="28"/>
          <w:szCs w:val="28"/>
          <w:rtl w:val="true"/>
          <w:lang w:bidi="ar-SA"/>
        </w:rPr>
        <w:t>وخبر علي بن أبي حمزة</w:t>
      </w:r>
      <w:r>
        <w:rPr>
          <w:rStyle w:val="FootnoteAnchor"/>
          <w:rtl w:val="true"/>
        </w:rPr>
        <w:footnoteReference w:id="648"/>
      </w:r>
      <w:r>
        <w:rPr>
          <w:rFonts w:ascii="Amiri" w:hAnsi="Amiri" w:eastAsia="Amiri" w:cs="Amiri"/>
          <w:color w:val="111111"/>
          <w:sz w:val="28"/>
          <w:sz w:val="28"/>
          <w:szCs w:val="28"/>
          <w:rtl w:val="true"/>
          <w:lang w:bidi="ar-SA"/>
        </w:rPr>
        <w:t xml:space="preserve">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المشهور بين الطائفتين بما أفتوا به، بشهادة صحيح علي 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كسر بيض نعام وفي البيض فراخ قد تحرّك‌؟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لكلّ فرخٍ قد تحرّك بعير ينحره في المنحر</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وأصحاب القول الثاني قدّموا الطائفة الثانية، لأكثريّة 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في بيضة النعامة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عبيدة،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مُحلّ اشترى لرجلٍ مُحرِمٍ بيض نعامة فأكله المُحرِم‌؟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اشتراه للمُحرم فداء، وعلى المُحرِم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المُحلّ جزاء قيمة البيض لكلّ بيضة درهم، وعلى المُحرِم لكلّ بيضة شاة</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بيضة النعام شاة، فإنْ لم يجد فصيام ثلاثة أيّام، فمن لم يستطع فكفّارته إطعام عشرة مساكين إذا أصابه وهو مُحرِم</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والصدوقان</w:t>
      </w:r>
      <w:r>
        <w:rPr>
          <w:rStyle w:val="FootnoteAnchor"/>
          <w:rtl w:val="true"/>
        </w:rPr>
        <w:footnoteReference w:id="653"/>
      </w:r>
      <w:r>
        <w:rPr>
          <w:rFonts w:ascii="Amiri" w:hAnsi="Amiri" w:eastAsia="Amiri" w:cs="Amiri"/>
          <w:color w:val="111111"/>
          <w:sz w:val="28"/>
          <w:sz w:val="28"/>
          <w:szCs w:val="28"/>
          <w:rtl w:val="true"/>
          <w:lang w:bidi="ar-SA"/>
        </w:rPr>
        <w:t>جمعاً بين هذه الطائفة وبين نصوص الإرسال بما أفتيا به</w:t>
      </w:r>
      <w:r>
        <w:rPr>
          <w:rStyle w:val="FootnoteAnchor"/>
          <w:rtl w:val="true"/>
        </w:rPr>
        <w:footnoteReference w:id="654"/>
      </w:r>
      <w:r>
        <w:rPr>
          <w:rFonts w:ascii="Amiri" w:hAnsi="Amiri" w:eastAsia="Amiri" w:cs="Amiri"/>
          <w:color w:val="111111"/>
          <w:sz w:val="28"/>
          <w:sz w:val="28"/>
          <w:szCs w:val="28"/>
          <w:rtl w:val="true"/>
          <w:lang w:bidi="ar-SA"/>
        </w:rPr>
        <w:t>، بشهادة خبر محمّد بن الفضل،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بيض نعام ذبح عن كلّ بيضةٍ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وطأ بعض نعام فقدغها</w:t>
      </w:r>
      <w:r>
        <w:rPr>
          <w:rStyle w:val="FootnoteAnchor"/>
          <w:rtl w:val="true"/>
        </w:rPr>
        <w:footnoteReference w:id="655"/>
      </w:r>
      <w:r>
        <w:rPr>
          <w:rFonts w:ascii="Amiri" w:hAnsi="Amiri" w:eastAsia="Amiri" w:cs="Amiri"/>
          <w:color w:val="111111"/>
          <w:sz w:val="28"/>
          <w:sz w:val="28"/>
          <w:szCs w:val="28"/>
          <w:rtl w:val="true"/>
          <w:lang w:bidi="ar-SA"/>
        </w:rPr>
        <w:t>وهو مُحرِم وفيها أفراخ تتحرّك، فعليه أن يرسل</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الرضوي</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إذا أصابها باليد وكسر وأكل فعليه بدنة، كصحيح أبان بن تغلب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 حاجّ مُحرِمين أصابوا أفراخ أنعام وأكلوا جميعاً؟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مكان كلّ فرخٍ أصابوه وأكلوه بدنة يشتركون فيهن، فيشترون على عدد الفراخ وعدد الرجال</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استند إليه صاحب القول الأخير</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الطائفتان الأخيرتان لشذوذ القائل بهما تُطرحان، فيبقى الكلام فيما يستفاد من الأولتين، والظاهر أنّ ما أفاده المشهور لا بأس به، فإنّه لو سُلّم التعارض بين الطائفتين الاولتين، وتقديم الثانية، لكن بما أنّ صحيح علي بن جعفر أخصّ منها فيقدّم، فالنتيجة تكون مطابقة لما عليه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عجز فعن كلّ بيضةٍ شاة، فإنْ عجز أطعم عشرة مساكين، فإنْ عجز صام ثلاثة أيّام،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 فعن كلّ بيضةٍ شاة، فإنْ عجز أطعم عشرة مساكين، فإنْ عجز صام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الاتّفاق عليه، ويشهد به خبر علي بن أبي حمزة،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أصاب بيض نعامٍ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الفحل في الإبل،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إبلاً فعليه لكلّ بيضةٍ شاة، فإنْ لم يجد تصدّق على عشرة مساكين لكلّ مسكينٍ مُدّ، فإنْ لم يقدر فصيام ثلاثة أيّام</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سنده لو كان، منجبرٌ بالعمل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Fonts w:eastAsia="IRNazanin" w:cs="IRNazanin"/>
          <w:color w:val="111111"/>
          <w:sz w:val="28"/>
          <w:szCs w:val="28"/>
          <w:rtl w:val="true"/>
          <w:lang w:bidi="fa-IR"/>
        </w:rPr>
        <w:t>:</w:t>
      </w:r>
      <w:r>
        <w:rPr>
          <w:rStyle w:val="FootnoteAnchor"/>
          <w:rtl w:val="true"/>
        </w:rPr>
        <w:footnoteReference w:id="662"/>
      </w:r>
      <w:r>
        <w:rPr>
          <w:rFonts w:ascii="Amiri" w:hAnsi="Amiri" w:eastAsia="Amiri" w:cs="Amiri"/>
          <w:color w:val="111111"/>
          <w:sz w:val="28"/>
          <w:sz w:val="28"/>
          <w:szCs w:val="28"/>
          <w:rtl w:val="true"/>
          <w:lang w:bidi="ar-SA"/>
        </w:rPr>
        <w:t>تقديم صيام ثلاثة أيّام على إطعام العشرة، لخبري أبي بصير وابن الفضيل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لعدم العمل بهما لا يُعتمد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زُهرة</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عدم ذكر الإطعام أصلاً، وهو ظاهر في عدم وجوبه، لكنّه محجوج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وجب عليه شاة، فلم يقدر عليها، أطعم عشرة مساكين، لكلّ مسكين نصف صاع</w:t>
      </w:r>
      <w:r>
        <w:rPr>
          <w:rStyle w:val="FootnoteAnchor"/>
          <w:rtl w:val="true"/>
        </w:rPr>
        <w:footnoteReference w:id="664"/>
      </w:r>
      <w:r>
        <w:rPr>
          <w:rFonts w:ascii="Amiri" w:hAnsi="Amiri" w:eastAsia="Amiri" w:cs="Amiri"/>
          <w:color w:val="111111"/>
          <w:sz w:val="28"/>
          <w:sz w:val="28"/>
          <w:szCs w:val="28"/>
          <w:rtl w:val="true"/>
          <w:lang w:bidi="ar-SA"/>
        </w:rPr>
        <w:t xml:space="preserve">، ولا دليل عليه، بل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 بكفاية المُدّ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52" w:name="pg11809_94511"/>
    </w:p>
    <w:p>
      <w:pPr>
        <w:pStyle w:val="BookText"/>
        <w:rPr/>
      </w:pPr>
      <w:bookmarkEnd w:id="152"/>
      <w:r>
        <w:rPr>
          <w:rFonts w:ascii="Amiri" w:hAnsi="Amiri" w:eastAsia="Amiri" w:cs="Amiri"/>
          <w:color w:val="111111"/>
          <w:sz w:val="28"/>
          <w:sz w:val="28"/>
          <w:szCs w:val="28"/>
          <w:rtl w:val="true"/>
          <w:lang w:bidi="ar-SA"/>
        </w:rPr>
        <w:t>وفي بيض القطاة والقَبج إذا تحرّك الفرخ، لكلّ بيضةٍ من صغار الغنم،</w:t>
      </w:r>
    </w:p>
    <w:p>
      <w:pPr>
        <w:pStyle w:val="Heading3"/>
        <w:numPr>
          <w:ilvl w:val="2"/>
          <w:numId w:val="1"/>
        </w:numPr>
        <w:rPr/>
      </w:pPr>
      <w:bookmarkStart w:id="153" w:name="__RefHeading___Toc10723891_73709187"/>
      <w:bookmarkStart w:id="154" w:name="_Toc52"/>
      <w:bookmarkEnd w:id="153"/>
      <w:r>
        <w:rPr>
          <w:rtl w:val="true"/>
        </w:rPr>
        <w:t>كفّارة بيض القطاة</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 القطاة والقَبْج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وهو الحَجَل، والدُّراج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تحرّك الفرخ، لكلّ بيضةٍ من صغار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6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667"/>
      </w:r>
      <w:r>
        <w:rPr>
          <w:rFonts w:ascii="Amiri" w:hAnsi="Amiri" w:eastAsia="Amiri" w:cs="Amiri"/>
          <w:color w:val="111111"/>
          <w:sz w:val="28"/>
          <w:sz w:val="28"/>
          <w:szCs w:val="28"/>
          <w:rtl w:val="true"/>
          <w:lang w:bidi="ar-SA"/>
        </w:rPr>
        <w:t xml:space="preserve">مع عدم ذكر الدُّراج، بل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مع الاقتصار على القطاة وذكر البكارة من الغنم، لكن الظاهر إرادة الصغار منها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669"/>
      </w:r>
      <w:r>
        <w:rPr>
          <w:rFonts w:ascii="Amiri" w:hAnsi="Amiri" w:eastAsia="Amiri" w:cs="Amiri"/>
          <w:color w:val="111111"/>
          <w:sz w:val="28"/>
          <w:sz w:val="28"/>
          <w:szCs w:val="28"/>
          <w:rtl w:val="true"/>
          <w:lang w:bidi="ar-SA"/>
        </w:rPr>
        <w:t>وابني حمزة</w:t>
      </w:r>
      <w:r>
        <w:rPr>
          <w:rStyle w:val="FootnoteAnchor"/>
          <w:rtl w:val="true"/>
        </w:rPr>
        <w:footnoteReference w:id="670"/>
      </w:r>
      <w:r>
        <w:rPr>
          <w:rFonts w:ascii="Amiri" w:hAnsi="Amiri" w:eastAsia="Amiri" w:cs="Amiri"/>
          <w:color w:val="111111"/>
          <w:sz w:val="28"/>
          <w:sz w:val="28"/>
          <w:szCs w:val="28"/>
          <w:rtl w:val="true"/>
          <w:lang w:bidi="ar-SA"/>
        </w:rPr>
        <w:t>وإدريس</w:t>
      </w:r>
      <w:r>
        <w:rPr>
          <w:rStyle w:val="FootnoteAnchor"/>
          <w:rtl w:val="true"/>
        </w:rPr>
        <w:footnoteReference w:id="671"/>
      </w:r>
      <w:r>
        <w:rPr>
          <w:rFonts w:ascii="Amiri" w:hAnsi="Amiri" w:eastAsia="Amiri" w:cs="Amiri"/>
          <w:color w:val="111111"/>
          <w:sz w:val="28"/>
          <w:sz w:val="28"/>
          <w:szCs w:val="28"/>
          <w:rtl w:val="true"/>
          <w:lang w:bidi="ar-SA"/>
        </w:rPr>
        <w:t xml:space="preserve">عن البيضة مخاضٌ من الغنم، أي ما من شأنه أنْ يكون حاملاً، بل 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وهناك أقوالٌ اُخر</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ملاحظة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القطاة كفّارة، مثل ما في بيض النعام</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منه إرادة المماثلة في الكيفيّة لا في جنس الكفّارة، كما يشهد به نصوصه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أيضاً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وطيء بيض القطاة فشدخه‌؟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الفحل في عدد البيض من الغنم، كما يُرسل الفحل في عدد البيض من الإبل، ومن أصاب بيضة فعليه مخاض من الغنم</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الفضيل المتقدّم وفي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وطأ بيض قطاة فشدخه، فعليه أن يُرسل فحولة من الغنم على عددها من الإناث بقدر عدد البيض، فما سَلُم فهو هَدي لبيت اللّه الحرام</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رباط، عن بعض أصحابه، عن الإمام الصادق عليه 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بيض القطاة‌؟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فيه الغنم كما يصنع في بيض النعام في الإبل</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لم يتحرّك، أرسل فحولة الغنم في إناثٍ بعددها،</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الوطأ يرسل فحولة من الغنم، ومع غيره من وجوه الإصابة، فيه مخاضٌ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بضميمة ما تقدّم في بيض النعامة، يدلّ على أنّ لكلّ بيضةٍ بكرة من الغنم، فبالنسبة إلى خصوص الوطأ يقيّد إطلاقه بالنصوص الاُخر، وبالنسبة إلى غيره من وجوه الإصابة يجمع بالبناء على التخيّير، فيكون الحكم مع الوطأ هو الإرسال مطلقاً، وبغيره من وجوه الإصابة التخيّير بين البكرة والمخاض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التخصيص بخصوص البكرة في غير صورة الوطأ، لخصوصيّة خبرها ببيض القطاة، وعموم رواية المخاض، وإنْ كان صدرها مخصوصاً بالقطاة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يظهر ما في كلمات القوم، سيّما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هذه النصوص في بيض القطاة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بيض القَبْج والدجاج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نعثر على رواية فيهما، ولكن ظاهر الأصحاب إلحاقهما ببيض القطاة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البيض ذي الفرخ المتحرّك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فحولة الغنم في إناث بعددها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لمرسل ابن رباط المتقدّم، بضميمة ما مرّ في بيض النعامة، بل وسائر النصوص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والناتج هديٌ للبيت، ولو عجز كان كبيض النعام،</w:t>
      </w:r>
    </w:p>
    <w:p>
      <w:pPr>
        <w:pStyle w:val="BookText"/>
        <w:rPr/>
      </w:pPr>
      <w:r>
        <w:rPr>
          <w:rFonts w:ascii="Amiri" w:hAnsi="Amiri" w:eastAsia="Amiri" w:cs="Amiri"/>
          <w:color w:val="111111"/>
          <w:sz w:val="28"/>
          <w:sz w:val="28"/>
          <w:szCs w:val="28"/>
          <w:rtl w:val="true"/>
          <w:lang w:bidi="ar-SA"/>
        </w:rPr>
        <w:t xml:space="preserve">المتقدّمة، كما أنّ خبر محمّد بن الفضيل دالٌّ على ما 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الناتج هديٌ للبيت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خلوّ النصوص عن ذكر كونه هدياً لبيت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عجز كان كبيض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86"/>
      </w:r>
      <w:r>
        <w:rPr>
          <w:rFonts w:ascii="Amiri" w:hAnsi="Amiri" w:eastAsia="Amiri" w:cs="Amiri"/>
          <w:color w:val="111111"/>
          <w:sz w:val="28"/>
          <w:sz w:val="28"/>
          <w:szCs w:val="28"/>
          <w:rtl w:val="true"/>
          <w:lang w:bidi="ar-SA"/>
        </w:rPr>
        <w:t>، وظاهر العبارة ما صرّح به الحِلّي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ومعناه أنّ النعام إذا كسر بيضه، فتعذّر الإرسال، وجبَ في كلّ بيضةٍ شاة، والقطا إذا كسر بيضة فتعذّر إرسال الغنم، وجبَ في كلّ بيضة شاة</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يجد أطعم عن كلّ بيضةٍ عشرة مساكين، فإنْ عجز صام عن كلّ بيضةٍ ثلاثة أيّام</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القطاة كفّارة مثل ما في بيض النعام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المحقّق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 والمصنّف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شمول التشبيه لمثل ذلك، بل غايته أنّ في بيض القطاة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كفّارة، كما تجب في بيض النعامة، وذلك لا يقتضي المساواة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بأنّهما ومن تبعهما أفتوا بالانتقال مع العجز إلى الإطعام ثمّ إلى الصيام، إذ لا وجه له سوى استفادة ذلك من المماثلة في الصحيح، فإنّ الروايات الاُخر ظاهرة في المساواة لبيض النعام بالنسبة إلى خصوص البدل من الانعام، ففي المتحرّك البكارة، وفي غير المتحرّك الإرسال، فلا محالة كان بنائهم على شمول المساواة في الصحيح للابدال ومنها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آخر،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في ذلك تردّد، فإنّ الشاة تجبُ مع تحرّك الفرخ لا غير، بل ولا تجبُ شاة كاملة بل صغيرة على ما بيّنا، فكيف تجبُ الشاة الكاملة مع عدم التحرّك، وإمكان فساده، وعدم خروج الفرخ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إيجاب الأقوى مع العجز،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غير معقول</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الاستبعاد لا يصلح مانعاً عن العمل بالظهور، وعدم المعقوليّة لا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الاستبعاد، فإنّ الشاة وإنْ كانت أقوى بالنسبة ولكن الإرسال أشقّ منها على الحاجّ‌، لأنّه يتوقّف على الانتظار حتّى تلد ثمّ يهديها إلى البيت الحرام، بخلاف ذبح الشاة وتفريق لحمها على فقراء الحرم، فإنّه سهل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الشيخان هو الصحيح</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55" w:name="pg11809_94516"/>
    </w:p>
    <w:p>
      <w:pPr>
        <w:pStyle w:val="BookText"/>
        <w:rPr/>
      </w:pPr>
      <w:bookmarkEnd w:id="155"/>
      <w:r>
        <w:rPr>
          <w:rFonts w:ascii="Amiri" w:hAnsi="Amiri" w:eastAsia="Amiri" w:cs="Amiri"/>
          <w:color w:val="111111"/>
          <w:sz w:val="28"/>
          <w:sz w:val="28"/>
          <w:szCs w:val="28"/>
          <w:rtl w:val="true"/>
          <w:lang w:bidi="ar-SA"/>
        </w:rPr>
        <w:t>وفي الحمامة</w:t>
      </w:r>
    </w:p>
    <w:p>
      <w:pPr>
        <w:pStyle w:val="Heading3"/>
        <w:numPr>
          <w:ilvl w:val="2"/>
          <w:numId w:val="1"/>
        </w:numPr>
        <w:rPr/>
      </w:pPr>
      <w:bookmarkStart w:id="156" w:name="__RefHeading___Toc10723893_73709187"/>
      <w:bookmarkStart w:id="157" w:name="_Toc53"/>
      <w:bookmarkEnd w:id="156"/>
      <w:r>
        <w:rPr>
          <w:rtl w:val="true"/>
        </w:rPr>
        <w:t>كفّارة الحمامة</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طيرٍ مطوّق بطوقٍ أخضر أو أحمر أو أسود محيطة بعنقه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للثعالبي،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يعبّ الماء ويشربه كرعاً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يضع منقاره في الماء ويشرب وهو واضع له فيه، لا بأن يأخذ الماء بمنقاره قطرة قطرة ويبلعها بعد إخراجه كالدّجاجة والعصفور،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العرب تُسمّي كلّ مطوّقٍ 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وظاهره أنّ المراد به هنا ذلك، وإنْ لم يكن في اللّغة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الحمامة هي المطوّقة أو ما تعبّ‌</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التفاوت بينهما قليل، أو منتفٍ‌</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الحمام كلّ مطوّقٍ‌، أو ما يهدر أي يرجع صوته، أو يعبّ أي يشرب كرعاً</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النزاع لا يترتّب عليه أثر، لشمول النصوص للحمامة بكلا معنييها كما ستقف عليه، فلا حاجة إلى البحث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فلو قتلها يجبُ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المُحرِم في الحِلّ على المشهور بين الأصحاب</w:t>
      </w:r>
      <w:r>
        <w:rPr>
          <w:rStyle w:val="FootnoteAnchor"/>
          <w:rtl w:val="true"/>
        </w:rPr>
        <w:footnoteReference w:id="701"/>
      </w:r>
      <w:r>
        <w:rPr>
          <w:rFonts w:ascii="Amiri" w:hAnsi="Amiri" w:eastAsia="Amiri" w:cs="Amiri"/>
          <w:color w:val="111111"/>
          <w:sz w:val="28"/>
          <w:sz w:val="28"/>
          <w:szCs w:val="28"/>
          <w:rtl w:val="true"/>
          <w:lang w:bidi="ar-SA"/>
        </w:rPr>
        <w:t>، وعن غير واحدٍ دعوى الإجماع عليه</w:t>
      </w:r>
      <w:r>
        <w:rPr>
          <w:rStyle w:val="FootnoteAnchor"/>
          <w:rtl w:val="true"/>
        </w:rPr>
        <w:footnoteReference w:id="702"/>
      </w:r>
      <w:r>
        <w:rPr>
          <w:rFonts w:ascii="Amiri" w:hAnsi="Amiri" w:eastAsia="Amiri" w:cs="Amiri"/>
          <w:color w:val="111111"/>
          <w:sz w:val="28"/>
          <w:sz w:val="28"/>
          <w:szCs w:val="28"/>
          <w:rtl w:val="true"/>
          <w:lang w:bidi="ar-SA"/>
        </w:rPr>
        <w:t>، ويشهد به طائفتان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خصوص الحمامة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أصاب حمامة ففيها شاة، وإنْ قتل فراخه ففيه حمل، وإنْ وطأ البيض فعليه درهم</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في حمام مكّة الطير الأهلي من غير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ذبح طيراً منه وهو غير مُحرِم، فعليه أن يتصدّق بصدقة أفضل من ثمنه، فإنْ كان مُحرِماً فشاة عن كلّ طير</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فرخها حَملٌ‌،</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شاةٍ في كلّ 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الكناني،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الحمام وأشباهها إنْ قتله المُحرِم شاةٌ‌، وإنْ كان فراخاً فعِدلها من الحملان</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وإبراهيم بن عُمر،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أغلق بابه على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أغلق الباب بعدما أحرم فعليه شاة، وأنّ عليه لكلّ طائر شاة، ولكلّ فرخ حملاً، وإنْ لم يكن تحرّك فدرهم، وللبيض نصف درهم</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تعارض بين الطائفتين، لكونهما متوافقتين،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لا يبعد أن يراد من الطير خصوص الحمام، لأنّه المعنون في كلمات الفقهاء</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من الغرائب، وعليه فالأظهر هو التعميم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النصوص المتقدّمة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فرخها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كما هو المشهور بين الأصحاب</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بيضها درهم</w:t>
      </w:r>
    </w:p>
    <w:p>
      <w:pPr>
        <w:pStyle w:val="BookText"/>
        <w:rPr/>
      </w:pPr>
      <w:r>
        <w:rPr>
          <w:rFonts w:ascii="Amiri" w:hAnsi="Amiri" w:eastAsia="Amiri" w:cs="Amiri"/>
          <w:color w:val="111111"/>
          <w:sz w:val="28"/>
          <w:sz w:val="28"/>
          <w:szCs w:val="28"/>
          <w:rtl w:val="true"/>
          <w:lang w:bidi="ar-SA"/>
        </w:rPr>
        <w:t xml:space="preserve">وعن جماعةٍ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توصيفه بأن يكون فطم ورعى الشجر</w:t>
      </w:r>
      <w:r>
        <w:rPr>
          <w:rStyle w:val="FootnoteAnchor"/>
          <w:rtl w:val="true"/>
        </w:rPr>
        <w:footnoteReference w:id="709"/>
      </w:r>
      <w:r>
        <w:rPr>
          <w:rFonts w:ascii="Amiri" w:hAnsi="Amiri" w:eastAsia="Amiri" w:cs="Amiri"/>
          <w:color w:val="111111"/>
          <w:sz w:val="28"/>
          <w:sz w:val="28"/>
          <w:szCs w:val="28"/>
          <w:rtl w:val="true"/>
          <w:lang w:bidi="ar-SA"/>
        </w:rPr>
        <w:t>، ولعلّه من جهة أنّ الحَمَل لا يكون إلّاكذلك، وقد نقل عن غير واحدٍ من أهل اللّغة وكتب الفقه أنّ حدّه أن يكمل له أربعة أشهر</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فرخاً فجديٌ أو حَمَلٌ صغير من الضأن</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فلعدم عمل الأصحاب به لبنائهم على تعيّن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اجتزي بالجَدْي</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ذلك من الأقوال</w:t>
      </w:r>
      <w:r>
        <w:rPr>
          <w:rStyle w:val="FootnoteAnchor"/>
          <w:rtl w:val="true"/>
        </w:rPr>
        <w:footnoteReference w:id="713"/>
      </w:r>
      <w:r>
        <w:rPr>
          <w:rFonts w:ascii="Amiri" w:hAnsi="Amiri" w:eastAsia="Amiri" w:cs="Amiri"/>
          <w:color w:val="111111"/>
          <w:sz w:val="28"/>
          <w:sz w:val="28"/>
          <w:szCs w:val="28"/>
          <w:rtl w:val="true"/>
          <w:lang w:bidi="ar-SA"/>
        </w:rPr>
        <w:t>المنقولة في المقام، فإنْ رَجَعتْ إلى ما هو المشهور</w:t>
      </w:r>
      <w:r>
        <w:rPr>
          <w:rStyle w:val="FootnoteAnchor"/>
          <w:rtl w:val="true"/>
        </w:rPr>
        <w:footnoteReference w:id="714"/>
      </w:r>
      <w:r>
        <w:rPr>
          <w:rFonts w:ascii="Amiri" w:hAnsi="Amiri" w:eastAsia="Amiri" w:cs="Amiri"/>
          <w:color w:val="111111"/>
          <w:sz w:val="28"/>
          <w:sz w:val="28"/>
          <w:szCs w:val="28"/>
          <w:rtl w:val="true"/>
          <w:lang w:bidi="ar-SA"/>
        </w:rPr>
        <w:t>فلا كلام، وإلّا فهي محجوجة بالنصوص</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الفرخ الحَمل، وإنْ لم يتحرّك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في بيضها مطلقاً درهم، كحسن حريز المتقدّم، وكذا صحيحه الآخر في مطلق البيض،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وطأ المُحرِم بيضةًوكسرها فعليه درهم، كلّهذا يتصدّق به بمكّة ومنى</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في بيضها نصف درهم، كخبر يونس بن يعقوب،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أغلق بابه على حمامٍ من حمام الحرم وفراخ وبيض‌؟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أغلق عليها قبل أن يحرم، فإنّ عليه لكلّ طيرٍ درهم، ولكلّ فرخٍ نصف درهم، ولكلّ بيضةٍ ربع درهم، وإنْ كان أغلق عليها بعد أن يحرم، فإنّ عليه لكلّ طائر شاة، ولكلّ فرخٍ حَمَلاً، وإنْ لم يكن تحرّك فدرهم، وللبيض نصف درهم</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فيه ربع درهم، كخبر محمّد بن الفضيل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إن تحرّك فعليه شاة، كصحيح علي 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كلّ فرخٍ قد تحرّك بشاة، ويتصدّق بلحومها إنْ كان مُحرِماً، وإنْ كان الفرخ لم يتحرّك تصدّق بقيمته وَرِقاً يشتري به علفاً يطرحه لحمام الحرم</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فيه من الشاة محمولٌ على إرادة الحَمَل بقرينه ما تقدّم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خبر رُبع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المُحِلّ في الحَرم عن الحمامة درهم، وعن الفرخ نصف، وعن البيضة ربع،</w:t>
      </w:r>
    </w:p>
    <w:p>
      <w:pPr>
        <w:pStyle w:val="BookText"/>
        <w:rPr/>
      </w:pPr>
      <w:r>
        <w:rPr>
          <w:rFonts w:ascii="Amiri" w:hAnsi="Amiri" w:eastAsia="Amiri" w:cs="Amiri"/>
          <w:color w:val="111111"/>
          <w:sz w:val="28"/>
          <w:sz w:val="28"/>
          <w:szCs w:val="28"/>
          <w:rtl w:val="true"/>
          <w:lang w:bidi="ar-SA"/>
        </w:rPr>
        <w:t>إنّ البيض إنْ كان فيه فرخ تحرّك، ففيه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فيه فرخٌ لم يتحرّك ففيه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فيه فرخ، ففيه نصف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ربع الدرهم فهو إمّا مختصٌّ بالمُحِلّ في الحرم، أو عامٌ له فيقيّد به لنصوص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المُحلّ في الحرم عن الحمامة درهم، وعن الفرخ نصف، وعن البيضة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بذلك كلّه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بن البختري،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الحمام درهم، وفي الفرخ نصف درهم، وفي البيضة ربع درهم</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 عبد الرحمن بن الحجّاج</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طيراً في الحرم وهو مُحِلّ فعليه القيمة، والقيمة درهم يشتري علفاً لحمام الحرم</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فضيل،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حمامة من حمام الحرم وهو غير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قيمتها وهو درهم يتصدّق به، أو يشتري طعاماً لحمام الحرم</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فيه، إلّافي أنّه هل يجبُ الدرهم في قتل الحمامة وإنْ كانت قيمته أزيد، أم تجب القيمة وإنْ زادت على الدرهم، أم أقلّهما أم أكثرهما؟</w:t>
      </w:r>
    </w:p>
    <w:p>
      <w:pPr>
        <w:pStyle w:val="BookText"/>
        <w:rPr/>
      </w:pPr>
      <w:r>
        <w:rPr>
          <w:rFonts w:ascii="Amiri" w:hAnsi="Amiri" w:eastAsia="Amiri" w:cs="Amiri"/>
          <w:color w:val="111111"/>
          <w:sz w:val="28"/>
          <w:sz w:val="28"/>
          <w:szCs w:val="28"/>
          <w:rtl w:val="true"/>
          <w:lang w:bidi="ar-SA"/>
        </w:rPr>
        <w:t>المشهور بين الأصحاب</w:t>
      </w:r>
      <w:r>
        <w:rPr>
          <w:rStyle w:val="FootnoteAnchor"/>
          <w:rtl w:val="true"/>
        </w:rPr>
        <w:footnoteReference w:id="723"/>
      </w:r>
      <w:r>
        <w:rPr>
          <w:rFonts w:ascii="Amiri" w:hAnsi="Amiri" w:eastAsia="Amiri" w:cs="Amiri"/>
          <w:color w:val="111111"/>
          <w:sz w:val="28"/>
          <w:sz w:val="28"/>
          <w:szCs w:val="28"/>
          <w:rtl w:val="true"/>
          <w:lang w:bidi="ar-SA"/>
        </w:rPr>
        <w:t xml:space="preserve">هو الأوّل،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الثاني</w:t>
      </w:r>
      <w:r>
        <w:rPr>
          <w:rStyle w:val="FootnoteAnchor"/>
          <w:rtl w:val="true"/>
        </w:rPr>
        <w:footnoteReference w:id="724"/>
      </w:r>
      <w:r>
        <w:rPr>
          <w:rFonts w:ascii="Amiri" w:hAnsi="Amiri" w:eastAsia="Amiri" w:cs="Amiri"/>
          <w:color w:val="111111"/>
          <w:sz w:val="28"/>
          <w:sz w:val="28"/>
          <w:szCs w:val="28"/>
          <w:rtl w:val="true"/>
          <w:lang w:bidi="ar-SA"/>
        </w:rPr>
        <w:t>، وعن بعضٍ اختيار الأخير</w:t>
      </w:r>
      <w:r>
        <w:rPr>
          <w:rStyle w:val="FootnoteAnchor"/>
          <w:rtl w:val="true"/>
        </w:rPr>
        <w:footnoteReference w:id="725"/>
      </w:r>
      <w:r>
        <w:rPr>
          <w:rFonts w:ascii="IRNazanin" w:hAnsi="IRNazanin" w:eastAsia="IRNazanin"/>
          <w:color w:val="111111"/>
          <w:sz w:val="28"/>
          <w:sz w:val="28"/>
          <w:szCs w:val="28"/>
          <w:rtl w:val="true"/>
          <w:lang w:bidi="fa-IR"/>
        </w:rPr>
        <w:t>، ولم أظفر بقائل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ناصٍّ على الدرهم، ومصرّح بالقيمة مفسّراً لها به وغير مفسّر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وناصٍّ على الدرهم وشبهه، وعلى مثل الثمن، وعلى أفضل من الثمن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من المعلوم أنّ الأخبار المفسّرة ليست في مقام بيان القيمة السوقيّة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ذلك شأن الإمام، وأيضاً من المستبعد جدّاً تقويم الحمامة بجميع أنواعها وأصنافها وألوانها به عند جميع المقوّمين لها، ولو بمكّة خاصّة، سيّما في جميع أعصار الأئمّة الصادرة منهم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تكون النصوص في مقام بيان تقويم شرعي ليضبط، وعليه فيتعيّن الدرهم مطلقاً، كما أفتى به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ويجتمعان على المُحرِم في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ويجتمعان على المُحرِم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w:t>
      </w:r>
      <w:r>
        <w:rPr>
          <w:rStyle w:val="FootnoteAnchor"/>
          <w:rtl w:val="true"/>
        </w:rPr>
        <w:footnoteReference w:id="726"/>
      </w:r>
      <w:r>
        <w:rPr>
          <w:rFonts w:ascii="Amiri" w:hAnsi="Amiri" w:eastAsia="Amiri" w:cs="Amiri"/>
          <w:color w:val="111111"/>
          <w:sz w:val="28"/>
          <w:sz w:val="28"/>
          <w:szCs w:val="28"/>
          <w:rtl w:val="true"/>
          <w:lang w:bidi="ar-SA"/>
        </w:rPr>
        <w:t>، بل عن القاضي</w:t>
      </w:r>
      <w:r>
        <w:rPr>
          <w:rStyle w:val="FootnoteAnchor"/>
          <w:rtl w:val="true"/>
        </w:rPr>
        <w:footnoteReference w:id="727"/>
      </w:r>
      <w:r>
        <w:rPr>
          <w:rFonts w:ascii="Amiri" w:hAnsi="Amiri" w:eastAsia="Amiri" w:cs="Amiri"/>
          <w:color w:val="111111"/>
          <w:sz w:val="28"/>
          <w:sz w:val="28"/>
          <w:szCs w:val="28"/>
          <w:rtl w:val="true"/>
          <w:lang w:bidi="ar-SA"/>
        </w:rPr>
        <w:t>الإجماع عليه، ويشهد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صحيحه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قتل المُحرِم حمامةً في الحرم، فعليه شاة، وثمن الحمامة درهم أو شبهه يتصدّق به، أو يطعمه حمامة مكّة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وسيأتي الكلام في هذه المسألة مفصّلاً، فانتظر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58" w:name="pg11809_94524"/>
    </w:p>
    <w:p>
      <w:pPr>
        <w:pStyle w:val="BookText"/>
        <w:rPr/>
      </w:pPr>
      <w:bookmarkEnd w:id="158"/>
      <w:r>
        <w:rPr>
          <w:rFonts w:ascii="Amiri" w:hAnsi="Amiri" w:eastAsia="Amiri" w:cs="Amiri"/>
          <w:color w:val="111111"/>
          <w:sz w:val="28"/>
          <w:sz w:val="28"/>
          <w:szCs w:val="28"/>
          <w:rtl w:val="true"/>
          <w:lang w:bidi="ar-SA"/>
        </w:rPr>
        <w:t>وفي الضّب والقُنفذ واليَربوع جَدْي،</w:t>
      </w:r>
    </w:p>
    <w:p>
      <w:pPr>
        <w:pStyle w:val="Heading3"/>
        <w:numPr>
          <w:ilvl w:val="2"/>
          <w:numId w:val="1"/>
        </w:numPr>
        <w:rPr/>
      </w:pPr>
      <w:bookmarkStart w:id="159" w:name="__RefHeading___Toc10723895_73709187"/>
      <w:bookmarkStart w:id="160" w:name="_Toc54"/>
      <w:bookmarkEnd w:id="159"/>
      <w:r>
        <w:rPr>
          <w:rtl w:val="true"/>
        </w:rPr>
        <w:t>الضّب والقُنفذ</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كلّ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 والقُنفذ واليَربوع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حَمَلاً قد فطم ورعى من الشَّجر</w:t>
      </w:r>
      <w:r>
        <w:rPr>
          <w:rStyle w:val="FootnoteAnchor"/>
          <w:rtl w:val="true"/>
        </w:rPr>
        <w:footnoteReference w:id="730"/>
      </w:r>
      <w:r>
        <w:rPr>
          <w:rFonts w:ascii="Amiri" w:hAnsi="Amiri" w:eastAsia="Amiri" w:cs="Amiri"/>
          <w:color w:val="111111"/>
          <w:sz w:val="28"/>
          <w:sz w:val="28"/>
          <w:szCs w:val="28"/>
          <w:rtl w:val="true"/>
          <w:lang w:bidi="ar-SA"/>
        </w:rPr>
        <w:t>، بل عن ابن زُهرة الإجماع عليه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اليَربوع والقُنفذ والضّب إذا أصابه المُحرِم، فعليه جَدْي، والجَدْي خيرٌ منه، وإنّما جعل هذا لكي ينكل عن فعل غيره من الصيد</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يدلّ عليه دليل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المحقّقين منهم السيّد</w:t>
      </w:r>
      <w:r>
        <w:rPr>
          <w:rStyle w:val="FootnoteAnchor"/>
          <w:rtl w:val="true"/>
        </w:rPr>
        <w:footnoteReference w:id="733"/>
      </w:r>
      <w:r>
        <w:rPr>
          <w:rFonts w:ascii="Amiri" w:hAnsi="Amiri" w:eastAsia="Amiri" w:cs="Amiri"/>
          <w:color w:val="111111"/>
          <w:sz w:val="28"/>
          <w:sz w:val="28"/>
          <w:szCs w:val="28"/>
          <w:rtl w:val="true"/>
          <w:lang w:bidi="ar-SA"/>
        </w:rPr>
        <w:t>، والشيخان</w:t>
      </w:r>
      <w:r>
        <w:rPr>
          <w:rStyle w:val="FootnoteAnchor"/>
          <w:rtl w:val="true"/>
        </w:rPr>
        <w:footnoteReference w:id="734"/>
      </w:r>
      <w:r>
        <w:rPr>
          <w:rFonts w:ascii="Amiri" w:hAnsi="Amiri" w:eastAsia="Amiri" w:cs="Amiri"/>
          <w:color w:val="111111"/>
          <w:sz w:val="28"/>
          <w:sz w:val="28"/>
          <w:szCs w:val="28"/>
          <w:rtl w:val="true"/>
          <w:lang w:bidi="ar-SA"/>
        </w:rPr>
        <w:t>، وابن إدريس</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وفي القَطاة، والدُّراج وشبهه حَمَلٌ فاطم،</w:t>
      </w:r>
    </w:p>
    <w:p>
      <w:pPr>
        <w:pStyle w:val="BookText"/>
        <w:rPr/>
      </w:pPr>
      <w:r>
        <w:rPr>
          <w:rFonts w:ascii="Amiri" w:hAnsi="Amiri" w:eastAsia="Amiri" w:cs="Amiri"/>
          <w:color w:val="111111"/>
          <w:sz w:val="28"/>
          <w:sz w:val="28"/>
          <w:szCs w:val="28"/>
          <w:rtl w:val="true"/>
          <w:lang w:bidi="ar-SA"/>
        </w:rPr>
        <w:t>وابن حمزة</w:t>
      </w:r>
      <w:r>
        <w:rPr>
          <w:rStyle w:val="FootnoteAnchor"/>
          <w:rtl w:val="true"/>
        </w:rPr>
        <w:footnoteReference w:id="736"/>
      </w:r>
      <w:r>
        <w:rPr>
          <w:rFonts w:ascii="Amiri" w:hAnsi="Amiri" w:eastAsia="Amiri" w:cs="Amiri"/>
          <w:color w:val="111111"/>
          <w:sz w:val="28"/>
          <w:sz w:val="28"/>
          <w:szCs w:val="28"/>
          <w:rtl w:val="true"/>
          <w:lang w:bidi="ar-SA"/>
        </w:rPr>
        <w:t>وابن سعيد</w:t>
      </w:r>
      <w:r>
        <w:rPr>
          <w:rStyle w:val="FootnoteAnchor"/>
          <w:rtl w:val="true"/>
        </w:rPr>
        <w:footnoteReference w:id="737"/>
      </w:r>
      <w:r>
        <w:rPr>
          <w:rFonts w:ascii="Amiri" w:hAnsi="Amiri" w:eastAsia="Amiri" w:cs="Amiri"/>
          <w:color w:val="111111"/>
          <w:sz w:val="28"/>
          <w:sz w:val="28"/>
          <w:szCs w:val="28"/>
          <w:rtl w:val="true"/>
          <w:lang w:bidi="ar-SA"/>
        </w:rPr>
        <w:t>، والمحقّق الثاني</w:t>
      </w:r>
      <w:r>
        <w:rPr>
          <w:rStyle w:val="FootnoteAnchor"/>
          <w:rtl w:val="true"/>
        </w:rPr>
        <w:footnoteReference w:id="738"/>
      </w:r>
      <w:r>
        <w:rPr>
          <w:rFonts w:ascii="Amiri" w:hAnsi="Amiri" w:eastAsia="Amiri" w:cs="Amiri"/>
          <w:color w:val="111111"/>
          <w:sz w:val="28"/>
          <w:sz w:val="28"/>
          <w:szCs w:val="28"/>
          <w:rtl w:val="true"/>
          <w:lang w:bidi="ar-SA"/>
        </w:rPr>
        <w:t>، والفاضل النراقي</w:t>
      </w:r>
      <w:r>
        <w:rPr>
          <w:rStyle w:val="FootnoteAnchor"/>
          <w:rtl w:val="true"/>
        </w:rPr>
        <w:footnoteReference w:id="739"/>
      </w:r>
      <w:r>
        <w:rPr>
          <w:rFonts w:ascii="Amiri" w:hAnsi="Amiri" w:eastAsia="Amiri" w:cs="Amiri"/>
          <w:color w:val="111111"/>
          <w:sz w:val="28"/>
          <w:sz w:val="28"/>
          <w:szCs w:val="28"/>
          <w:rtl w:val="true"/>
          <w:lang w:bidi="ar-SA"/>
        </w:rPr>
        <w:t>وغيرهم، ألحقوا أشباهها بها، واستدلّ له بالتعليل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جُعل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إثبات حكم تعبّدي شرعي بمثل ذلك في غاية الإشكال، وعليه فالأظهر عدم الالحاق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الذَّكر من أوّلاًد المَعْز في السَّنة الأُولى‌،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ما تضعه اُمّه إلى أن يرعى ويقوى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الكاتب</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 يساعده</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أربعة أشهر إلى أن يرعى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السامي</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ابن ستّة أشهر أو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الثاني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القطاة</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والقَبْج وهو الحَجَل</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والدُّراج</w:t>
      </w:r>
      <w:r>
        <w:rPr>
          <w:rStyle w:val="FootnoteAnchor"/>
          <w:rtl w:val="true"/>
        </w:rPr>
        <w:footnoteReference w:id="746"/>
      </w:r>
      <w:r>
        <w:rPr>
          <w:rFonts w:ascii="IRNazanin" w:hAnsi="IRNazanin" w:eastAsia="IRNazanin"/>
          <w:color w:val="111111"/>
          <w:sz w:val="28"/>
          <w:sz w:val="28"/>
          <w:szCs w:val="28"/>
          <w:rtl w:val="true"/>
          <w:lang w:bidi="fa-IR"/>
        </w:rPr>
        <w:t>وشبهه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حَمَلٌ فاطم، وفي العصفور والقنبرة</w:t>
      </w:r>
    </w:p>
    <w:p>
      <w:pPr>
        <w:pStyle w:val="BookText"/>
        <w:rPr/>
      </w:pPr>
      <w:r>
        <w:rPr>
          <w:rFonts w:ascii="Amiri" w:hAnsi="Amiri" w:eastAsia="Amiri" w:cs="Amiri"/>
          <w:color w:val="111111"/>
          <w:sz w:val="28"/>
          <w:sz w:val="28"/>
          <w:szCs w:val="28"/>
          <w:rtl w:val="true"/>
          <w:lang w:bidi="ar-SA"/>
        </w:rPr>
        <w:t>حَمْلٌ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w:t>
      </w:r>
      <w:r>
        <w:rPr>
          <w:rStyle w:val="FootnoteAnchor"/>
          <w:rtl w:val="true"/>
        </w:rPr>
        <w:footnoteReference w:id="747"/>
      </w:r>
      <w:r>
        <w:rPr>
          <w:rFonts w:ascii="Amiri" w:hAnsi="Amiri" w:eastAsia="Amiri" w:cs="Amiri"/>
          <w:color w:val="111111"/>
          <w:sz w:val="28"/>
          <w:sz w:val="28"/>
          <w:szCs w:val="28"/>
          <w:rtl w:val="true"/>
          <w:lang w:bidi="ar-SA"/>
        </w:rPr>
        <w:t>، كما اعترف به غير واحدٍ</w:t>
      </w:r>
      <w:r>
        <w:rPr>
          <w:rStyle w:val="FootnoteAnchor"/>
          <w:rtl w:val="true"/>
        </w:rPr>
        <w:footnoteReference w:id="748"/>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القطاة إذا أصابها المُحرِم حَمَلٌ قد فُطم من اللّبن، وأكل من الشجر</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ابن صالح</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وإنْ كانا في القطاة، إلّاأنّه يثبت الحكم في القَبَج والدجاج وشبهه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لعدم القول بالفصل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ولقيام الدليل على اتّحاد حكمها، وهو خبر سليمان بن خالد،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قطاة أو حَجَلة أو دراجة أو نظيرهنّ‌، فعليه دم</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ما فيه من الدّم على إرادة الحَمَل، حملاً للمطلق على المقيّد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العصفور والقُنبرة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وتشديد الباء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والصَّعوة 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على ما قيل عصفور صغير له ذَنَبٌ طويلٌ يرمح به، ويقال له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برف 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الطعام على المشهور</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الصدوقين</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وجوب شاة لكلّ طائرٍ عدا النعامة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فيه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صفوان،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القنبرة والعصفور والصّعوة يقتلهم المُحرِم‌؟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مُدّ من طعام لكلّ واحد</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مضافاً إلى أنّ مرسله من أصحاب الإجماع، عمل الأصحاب به، فلا إشكال في سنده، ودلالته واضحة، فلا توقّف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ومدرك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ذبح طيراً، أنّ عليه دم شاة يهريقه، فإنْ كان فرخاً فَجْدي أو حَمَلٌ صغير من الضأن</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يجب تقيّيد إطلاقه بالمرسل المتقدّم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ومدرك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سليمان،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في القمري والدبسي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والسمان والعصفور والبلبل‌؟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فإنْ أصابه المُحرِم فعليه قيمتان ليس عليه دم</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قاصر سنداً لا يُعتمد عليه، فلا يصلح للمعارضة، فما هو المشهور أظهر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61" w:name="pg11809_94529"/>
    </w:p>
    <w:p>
      <w:pPr>
        <w:pStyle w:val="BookText"/>
        <w:rPr/>
      </w:pPr>
      <w:bookmarkEnd w:id="161"/>
      <w:r>
        <w:rPr>
          <w:rFonts w:ascii="Amiri" w:hAnsi="Amiri" w:eastAsia="Amiri" w:cs="Amiri"/>
          <w:color w:val="111111"/>
          <w:sz w:val="28"/>
          <w:sz w:val="28"/>
          <w:szCs w:val="28"/>
          <w:rtl w:val="true"/>
          <w:lang w:bidi="ar-SA"/>
        </w:rPr>
        <w:t>وفي الجرادة والقُمّلة يُلقيها عن جَسده كفٌّ من طعام</w:t>
      </w:r>
    </w:p>
    <w:p>
      <w:pPr>
        <w:pStyle w:val="Heading3"/>
        <w:numPr>
          <w:ilvl w:val="2"/>
          <w:numId w:val="1"/>
        </w:numPr>
        <w:rPr/>
      </w:pPr>
      <w:bookmarkStart w:id="162" w:name="__RefHeading___Toc10723897_73709187"/>
      <w:bookmarkStart w:id="163" w:name="_Toc55"/>
      <w:bookmarkEnd w:id="162"/>
      <w:r>
        <w:rPr>
          <w:rtl w:val="true"/>
        </w:rPr>
        <w:t>كفّارة قتل الجرادة</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الجرادة والقُمّلة يُلقيها عن جَسده، كفٌّ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76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61"/>
      </w:r>
      <w:r>
        <w:rPr>
          <w:rFonts w:ascii="IRNazanin" w:hAnsi="IRNazanin" w:eastAsia="IRNazanin"/>
          <w:color w:val="111111"/>
          <w:sz w:val="28"/>
          <w:sz w:val="28"/>
          <w:szCs w:val="28"/>
          <w:rtl w:val="true"/>
          <w:lang w:bidi="fa-IR"/>
        </w:rPr>
        <w:t xml:space="preserve">، 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762"/>
      </w:r>
      <w:r>
        <w:rPr>
          <w:rFonts w:ascii="Amiri" w:hAnsi="Amiri" w:eastAsia="Amiri" w:cs="Amiri"/>
          <w:color w:val="111111"/>
          <w:sz w:val="28"/>
          <w:sz w:val="28"/>
          <w:szCs w:val="28"/>
          <w:rtl w:val="true"/>
          <w:lang w:bidi="ar-SA"/>
        </w:rPr>
        <w:t>، وإنْ عبّر جمعٌ منهم بما هو أعمّ من القتل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منهما قولٌ آخر بل أقوال، فالكلام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الجرادة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 جمعاً من الأصحاب ذهبوا إلى أنّ فيه كفّاً من طعام،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7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7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النزهة</w:t>
      </w:r>
      <w:r>
        <w:rPr>
          <w:rFonts w:eastAsia="Amiri" w:cs="Amiri" w:ascii="Amiri" w:hAnsi="Amiri"/>
          <w:color w:val="111111"/>
          <w:sz w:val="28"/>
          <w:szCs w:val="28"/>
          <w:rtl w:val="true"/>
          <w:lang w:bidi="ar-SA"/>
        </w:rPr>
        <w:t>»</w:t>
      </w:r>
      <w:r>
        <w:rPr>
          <w:rStyle w:val="FootnoteAnchor"/>
          <w:rtl w:val="true"/>
        </w:rPr>
        <w:footnoteReference w:id="7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769"/>
      </w:r>
      <w:r>
        <w:rPr>
          <w:rFonts w:ascii="Amiri" w:hAnsi="Amiri" w:eastAsia="Amiri" w:cs="Amiri"/>
          <w:color w:val="111111"/>
          <w:sz w:val="28"/>
          <w:sz w:val="28"/>
          <w:szCs w:val="28"/>
          <w:rtl w:val="true"/>
          <w:lang w:bidi="ar-SA"/>
        </w:rPr>
        <w:t>أنّ فيه تمرة، وإنْ عبّروا بأنّ في الجرادة تمرة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7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775"/>
      </w:r>
      <w:r>
        <w:rPr>
          <w:rFonts w:ascii="Amiri" w:hAnsi="Amiri" w:eastAsia="Amiri" w:cs="Amiri"/>
          <w:color w:val="111111"/>
          <w:sz w:val="28"/>
          <w:sz w:val="28"/>
          <w:szCs w:val="28"/>
          <w:rtl w:val="true"/>
          <w:lang w:bidi="ar-SA"/>
        </w:rPr>
        <w:t>، وعن الشهيدين</w:t>
      </w:r>
      <w:r>
        <w:rPr>
          <w:rStyle w:val="FootnoteAnchor"/>
          <w:rtl w:val="true"/>
        </w:rPr>
        <w:footnoteReference w:id="776"/>
      </w:r>
      <w:r>
        <w:rPr>
          <w:rFonts w:ascii="Amiri" w:hAnsi="Amiri" w:eastAsia="Amiri" w:cs="Amiri"/>
          <w:color w:val="111111"/>
          <w:sz w:val="28"/>
          <w:sz w:val="28"/>
          <w:szCs w:val="28"/>
          <w:rtl w:val="true"/>
          <w:lang w:bidi="ar-SA"/>
        </w:rPr>
        <w:t>وغيرهما، أنّ فيه الفداء كفّاً من طعام، أو تمرة مخيّراً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فجملةٌ منها تدلّ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قتل جرادة وهو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خيرٌ من جرادة</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قتل جرادة‌؟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تمرةً‌، وتمرة خيرٌ من جرادة</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أُخرى تدلّ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مُحرمٍ قتل جرادة‌؟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 من طعام، وإنْ كان كثيراً فعليه دم شاة</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هو خبرٌ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اعترف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يظهر وجه تضعيفه سوى وجود سهل بن زياد في السند، وإلّا فبقيّة رجاله ثقات،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جمعاً كثيراً من الأصحاب عملوا به، فلو كان فيه ضعفٌ انجبر به، وعليه فلا إشكال فيه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الطائفتين بالبناء على التخيّير متعيّنٌ‌، فالأظهر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خبر وهو ما رواه عروة الحنّاط،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أصاب جرادة فأكلها؟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وقد عمل به جمعٌ‌، ولكن لضعف سنده، وعدم ثبوت عملٍ جابرٍ له، لا يستند إليه في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إلقاء القُمّلة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ذُكر عدد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بن عيسى‌،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يبين القُمّلة عن جسده فيلقيها؟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مكانها طعاماً</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محمّد بن مسلم</w:t>
      </w:r>
      <w:r>
        <w:rPr>
          <w:rStyle w:val="FootnoteAnchor"/>
          <w:rtl w:val="true"/>
        </w:rPr>
        <w:footnoteReference w:id="783"/>
      </w:r>
      <w:r>
        <w:rPr>
          <w:rFonts w:ascii="Amiri" w:hAnsi="Amiri" w:eastAsia="Amiri" w:cs="Amiri"/>
          <w:color w:val="111111"/>
          <w:sz w:val="28"/>
          <w:sz w:val="28"/>
          <w:szCs w:val="28"/>
          <w:rtl w:val="true"/>
          <w:lang w:bidi="ar-SA"/>
        </w:rPr>
        <w:t>، بناءً على إرادة الكفّ من إطعام الطعام مكانها، إذ هو أقلّ مقداراً منه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حككتُ رأسي وأنا مُحرِم فوقع منه قُمّلات، فأردت ردّهن فنهاني،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بكفٍّ من طعام</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الجراد الكثيرة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يَحكّ رأسه فتسقط منه القُمّلة والثنتان‌؟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ولا يعود</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فإنّه مطلق يُحمل على غير كف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قتلها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المتضمّنة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 في القُمّلة، ولا ينبغي أن يتعمّد قتلها</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أبي العلاء، المتضمّنة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قتل شيئاً من ذلك خطأً، فليُطعم مكانها طعاماً قبضة بيده</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بينهما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الجراد الكثيرة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قتلها، كما صرّح به غير واحدٍ</w:t>
      </w:r>
      <w:r>
        <w:rPr>
          <w:rStyle w:val="FootnoteAnchor"/>
          <w:rtl w:val="true"/>
        </w:rPr>
        <w:footnoteReference w:id="788"/>
      </w:r>
      <w:r>
        <w:rPr>
          <w:rFonts w:ascii="Amiri" w:hAnsi="Amiri" w:eastAsia="Amiri" w:cs="Amiri"/>
          <w:color w:val="111111"/>
          <w:sz w:val="28"/>
          <w:sz w:val="28"/>
          <w:szCs w:val="28"/>
          <w:rtl w:val="true"/>
          <w:lang w:bidi="ar-SA"/>
        </w:rPr>
        <w:t xml:space="preserve">، بل لا أجد فيه خلافاً،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 حسن محمّد المتقدّم، وصحيحه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مُحرم قتل جراداً كثيراً؟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طعام، وإنْ كان أكثر فعليه شاة</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لم يتمكّن من التحرّز،</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الأكثر هما متّفقان على لزوم الشاة، وأمّا بالنسبة إلى الكثير، فالأوّل يدلّ على الشاة، والثاني على أنّ فيه كفّاً من طعام، وبمقتضى التفصيل القاطع للشركة، يدلّ على عدم لزوم الشاة، لكن من جهة الشهرة يقدّم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يصدق الكثير على الاثنين، أم لا؟ الظاهر ذلك، سيّما بقرينة المقابلة بين الواحدة والكثيرة في الحسن، فيجبُ في الاثنتين أيضاً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ثاني المحقّقين والشهيدين، بعد القول بعدم شمول الكثير للاثنين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فيجبُ لما دونه في كلّ واحدةٍ تمرة أو كفّ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بناءً على هذا المسلك متضمّنة لبيان حكم قتل الجرادة والجراد الكثير، وليست متعرّضة لحكم قتل أكثر من واحدة مع عدم صدق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فمقتضى الأصل عدم وجوب أزيد من كف من طعام أو تمرة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تعارض خبري محمّد يرجع إلى أصالة نفي الدّم</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غير تامّ‌، فإنّ في الخبرين المتعارضين لابدّ من الرجوع إلى المرجّحات لا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إمكان التحرّز</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يتمكّن من التحرّز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قتلها، بأنْ كانت في طريقه على وجهٍ يتعذّر أو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يتعسّر عدم قتلها،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الإثم والكفّارة بغير خلاف ظاهر، للصحّاح الثلاث لابن عمّار</w:t>
      </w:r>
      <w:r>
        <w:rPr>
          <w:rStyle w:val="FootnoteAnchor"/>
          <w:rtl w:val="true"/>
        </w:rPr>
        <w:footnoteReference w:id="793"/>
      </w:r>
      <w:r>
        <w:rPr>
          <w:rFonts w:ascii="Amiri" w:hAnsi="Amiri" w:eastAsia="Amiri" w:cs="Amiri"/>
          <w:color w:val="111111"/>
          <w:sz w:val="28"/>
          <w:sz w:val="28"/>
          <w:szCs w:val="28"/>
          <w:rtl w:val="true"/>
          <w:lang w:bidi="ar-SA"/>
        </w:rPr>
        <w:t>وزرارة</w:t>
      </w:r>
      <w:r>
        <w:rPr>
          <w:rStyle w:val="FootnoteAnchor"/>
          <w:rtl w:val="true"/>
        </w:rPr>
        <w:footnoteReference w:id="794"/>
      </w:r>
      <w:r>
        <w:rPr>
          <w:rFonts w:ascii="Amiri" w:hAnsi="Amiri" w:eastAsia="Amiri" w:cs="Amiri"/>
          <w:color w:val="111111"/>
          <w:sz w:val="28"/>
          <w:sz w:val="28"/>
          <w:szCs w:val="28"/>
          <w:rtl w:val="true"/>
          <w:lang w:bidi="ar-SA"/>
        </w:rPr>
        <w:t>وحريز</w:t>
      </w:r>
      <w:r>
        <w:rPr>
          <w:rStyle w:val="FootnoteAnchor"/>
          <w:rtl w:val="true"/>
        </w:rPr>
        <w:footnoteReference w:id="795"/>
      </w:r>
      <w:r>
        <w:rPr>
          <w:rFonts w:ascii="Amiri" w:hAnsi="Amiri" w:eastAsia="Amiri" w:cs="Amiri"/>
          <w:color w:val="111111"/>
          <w:sz w:val="28"/>
          <w:sz w:val="28"/>
          <w:szCs w:val="28"/>
          <w:rtl w:val="true"/>
          <w:lang w:bidi="ar-SA"/>
        </w:rPr>
        <w:t>، وموثّق أبي بصير</w:t>
      </w:r>
      <w:r>
        <w:rPr>
          <w:rStyle w:val="FootnoteAnchor"/>
          <w:rtl w:val="true"/>
        </w:rPr>
        <w:footnoteReference w:id="796"/>
      </w:r>
      <w:r>
        <w:rPr>
          <w:rFonts w:ascii="Amiri" w:hAnsi="Amiri" w:eastAsia="Amiri" w:cs="Amiri"/>
          <w:color w:val="111111"/>
          <w:sz w:val="28"/>
          <w:sz w:val="28"/>
          <w:szCs w:val="28"/>
          <w:rtl w:val="true"/>
          <w:lang w:bidi="ar-SA"/>
        </w:rPr>
        <w:t>الصريحة كلّها في 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64" w:name="pg11809_94535"/>
    </w:p>
    <w:p>
      <w:pPr>
        <w:pStyle w:val="BookText"/>
        <w:rPr/>
      </w:pPr>
      <w:bookmarkEnd w:id="164"/>
      <w:r>
        <w:rPr>
          <w:rFonts w:ascii="Amiri" w:hAnsi="Amiri" w:eastAsia="Amiri" w:cs="Amiri"/>
          <w:color w:val="111111"/>
          <w:sz w:val="28"/>
          <w:sz w:val="28"/>
          <w:szCs w:val="28"/>
          <w:rtl w:val="true"/>
          <w:lang w:bidi="ar-SA"/>
        </w:rPr>
        <w:t>ولو أكل ما قَتَله، كان عليه فدائان، ولو أكل ما ذبحه غيره ففداءٌ واحد</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0723899_73709187"/>
      <w:bookmarkStart w:id="166" w:name="_Toc56"/>
      <w:bookmarkEnd w:id="165"/>
      <w:r>
        <w:rPr>
          <w:rtl w:val="true"/>
        </w:rPr>
        <w:t>وجوب الكفّارة على من أكل الصيد وإنْ صاد غيره</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أكل ما قتله كان عليه فدائان، ولو أكل ما ذبحه غيره، ففداءٌ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متضمّنة لبيان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يجبُ الفداء بقتل الصيد، كذلك يثبتُ بأكله أو شيئاً منه، وإنْ صاده غيره أو صاده هو، وهذا محكيٌّ عن جماعةٍ من القدماء والمتأخّرين كالشيخ</w:t>
      </w:r>
      <w:r>
        <w:rPr>
          <w:rStyle w:val="FootnoteAnchor"/>
          <w:rtl w:val="true"/>
        </w:rPr>
        <w:footnoteReference w:id="797"/>
      </w:r>
      <w:r>
        <w:rPr>
          <w:rFonts w:ascii="Amiri" w:hAnsi="Amiri" w:eastAsia="Amiri" w:cs="Amiri"/>
          <w:color w:val="111111"/>
          <w:sz w:val="28"/>
          <w:sz w:val="28"/>
          <w:szCs w:val="28"/>
          <w:rtl w:val="true"/>
          <w:lang w:bidi="ar-SA"/>
        </w:rPr>
        <w:t>، والحِلّي</w:t>
      </w:r>
      <w:r>
        <w:rPr>
          <w:rStyle w:val="FootnoteAnchor"/>
          <w:rtl w:val="true"/>
        </w:rPr>
        <w:footnoteReference w:id="798"/>
      </w:r>
      <w:r>
        <w:rPr>
          <w:rFonts w:ascii="Amiri" w:hAnsi="Amiri" w:eastAsia="Amiri" w:cs="Amiri"/>
          <w:color w:val="111111"/>
          <w:sz w:val="28"/>
          <w:sz w:val="28"/>
          <w:szCs w:val="28"/>
          <w:rtl w:val="true"/>
          <w:lang w:bidi="ar-SA"/>
        </w:rPr>
        <w:t>، والمصنّف، والشهيدين</w:t>
      </w:r>
      <w:r>
        <w:rPr>
          <w:rStyle w:val="FootnoteAnchor"/>
          <w:rtl w:val="true"/>
        </w:rPr>
        <w:footnoteReference w:id="799"/>
      </w:r>
      <w:r>
        <w:rPr>
          <w:rFonts w:ascii="Amiri" w:hAnsi="Amiri" w:eastAsia="Amiri" w:cs="Amiri"/>
          <w:color w:val="111111"/>
          <w:sz w:val="28"/>
          <w:sz w:val="28"/>
          <w:szCs w:val="28"/>
          <w:rtl w:val="true"/>
          <w:lang w:bidi="ar-SA"/>
        </w:rPr>
        <w:t>وغيرهم</w:t>
      </w:r>
      <w:r>
        <w:rPr>
          <w:rStyle w:val="FootnoteAnchor"/>
          <w:rtl w:val="true"/>
        </w:rPr>
        <w:footnoteReference w:id="800"/>
      </w:r>
      <w:r>
        <w:rPr>
          <w:rFonts w:ascii="Amiri" w:hAnsi="Amiri" w:eastAsia="Amiri" w:cs="Amiri"/>
          <w:color w:val="111111"/>
          <w:sz w:val="28"/>
          <w:sz w:val="28"/>
          <w:szCs w:val="28"/>
          <w:rtl w:val="true"/>
          <w:lang w:bidi="ar-SA"/>
        </w:rPr>
        <w:t>، بل نُسب إلى الأكثر</w:t>
      </w:r>
      <w:r>
        <w:rPr>
          <w:rStyle w:val="FootnoteAnchor"/>
          <w:rtl w:val="true"/>
        </w:rPr>
        <w:footnoteReference w:id="801"/>
      </w:r>
      <w:r>
        <w:rPr>
          <w:rFonts w:ascii="IRNazanin" w:hAnsi="IRNazanin" w:eastAsia="IRNazanin"/>
          <w:color w:val="111111"/>
          <w:sz w:val="28"/>
          <w:sz w:val="28"/>
          <w:szCs w:val="28"/>
          <w:rtl w:val="true"/>
          <w:lang w:bidi="fa-IR"/>
        </w:rPr>
        <w:t>، بل إلى المشهور</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والمحقّق</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يضمن قيمة ما أكل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اختلاف النصوص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فطائفة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مسألة اضطرار المُحرِم إلى أكل الميتة أو الصيد، والمتضمّنة أنّه يأكل الصيد ويفديه وستأتي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مسألة ما لو اشترى مُحِلٌ لمحرمٍ بيض نعام فأكله المُحرِم، المتضمّنة أنّه على المُحرِم فداء، وهي لكلّ بيضة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قومٍ اشتروا ظبياً فأكلوا منه جميعاً وهم حُرُم، ما عليهم‌؟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أكل منهم فداءُ صيد، كلّ إنسان منهم على حدته فداء صيد كاملاً</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أبان بن تغلب،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قوم حجّاج مُحرمين أصابوا أفراخ نعام فذبحوها وأكلوها؟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مكان كلّ فرخٍ أصابوه وأكلوه بدنة، يشتركون فيهن، فيشترون على عدد الفراخ وعدد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منهم من لا يقدر على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بحساب ما يصيبه من البدن، ويصوم لكلّ بدنة ثمانية عشر يوماً</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ظاهره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عدد الفراخ وعدد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عليهم مكان كلّ فرخ أصابوا منه وأكلوا منه بدنة، وفي خبره الآخر،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مكان كلّ فرخ أكلوه بدنة</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وهو أصرح في لزوم الفداء على الأكل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يوسف الطاطري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أكله قوم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مُحرِمون‌؟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شاة، وليس على الذي ذبحه إلّاشاة</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الحارث بن المغيرة،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أكل بيض حمام الحَرم وهو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لكلّ بيضةٍ دم،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الدّماء لزمته لأكله وهو مُحرِم، الحديث</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يصيب الصيد فيفديه، أيطعمه أو يطرحه‌؟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يكون عليه فداء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يدفنه</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المتقدّم،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طعاماً لا ينبغي له أكله وهو مُحرِم متعمّداً، فعليه دم شاة</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وطائفةٌ اُخرى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بها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معاوية بن عمّار، عن أبي عبد 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قوم اجتمعوا على صيدٍ فأكلوا منه، فإنّ على كلّ إنسان منهم قيمته، فإنْ اجتمعوا في صيد فعليهم مثل ذلك</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قومٌ على صيدٍ وهم مُحرِمون في صيده، أو أكلوا منه، فعلى كلّ واحدٍ منهم قيمته</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اُهدي لنا طائر مذبوح بمكّة فأكله أهلنا؟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به أهل مكّة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تقول أنتَ؟ قال عليه السلام عليهم ثمنه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كما أفاده جمع من المحقّقين، أنّ شيئاً من الطائفتين لا يدلّ على ما استدلّ به له، ولا على القول الآخر</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صحيح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ما نحن فيه، أو قابل لذلك، لعدم التصريح فيه بكون الآكلين مُحرِمين، بل ليس فيه أنّه اُهدي إليهم وهم بمكّة أو في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فبقرينة عطف الأكل على الصيد، والحكم بأنّه على كلّ منهما قيمته، يكون المراد بالقيمة فيه الفداء، إذ لا شكّ في إرادة الفداء منها بالنسبة إلى القتل، فكذا بالنسبة إلى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 إنّه لا يمكن أنْ يكون المراد هو الجامع بين الفداء والقيمة السوقيّة فإنّ ذلك ممكن، بل أقول إنّه لا ظهور له في إرادة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ما ذكره بعض المحقّقين</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من أنّ الصحيح يدلّ على القول الأوّل أيضاً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اجتمعوا على صيد فعليهم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يكون إشارة إلى ما في الأكل، فيجري فيه ما في سابقه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يرد على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بالقيمة يمكن أنْ يكون هو الفداء، كما استعملت فيه في بعض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جملة منها متضمّنة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يُطلق على كلّ ما هو جزاء للشيء، قيمةً كانت أو غيرها، من جنسه أو من غير جنسه، فلا تدلّ تلك النصوص على ما هو المطلوب لهم، وهو ما ثبت في قتله، وجملة منها متضمّنة للشاة، وقد أمر في صحيح الحذّاء بالشاة في كلّ بيض النعامة، وبها في أكل مطلق ما لا ينبغي أكله في صحيح زرارة، وفي أكل مطلق الصيد في خبر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البدنة لتضاعف الجزاء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ذكرناه أنّ ما اختاره جمعٌ من الأساطين</w:t>
      </w:r>
      <w:r>
        <w:rPr>
          <w:rStyle w:val="FootnoteAnchor"/>
          <w:rtl w:val="true"/>
        </w:rPr>
        <w:footnoteReference w:id="819"/>
      </w:r>
      <w:r>
        <w:rPr>
          <w:rFonts w:ascii="Amiri" w:hAnsi="Amiri" w:eastAsia="Amiri" w:cs="Amiri"/>
          <w:color w:val="111111"/>
          <w:sz w:val="28"/>
          <w:sz w:val="28"/>
          <w:szCs w:val="28"/>
          <w:rtl w:val="true"/>
          <w:lang w:bidi="ar-SA"/>
        </w:rPr>
        <w:t>من أنّ الفداء هو الشاة مطلقاً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أكل ما قتله عليه فدائان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للقتل، وفداءٌ للأكل، وهو متين، وسيأتي الكلام فيه تحت عنوان عام، فانتظر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67" w:name="pg11809_94540"/>
    </w:p>
    <w:p>
      <w:pPr>
        <w:pStyle w:val="BookText"/>
        <w:rPr/>
      </w:pPr>
      <w:bookmarkEnd w:id="167"/>
      <w:r>
        <w:rPr>
          <w:rFonts w:ascii="Amiri" w:hAnsi="Amiri" w:eastAsia="Amiri" w:cs="Amiri"/>
          <w:color w:val="111111"/>
          <w:sz w:val="28"/>
          <w:sz w:val="28"/>
          <w:szCs w:val="28"/>
          <w:rtl w:val="true"/>
          <w:lang w:bidi="ar-SA"/>
        </w:rPr>
        <w:t>ولو اشتركَ جماعةٌ في قتله، فعلى كلّ واحدٍ فداءٌ‌،</w:t>
      </w:r>
    </w:p>
    <w:p>
      <w:pPr>
        <w:pStyle w:val="Heading3"/>
        <w:numPr>
          <w:ilvl w:val="2"/>
          <w:numId w:val="1"/>
        </w:numPr>
        <w:rPr/>
      </w:pPr>
      <w:bookmarkStart w:id="168" w:name="__RefHeading___Toc10723901_73709187"/>
      <w:bookmarkStart w:id="169" w:name="_Toc57"/>
      <w:bookmarkEnd w:id="168"/>
      <w:r>
        <w:rPr>
          <w:rtl w:val="true"/>
        </w:rPr>
        <w:t>لو اشترك جماعة في قتل صيد واحد</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اشتركَ جماعةٌ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 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كلّ واحدٍ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بقسمية عليه، بل المحكيّ منه صريحاً أو ظاهراً مستفيض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رجلين أصابا صيداً وهما مُحرِمان، الجزاء بينهما أو على كلّ واحدٍ منهما جزاء؟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عليهما أن يُجزي كلّ واحدٍ منهما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سألني عن ذلك فلم أدر ما عليه‌؟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أصبتم بمثل هذا فلم تدروا فعليكم بالاحتياط</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وبكير،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مُحرِمين أصابا صيداً؟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منهم الفداء</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bookmarkStart w:id="170" w:name="pg11809_94541"/>
    </w:p>
    <w:p>
      <w:pPr>
        <w:pStyle w:val="Heading3"/>
        <w:numPr>
          <w:ilvl w:val="2"/>
          <w:numId w:val="1"/>
        </w:numPr>
        <w:rPr/>
      </w:pPr>
      <w:bookmarkStart w:id="171" w:name="__RefHeading___Toc10723903_73709187"/>
      <w:bookmarkStart w:id="172" w:name="_Toc58"/>
      <w:bookmarkEnd w:id="170"/>
      <w:bookmarkEnd w:id="171"/>
      <w:r>
        <w:rPr>
          <w:rtl w:val="true"/>
        </w:rPr>
        <w:t>فروع الصيد الجماعي</w:t>
      </w:r>
      <w:bookmarkEnd w:id="172"/>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اشترك الحرام والحلال في صيد حرمي، وجب على المُحِلّ القيمة كملاً، وعلى المُحرِم الجزاء والقيمة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ذلك عدم الخلاف فيه إلّامن الشيخ، فإنّه بعد ذلك ينقل الخلاف عن بعض الجمهور</w:t>
      </w:r>
      <w:r>
        <w:rPr>
          <w:rStyle w:val="FootnoteAnchor"/>
          <w:rtl w:val="true"/>
        </w:rPr>
        <w:footnoteReference w:id="825"/>
      </w:r>
      <w:r>
        <w:rPr>
          <w:rFonts w:ascii="Amiri" w:hAnsi="Amiri" w:eastAsia="Amiri" w:cs="Amiri"/>
          <w:color w:val="111111"/>
          <w:sz w:val="28"/>
          <w:sz w:val="28"/>
          <w:szCs w:val="28"/>
          <w:rtl w:val="true"/>
          <w:lang w:bidi="ar-SA"/>
        </w:rPr>
        <w:t>والشيخ</w:t>
      </w:r>
      <w:r>
        <w:rPr>
          <w:rStyle w:val="FootnoteAnchor"/>
          <w:rtl w:val="true"/>
        </w:rPr>
        <w:footnoteReference w:id="826"/>
      </w:r>
      <w:r>
        <w:rPr>
          <w:rFonts w:ascii="Amiri" w:hAnsi="Amiri" w:eastAsia="Amiri" w:cs="Amiri"/>
          <w:color w:val="111111"/>
          <w:sz w:val="28"/>
          <w:sz w:val="28"/>
          <w:szCs w:val="28"/>
          <w:rtl w:val="true"/>
          <w:lang w:bidi="ar-SA"/>
        </w:rPr>
        <w:t xml:space="preserve">، وتبعه جمعٌ من الأساطين منهم الشهيدان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ما ورد في كلّ منهما، فقد دلّ الدليل على أنّ المُحِلّ إذا قتل الصيد في الحرم، عليه القيمة كملاً، والمُحرِم إذا قتل في الحِلّ عليه الجزاء، وإذا قتل في الحَرم عليه ذلك مع القيمة، فمقتضى الدليلين ثبوت الحكمين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نصوص اشتراك جماعة في قتل الصيد، بأنْ يُراد من الجزاء في النصوص ما يعمّ القيمة، فتدلّ النصوص على أنّ حكم كلّ من اشترك في قتل الصيد حكم من استقلّ به، وأنّه لا فرق بين الاستقلال في القتل وكونه جزءً منضمّاً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الصيد حرميّاً كان على كلّ من المُحرِمين المشتركين في القتل فداء وقيمة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أحدهما مُحِلّاً كان عليه القيمة، وعلى المُحرِم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مُحلّين، كان على كلّ منهما تمام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الصيد في الحِلّ لم يكن على المُحِلّ شيءٌ‌، وعلى المُحرِم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إلى الذهن من إطلاق ما دلّ على كلّ منهما، استقلال كلّ منهما بالقتل، وأمّا صورة استناده إليهما على وجه الشركة فخارجة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إنّما هي في المُحرِمين، لا من جهة ما فيها من الفداء كي يقال إنّ الأمر دائرٌ بين أنْ يكون المراد بالفداء ما يعمّ القيمة، فتشمل ما لو كان أحدهما مُحِلّاً، وبين أن يخصّص الموضوع بالمُحرِمين، والتخصيص أولى من المجاز، إذ قد تقدّم أنّ استعمال الفداء في الجامع ليس مجازاً ولا محذور فيه، مع أنّ 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واحدٍ منهما 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ريب في أنّ الجزاء يشملها، بل من جهة التصريح فيها بالمُحرِمين، فالتعدّي إلى ما لو كان أحدهما مُحِلّاً يتوقّف على العلم بالمناط، أو دليل خاص، أو ظهور النصوص في كونها بياناً، لأنّ الاشتراك في القتل مطلقاً حكمه حكم الاستقلال، وشيء منهما لم يثبت، وعليه فالأظهر عدم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إسماعيل، عن الإمام الصادق،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 في مُحرِمٍ ومُحِلّ قتلا صيداً؟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المُحرِم الفداء كاملاً، وعلى المُحِلّ نصف الفداء</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فلعدم عمل غير الشيخ</w:t>
      </w:r>
      <w:r>
        <w:rPr>
          <w:rStyle w:val="FootnoteAnchor"/>
          <w:rtl w:val="true"/>
        </w:rPr>
        <w:footnoteReference w:id="830"/>
      </w:r>
      <w:r>
        <w:rPr>
          <w:rFonts w:ascii="Amiri" w:hAnsi="Amiri" w:eastAsia="Amiri" w:cs="Amiri"/>
          <w:color w:val="111111"/>
          <w:sz w:val="28"/>
          <w:sz w:val="28"/>
          <w:szCs w:val="28"/>
          <w:rtl w:val="true"/>
          <w:lang w:bidi="ar-SA"/>
        </w:rPr>
        <w:t>به لا يعتمد عليه، ولكن الأحوط ذلك، وأحوط منه تمام القيمة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المُحرِم والمُحِلّ في صيدٍ غير حرمي، لا إشكال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ثبوت شيء على المُحِلّ‌، وأمّا المُحرِم فالظاهر أنّ عليه الفداء، فإنّ نصوص الباب تدلّ على أنّ المُحرِم كما يثبت له الفداء لو استقلّ بالصيد، كذلك يثبت له في صورة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برغم أنّها واردة في مورد اشتراك المُحرِمين، إلّاأنّه من الضروري عدم دخل كون الشريك مُحرِماً أو مُحِلّاً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المُحرِمان في أكل الصيد، كان على كلّ واحدٍ منهما فداءٌ‌، لما مرّ من أنّ أكل الصيد كلّاً أو بعضاً موجبٌ لثبوت الفداء،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يوسف الطاطري المتقدّم، والظاهر أنّه لم يخالف فيه أحد</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اثنان صيداً فقتله أحدهما وأخطأ الآخر، كان على كلّ واحدٍ منهما فداءٌ كامل، بلا خلافٍ إلّامن الحِلّي فنفاه عن الُمخطئ</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ضريس بن أعين،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رجلين مُحرِمين رميا صيداً فأصابه أحدهما، لزم كلّ واحدٍ منهما الفداء</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إدريس بن عبداللّه،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مُحرِمين يرميان صيداً، فأصابه أحدهما، الجزاء بينهما أو على كلّ واحد منهما؟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جميعاً، يفدي كلّ منهما على حِدة</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ابن إدريس الحِلّي فحيث إنّه يرى عدم حجيّة خبر الواحد، فقد أفتى بما ذكر، ولا بأس به على مسلكه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يتعدّى إلى الأكثر من اثنين، سواءٌ تعدّد المصيب أو المُخطيء، أم لا، أم يتعدّى بالنسبة إلى المُصيب دون المخطئ فقط؟</w:t>
      </w:r>
    </w:p>
    <w:p>
      <w:pPr>
        <w:pStyle w:val="BookText"/>
        <w:rPr/>
      </w:pPr>
      <w:r>
        <w:rPr>
          <w:rFonts w:ascii="Amiri" w:hAnsi="Amiri" w:eastAsia="Amiri" w:cs="Amiri"/>
          <w:color w:val="111111"/>
          <w:sz w:val="28"/>
          <w:sz w:val="28"/>
          <w:szCs w:val="28"/>
          <w:rtl w:val="true"/>
          <w:lang w:bidi="ar-SA"/>
        </w:rPr>
        <w:t>وجوهٌ أظهرها الأخير، فإنّ ثبوت الحكم للمخطيء على خلاف الأصل، فيتعيّن الاقتصار على المتيقّن، والرجوع في غيره إلى الأصل، وأمّا بالنسبة إلى المصيب، فمقتضى ما تقدّم من النصوص في أصل المسألة هو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مُحرمٌ صيداً فأصابه وجرحه، ثمّ رماه مُحلّ فقتله، لا شيء على المُحلّ إنْ كان في غير الحرم، وأمّا المُحرِم فعليه الفداء كاملاً إنْ كان جرحه سبباً بنحو الإعداد لقتله، لما تقدّم من أنّ في الإعانة على الصيد أيضاً الفداء، وإنْ لم يكن دخيلاً فيه أصلاً، فمقتضى القاعدة عدم وجوب شيء عليه، إنْ لم يكن الصيد ملكاً 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ادّعى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الضمان في أجزاء الصيد</w:t>
      </w:r>
      <w:r>
        <w:rPr>
          <w:rStyle w:val="FootnoteAnchor"/>
          <w:rtl w:val="true"/>
        </w:rPr>
        <w:footnoteReference w:id="835"/>
      </w:r>
      <w:r>
        <w:rPr>
          <w:rFonts w:ascii="Amiri" w:hAnsi="Amiri" w:eastAsia="Amiri" w:cs="Amiri"/>
          <w:color w:val="111111"/>
          <w:sz w:val="28"/>
          <w:sz w:val="28"/>
          <w:szCs w:val="28"/>
          <w:rtl w:val="true"/>
          <w:lang w:bidi="ar-SA"/>
        </w:rPr>
        <w:t>، وكلمات غيره أيضاً صريحة في لزوم شيء عليه، وحينئذٍ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فيه ربع قيمة الفداء، للنصوص الواردة في كسر يد الصيد أو رجله، كصحيح علي بن جعفر، عن أخيه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رمى صيداً وهو مُحرِم فكسر يده أو رجله، فمضى الصيد على وجهه، فلم يدر الرّجل ما صنع الصيد؟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الفداء كاملاً إذا لم يدر ما صنع الصيد، فإنْ رآه بعد أن انكسر يده أو رجله وقد رعى وانصلح فعليه ربع قيمته</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الفداء لا إلى الصيد، لقُربه وبُعد الصيد، ونحوه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837"/>
      </w:r>
      <w:r>
        <w:rPr>
          <w:rFonts w:ascii="Amiri" w:hAnsi="Amiri" w:eastAsia="Amiri" w:cs="Amiri"/>
          <w:color w:val="111111"/>
          <w:sz w:val="28"/>
          <w:sz w:val="28"/>
          <w:szCs w:val="28"/>
          <w:rtl w:val="true"/>
          <w:lang w:bidi="ar-SA"/>
        </w:rPr>
        <w:t>، ومثلهما خبر أبي بصير</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النصوص في الكسر، وإسراء الحكم إلى الجرح، يتوقّف عليدليل، وعليه فالأظهر أنّه يتصدّق بشيء يحتمل انطباقه على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رماه وكسر رجله أو غيره من أجزائه، عليه ربع قيمة الفداء، للنصوص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أنّه هل كان رميه دخيلاً في الصيد أو في قتله أم لا؟ فالظاهر أنّ عليه الفداء كاملاً، وعن بعض</w:t>
      </w:r>
      <w:r>
        <w:rPr>
          <w:rStyle w:val="FootnoteAnchor"/>
          <w:rtl w:val="true"/>
        </w:rPr>
        <w:footnoteReference w:id="839"/>
      </w:r>
      <w:r>
        <w:rPr>
          <w:rFonts w:ascii="Amiri" w:hAnsi="Amiri" w:eastAsia="Amiri" w:cs="Amiri"/>
          <w:color w:val="111111"/>
          <w:sz w:val="28"/>
          <w:sz w:val="28"/>
          <w:szCs w:val="28"/>
          <w:rtl w:val="true"/>
          <w:lang w:bidi="ar-SA"/>
        </w:rPr>
        <w:t>دعوى الإجماع عليه، ويشهد به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رمى ظبياً فأصابه في يده، فعرج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الظبي مشي عليها ورعى، فعليه ربع قيمته، وإنْ كان ذهب على وجهه فلم يدر ما صنع فعليه الفداء، لأنّه لا يدري لعلّه قد هلك</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كالنصوص السابقة في الكسر والعرج، ولكن يتعدّى في هذا الحكم إلى الجرح، لما فيها من التعليل الشامل للمقام، بل الخبر الذي رواه السكوني، عن جعفر بن محمّد، عن آبائه عليهم السلام،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يصيب الصيد فيدميه ثمّ يرسله‌؟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جزائه</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يدلّ بالمنطوق على الحكم في المقام،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بناءً على أنّ المراد بالجزاء هو الفداء، لأنّه الفرد الكامل من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صيداً فلم يُصبه، أو شكّ في الإصابة وعدمها، أو أصابه ولم يؤثّر فيه، أو شكّ في التأثير، فلا شيء عليه، بلا خلافٍ في الثلاثة الأول إلّاما عن القاضي</w:t>
      </w:r>
      <w:r>
        <w:rPr>
          <w:rStyle w:val="FootnoteAnchor"/>
          <w:rtl w:val="true"/>
        </w:rPr>
        <w:footnoteReference w:id="842"/>
      </w:r>
      <w:r>
        <w:rPr>
          <w:rFonts w:ascii="Amiri" w:hAnsi="Amiri" w:eastAsia="Amiri" w:cs="Amiri"/>
          <w:color w:val="111111"/>
          <w:sz w:val="28"/>
          <w:sz w:val="28"/>
          <w:szCs w:val="28"/>
          <w:rtl w:val="true"/>
          <w:lang w:bidi="ar-SA"/>
        </w:rPr>
        <w:t xml:space="preserve">في الثاني، وعلى الأظهر في الرابع، وفاقاً 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والفاضل النراقي</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التوقّف فيه،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يقتضي العدم، مضافاً إلى خبر أبي بصير المتقدّم في الثالث، ولكن لما تكرّر دعوى الإجماع</w:t>
      </w:r>
      <w:r>
        <w:rPr>
          <w:rStyle w:val="FootnoteAnchor"/>
          <w:rtl w:val="true"/>
        </w:rPr>
        <w:footnoteReference w:id="847"/>
      </w:r>
      <w:r>
        <w:rPr>
          <w:rFonts w:ascii="Amiri" w:hAnsi="Amiri" w:eastAsia="Amiri" w:cs="Amiri"/>
          <w:color w:val="111111"/>
          <w:sz w:val="28"/>
          <w:sz w:val="28"/>
          <w:szCs w:val="28"/>
          <w:rtl w:val="true"/>
          <w:lang w:bidi="ar-SA"/>
        </w:rPr>
        <w:t>في كلماتهم على لزوم الفداء في الصورة الرابعة، فالاحتياط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مُحرِماً في الحرم، فضرب بطيرٍ على الأرض فقتله بعد أن اصطاده، كان عليه الجزاء وقيمتان، كما صرّح به غير واحدٍ، وإنْ اختلفت تعابيرهم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بأنّ عليه دماً وقيمتين،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851"/>
      </w:r>
      <w:r>
        <w:rPr>
          <w:rFonts w:ascii="Amiri" w:hAnsi="Amiri" w:eastAsia="Amiri" w:cs="Amiri"/>
          <w:color w:val="111111"/>
          <w:sz w:val="28"/>
          <w:sz w:val="28"/>
          <w:szCs w:val="28"/>
          <w:rtl w:val="true"/>
          <w:lang w:bidi="ar-SA"/>
        </w:rPr>
        <w:t>وغيرهما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ثلاث قيمات</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خبر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 في مُحرِمٍ اصطاد طيراً في الحرم، فضرب به الأرض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ثلاث قيمات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لإحرامه، وقيمة للحرم، وقيمة لاستصغاره إيّاه</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وضعفه منجبرٌ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كلام بالنسبة إلى قيمتين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للحرم، والاُخرى للاستصغار، إنّما الكلام في ما يجب بالنسبة إلى الإحرام، والنّص ناص على القيمة، ولكن لما كانت القيمة قابلة لأن يراد بها الفداء والدم، فبقرينة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تلك على إرادة الدّم بالنسبة إلى ما فيه ذلك من 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يتعدّى من الطير إلى الجراد، أو إلى غيره من الحيوانات‌؟</w:t>
      </w:r>
    </w:p>
    <w:p>
      <w:pPr>
        <w:pStyle w:val="BookText"/>
        <w:rPr/>
      </w:pPr>
      <w:r>
        <w:rPr>
          <w:rFonts w:ascii="Amiri" w:hAnsi="Amiri" w:eastAsia="Amiri" w:cs="Amiri"/>
          <w:color w:val="111111"/>
          <w:sz w:val="28"/>
          <w:sz w:val="28"/>
          <w:szCs w:val="28"/>
          <w:rtl w:val="true"/>
          <w:lang w:bidi="ar-SA"/>
        </w:rPr>
        <w:t>الظاهر ذلك، لعموم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جابر للخبر بالنسبة إلى ذلك</w:t>
      </w:r>
      <w:r>
        <w:rPr>
          <w:rStyle w:val="FootnoteAnchor"/>
          <w:rtl w:val="true"/>
        </w:rPr>
        <w:footnoteReference w:id="855"/>
      </w:r>
      <w:r>
        <w:rPr>
          <w:rFonts w:ascii="Amiri" w:hAnsi="Amiri" w:eastAsia="Amiri" w:cs="Amiri"/>
          <w:color w:val="111111"/>
          <w:sz w:val="28"/>
          <w:sz w:val="28"/>
          <w:szCs w:val="28"/>
          <w:rtl w:val="true"/>
          <w:lang w:bidi="ar-SA"/>
        </w:rPr>
        <w:t>، غريبٌ‌، فإنّ الخبر انجبر ضعفه بالعمل، ففي الأخذ بدلالته من عموم أو إطلاق لا نحتاج إلى العمل فإنّه لا ضعف فيها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73" w:name="pg11809_94548"/>
    </w:p>
    <w:p>
      <w:pPr>
        <w:pStyle w:val="BookText"/>
        <w:rPr/>
      </w:pPr>
      <w:bookmarkEnd w:id="173"/>
      <w:r>
        <w:rPr>
          <w:rFonts w:ascii="Amiri" w:hAnsi="Amiri" w:eastAsia="Amiri" w:cs="Amiri"/>
          <w:color w:val="111111"/>
          <w:sz w:val="28"/>
          <w:sz w:val="28"/>
          <w:szCs w:val="28"/>
          <w:rtl w:val="true"/>
          <w:lang w:bidi="ar-SA"/>
        </w:rPr>
        <w:t>وكلّ من كان معه صيد يزول ملكه عنه بالأحرام، ويجبُ عليه إرساله، فإنْ أمسكه ضمنه،</w:t>
      </w:r>
    </w:p>
    <w:p>
      <w:pPr>
        <w:pStyle w:val="Heading3"/>
        <w:numPr>
          <w:ilvl w:val="2"/>
          <w:numId w:val="1"/>
        </w:numPr>
        <w:rPr/>
      </w:pPr>
      <w:bookmarkStart w:id="174" w:name="__RefHeading___Toc10723905_73709187"/>
      <w:bookmarkStart w:id="175" w:name="_Toc59"/>
      <w:bookmarkEnd w:id="174"/>
      <w:r>
        <w:rPr>
          <w:rtl w:val="true"/>
        </w:rPr>
        <w:t>حكم من أحرم ومعه صيدٌ مملوك له</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 كان معه 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 مِلْكه عنه بالإحرام، ويجبُ عليه إرساله، فإنْ أمسكه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عدّة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صيدٌ مملوكٌ فأحرم، هل يزول مِلْكه عنه كما في المتن، وعن الشيخ</w:t>
      </w:r>
      <w:r>
        <w:rPr>
          <w:rStyle w:val="FootnoteAnchor"/>
          <w:rtl w:val="true"/>
        </w:rPr>
        <w:footnoteReference w:id="856"/>
      </w:r>
      <w:r>
        <w:rPr>
          <w:rFonts w:ascii="Amiri" w:hAnsi="Amiri" w:eastAsia="Amiri" w:cs="Amiri"/>
          <w:color w:val="111111"/>
          <w:sz w:val="28"/>
          <w:sz w:val="28"/>
          <w:szCs w:val="28"/>
          <w:rtl w:val="true"/>
          <w:lang w:bidi="ar-SA"/>
        </w:rPr>
        <w:t>والقاضي</w:t>
      </w:r>
      <w:r>
        <w:rPr>
          <w:rStyle w:val="FootnoteAnchor"/>
          <w:rtl w:val="true"/>
        </w:rPr>
        <w:footnoteReference w:id="857"/>
      </w:r>
      <w:r>
        <w:rPr>
          <w:rFonts w:ascii="Amiri" w:hAnsi="Amiri" w:eastAsia="Amiri" w:cs="Amiri"/>
          <w:color w:val="111111"/>
          <w:sz w:val="28"/>
          <w:sz w:val="28"/>
          <w:szCs w:val="28"/>
          <w:rtl w:val="true"/>
          <w:lang w:bidi="ar-SA"/>
        </w:rPr>
        <w:t>والمصنّف</w:t>
      </w:r>
      <w:r>
        <w:rPr>
          <w:rStyle w:val="FootnoteAnchor"/>
          <w:rtl w:val="true"/>
        </w:rPr>
        <w:footnoteReference w:id="858"/>
      </w:r>
      <w:r>
        <w:rPr>
          <w:rFonts w:ascii="Amiri" w:hAnsi="Amiri" w:eastAsia="Amiri" w:cs="Amiri"/>
          <w:color w:val="111111"/>
          <w:sz w:val="28"/>
          <w:sz w:val="28"/>
          <w:szCs w:val="28"/>
          <w:rtl w:val="true"/>
          <w:lang w:bidi="ar-SA"/>
        </w:rPr>
        <w:t>في غير الكتاب، والمحقّق</w:t>
      </w:r>
      <w:r>
        <w:rPr>
          <w:rStyle w:val="FootnoteAnchor"/>
          <w:rtl w:val="true"/>
        </w:rPr>
        <w:footnoteReference w:id="859"/>
      </w:r>
      <w:r>
        <w:rPr>
          <w:rFonts w:ascii="Amiri" w:hAnsi="Amiri" w:eastAsia="Amiri" w:cs="Amiri"/>
          <w:color w:val="111111"/>
          <w:sz w:val="28"/>
          <w:sz w:val="28"/>
          <w:szCs w:val="28"/>
          <w:rtl w:val="true"/>
          <w:lang w:bidi="ar-SA"/>
        </w:rPr>
        <w:t xml:space="preserve">وغيرهم،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xml:space="preserve">اتّفاق الأصحاب عليه،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861"/>
      </w:r>
      <w:r>
        <w:rPr>
          <w:rFonts w:ascii="IRNazanin" w:hAnsi="IRNazanin" w:eastAsia="IRNazanin"/>
          <w:color w:val="111111"/>
          <w:sz w:val="28"/>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يزول، كما عن الإسكافي</w:t>
      </w:r>
      <w:r>
        <w:rPr>
          <w:rStyle w:val="FootnoteAnchor"/>
          <w:rtl w:val="true"/>
        </w:rPr>
        <w:footnoteReference w:id="862"/>
      </w:r>
      <w:r>
        <w:rPr>
          <w:rFonts w:ascii="Amiri" w:hAnsi="Amiri" w:eastAsia="Amiri" w:cs="Amiri"/>
          <w:color w:val="111111"/>
          <w:sz w:val="28"/>
          <w:sz w:val="28"/>
          <w:szCs w:val="28"/>
          <w:rtl w:val="true"/>
          <w:lang w:bidi="ar-SA"/>
        </w:rPr>
        <w:t>والشيخ</w:t>
      </w:r>
      <w:r>
        <w:rPr>
          <w:rStyle w:val="FootnoteAnchor"/>
          <w:rtl w:val="true"/>
        </w:rPr>
        <w:footnoteReference w:id="863"/>
      </w:r>
      <w:r>
        <w:rPr>
          <w:rFonts w:ascii="Amiri" w:hAnsi="Amiri" w:eastAsia="Amiri" w:cs="Amiri"/>
          <w:color w:val="111111"/>
          <w:sz w:val="28"/>
          <w:sz w:val="28"/>
          <w:szCs w:val="28"/>
          <w:rtl w:val="true"/>
          <w:lang w:bidi="ar-SA"/>
        </w:rPr>
        <w:t>في بعض كتبه، وقوّاه جماعة من المتأخّرين</w:t>
      </w:r>
      <w:r>
        <w:rPr>
          <w:rStyle w:val="FootnoteAnchor"/>
          <w:rtl w:val="true"/>
        </w:rPr>
        <w:footnoteReference w:id="864"/>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عَلَيْكُمْ صَيْدُ اَلْبَرِّ</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بناءً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فيها ليس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الصيد في الآية إسماً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حذف المتعلّق وإنْ أفاد العموم، إلّاأنّ الظاهر إرادة التصرّفات الخارجيّة منها دون الاعتباريّة، لعدم كونها تصرّفاً في الصيد، كما مرّ مفصّلاً في مبحث حرمة الطيب على المُحرِم</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غايته الحرمة، وهي لا تقتضي زوال الملكيّة، كما أنّها لا تقتضي فساد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يملكه ابتداءً‌، فكذا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الأصل وإنْ اشتهر، وببالي أنّه قد تقدّم في بعض الفروع السابقة تحقيقة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الفرع على فرض ثبوت الأصل إلّاالقياس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باقياً كان له التصرّف فيه تصرّف الملّاك في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الملزوم، نمنع الملازمة، لعدم الدليل عليها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الإمساك من آثار الملكيّة، وقابلٌ للانفكاك عنها كسائر الآثار، مع أنّه لو ثبت لزوم الإرسال بعنوان آخر سوى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لسان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بنفسه دالّاً على عدم زوال الملكيّة، وإلّا كان الأمر بالإخراج لغواً ومحالاً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وقد مرّ عدم حجيّة غير التعبّدي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زوال الملكيّة، للأصل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إرساله، والظاهر عدم الخلاف فيه، ويشهد له خبر أبي سعيد المكاري،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أحدٌ ومعه شيءٌ من الصيد حتّى يخرجه عن ملكه</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يرسله فمات، فضلاً عمّا لو أتلفه، لزم ضمانة كما صرّح به غير واحدٍ</w:t>
      </w:r>
      <w:r>
        <w:rPr>
          <w:rStyle w:val="FootnoteAnchor"/>
          <w:rtl w:val="true"/>
        </w:rPr>
        <w:footnoteReference w:id="86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دعوى الإجماع عليه، لحسن بكر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أصاب ظبياً فأدخله الحرم، فمات الظبي في الحرم‌؟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حين أدخله خَلّى سبيله، فلا شيء عليه، وإنْ كان أمسكه حتّى مات فعليه الفداء</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اختصّ بالحرم، لكن بضميمة الإجماع يثبت في غيره، كما لو مات بعد الإحرام قبل دخول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يمكن الإرسال ليس عليه ضمان، لاختصاص الخبر بصورة الإمكان، ولو لم يرسله حتّى صار مُحِلّاً، ولم يكن قد أدخله الحرم، فلا شيء عليه سوى الإثم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 إرساله بعد الإحلال مطلقاً، أم لا يجب ذلك، أم يفصّل بين ما إذا وجب عليه حال الإحرام بأنْ كان متذكّراً فأهمل، وبين ما إذا لم يكن واجباً عليه، فيجب في الأوّل دون الثاني‌؟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مدرك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وبه يظهر وجه الثالث، فإنّه مع عدم وجوبه عليه في حال الإحرام، لا يقين سابق، فلا يجري الاستصحاب، وحيث أنّ المختار عندنا عدم جريان الاستصحاب في الأحكام الشرعيّة الكليّة، يكون الأظهر هو الثاني، كما جزم به المصنّف</w:t>
      </w:r>
      <w:r>
        <w:rPr>
          <w:rStyle w:val="FootnoteAnchor"/>
          <w:rtl w:val="true"/>
        </w:rPr>
        <w:footnoteReference w:id="871"/>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بعدم الوجوب، جاز له ذبحه، لعدم المانع عنه، ولو ذبحه ليس عليه ضمان،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المصنّف رحمه الله</w:t>
      </w:r>
      <w:r>
        <w:rPr>
          <w:rStyle w:val="FootnoteAnchor"/>
          <w:rtl w:val="true"/>
        </w:rPr>
        <w:footnoteReference w:id="872"/>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الوجه الضمان،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صيد ولم يكن معه، بل كان نائياً عنه، لم يزل ملكه عنه، كما عن غير واحدٍ من الأساطين</w:t>
      </w:r>
      <w:r>
        <w:rPr>
          <w:rStyle w:val="FootnoteAnchor"/>
          <w:rtl w:val="true"/>
        </w:rPr>
        <w:footnoteReference w:id="873"/>
      </w:r>
      <w:r>
        <w:rPr>
          <w:rFonts w:ascii="Amiri" w:hAnsi="Amiri" w:eastAsia="Amiri" w:cs="Amiri"/>
          <w:color w:val="111111"/>
          <w:sz w:val="28"/>
          <w:sz w:val="28"/>
          <w:szCs w:val="28"/>
          <w:rtl w:val="true"/>
          <w:lang w:bidi="ar-SA"/>
        </w:rPr>
        <w:t>، بل تكرّر منهم دعوى نفي الخلاف فيه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يكون عند الرّجل من الوحش في أهله، ومن الطير، يحرم وهو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به بأس، لا يضرّه</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يحرم وعنده في أهله صيد إمّا وحش وإمّا طير؟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يزول مِلكه عنه، فهل يجوز إدخاله في مِلْكه ابتداءً ببيعٍ أو هبة أو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إرث وما شاكل، أم لا؟</w:t>
      </w:r>
    </w:p>
    <w:p>
      <w:pPr>
        <w:pStyle w:val="BookText"/>
        <w:rPr/>
      </w:pPr>
      <w:r>
        <w:rPr>
          <w:rFonts w:ascii="Amiri" w:hAnsi="Amiri" w:eastAsia="Amiri" w:cs="Amiri"/>
          <w:color w:val="111111"/>
          <w:sz w:val="28"/>
          <w:sz w:val="28"/>
          <w:szCs w:val="28"/>
          <w:rtl w:val="true"/>
          <w:lang w:bidi="ar-SA"/>
        </w:rPr>
        <w:t>فعن الأكثر</w:t>
      </w:r>
      <w:r>
        <w:rPr>
          <w:rStyle w:val="FootnoteAnchor"/>
          <w:rtl w:val="true"/>
        </w:rPr>
        <w:footnoteReference w:id="877"/>
      </w:r>
      <w:r>
        <w:rPr>
          <w:rFonts w:ascii="Amiri" w:hAnsi="Amiri" w:eastAsia="Amiri" w:cs="Amiri"/>
          <w:color w:val="111111"/>
          <w:sz w:val="28"/>
          <w:sz w:val="28"/>
          <w:szCs w:val="28"/>
          <w:rtl w:val="true"/>
          <w:lang w:bidi="ar-SA"/>
        </w:rPr>
        <w:t>أنّه لا يدخل في مِلكه، ومدركه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الآية الكريمة، وقد عرفت أنّها لا تشمل التصرّفات الاعتباريّة، وإنْ كان المراد بالصيد فيها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قوم مُحرِمين اشتروا صيداً فاشتركوا فيه، فقالت رفيقة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لي فيه بدرهم، فجعلوا لها؟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إنسان منهم شاة</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التلازم بين ثبوت الفداء والحرمة، ودلالة النهي عن المعاملة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ولو سُلّم الأوّل يكون الثاني غير تامّ قطعاً، مع أنّ الخبر في الصيد معه لا ما إذا كان نائياً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يدخل في مِلْكه، وكذلك في الصيد معه، وغايته أنّه يكون حراماً، وعليه الفداء</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76" w:name="pg11809_94553"/>
    </w:p>
    <w:p>
      <w:pPr>
        <w:pStyle w:val="BookText"/>
        <w:rPr/>
      </w:pPr>
      <w:bookmarkEnd w:id="176"/>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في الحِلّ يجبُ عليه الفداء، والمُحِلّ في الحرم القيمة، ويجتمعان على المُحرِم في الحرم ما لم يبلغ بدنة، فلا يتضاعف</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0723907_73709187"/>
      <w:bookmarkStart w:id="178" w:name="_Toc60"/>
      <w:bookmarkEnd w:id="177"/>
      <w:r>
        <w:rPr>
          <w:rtl w:val="true"/>
        </w:rPr>
        <w:t>كفّارة صيد الحرم</w:t>
      </w:r>
      <w:bookmarkEnd w:id="178"/>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في الحِلّ يجبُ عليه الفداء، والمُحِلّ في الحرم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مبحث قتل الحمامة، أنّ قيمة الحمامة الشرعيّة درهم، وقيمة فرخها نصف درهم، وقيمة بيضها ربع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ويجتمعان على المُحرِم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تفصيل ذلك كلّه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الكلام في الاستثناء الذي ذكره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يبلغ بدنةً فلا يتضاعف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المحكيّ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يتضاعف الفدية للمُحرِم في الحرم ما لم يبلغ بدنة، فلا يجب عليه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 التضاعف مطلقاً،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باقي أصحابنا أطلقوا التضعيف</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الأخبار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أصبتَ الصيد وأنتَ حرام في الحرم فالفداء مضاعفٌ عليك، وإنْ أصبته وأنتَ حلالٌ في الحرم فقيمة </w:t>
      </w:r>
    </w:p>
    <w:p>
      <w:pPr>
        <w:pStyle w:val="BookText"/>
        <w:rPr/>
      </w:pPr>
      <w:r>
        <w:rPr>
          <w:rFonts w:ascii="Amiri" w:hAnsi="Amiri" w:eastAsia="Amiri" w:cs="Amiri"/>
          <w:color w:val="111111"/>
          <w:sz w:val="28"/>
          <w:sz w:val="28"/>
          <w:szCs w:val="28"/>
          <w:rtl w:val="true"/>
          <w:lang w:bidi="ar-SA"/>
        </w:rPr>
        <w:t>واحدة، وإنْ أصبته وأنتَ حرام في الحِلّ فإنّما عليك فداء واحد</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يدلّ على تضاعف الفداء، لا على ما ذكر تبعاً للقوم بأنّه يجبُ في صيد المُحرِم في الحرم الفداء والقيمة، فيثبت ما عن الإسكافي</w:t>
      </w:r>
      <w:r>
        <w:rPr>
          <w:rStyle w:val="FootnoteAnchor"/>
          <w:rtl w:val="true"/>
        </w:rPr>
        <w:footnoteReference w:id="885"/>
      </w:r>
      <w:r>
        <w:rPr>
          <w:rFonts w:ascii="Amiri" w:hAnsi="Amiri" w:eastAsia="Amiri" w:cs="Amiri"/>
          <w:color w:val="111111"/>
          <w:sz w:val="28"/>
          <w:sz w:val="28"/>
          <w:szCs w:val="28"/>
          <w:rtl w:val="true"/>
          <w:lang w:bidi="ar-SA"/>
        </w:rPr>
        <w:t>والسيّد</w:t>
      </w:r>
      <w:r>
        <w:rPr>
          <w:rStyle w:val="FootnoteAnchor"/>
          <w:rtl w:val="true"/>
        </w:rPr>
        <w:footnoteReference w:id="886"/>
      </w:r>
      <w:r>
        <w:rPr>
          <w:rFonts w:ascii="Amiri" w:hAnsi="Amiri" w:eastAsia="Amiri" w:cs="Amiri"/>
          <w:color w:val="111111"/>
          <w:sz w:val="28"/>
          <w:sz w:val="28"/>
          <w:szCs w:val="28"/>
          <w:rtl w:val="true"/>
          <w:lang w:bidi="ar-SA"/>
        </w:rPr>
        <w:t>في أحد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 تقدّم في بعض المباحث أنّ الفداء في اللّغة وعرف الأخبار والفقهاء، يستعمل في القدر الشرعي والقيمة، مع أنّ أخبار الحمامة صريحة في أنّ عليه الفداء المصطلح والقيمة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الحسن بن علي بن فضّال، عن رجل سمّاه،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الصيد يضاعفه ما بينه وبين البدنة، فإذا بلغ البدنة فليس عليه التضعيف</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 الجزاء مضاعفاً فيما دون البدنة حتّى يبلغ البدنة، فإذا بلغ البدنة فلا تضاعف، لأنّه أعظم ما يكون،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شَعائِرَ اَللّهِ فَإِنَّها مِنْ تَقْوَى اَلْقُلُوبِ‌</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أنّهما مرسلان، فما أفاده الحِلّي أحوط</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فرعٌ يتناسب مع ما مرّ ذكره وهو ما لو اجتمع جماعة من المُحلّين علي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قتل صيد، فهل علي كلّ واحدٍ منهم الفداء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91"/>
      </w:r>
      <w:r>
        <w:rPr>
          <w:rFonts w:ascii="Amiri" w:hAnsi="Amiri" w:eastAsia="Amiri" w:cs="Amiri"/>
          <w:color w:val="111111"/>
          <w:sz w:val="28"/>
          <w:sz w:val="28"/>
          <w:szCs w:val="28"/>
          <w:rtl w:val="true"/>
          <w:lang w:bidi="ar-SA"/>
        </w:rPr>
        <w:t>وغيرهما؟</w:t>
      </w:r>
    </w:p>
    <w:p>
      <w:pPr>
        <w:pStyle w:val="BookText"/>
        <w:rPr/>
      </w:pPr>
      <w:r>
        <w:rPr>
          <w:rFonts w:ascii="Amiri" w:hAnsi="Amiri" w:eastAsia="Amiri" w:cs="Amiri"/>
          <w:color w:val="111111"/>
          <w:sz w:val="28"/>
          <w:sz w:val="28"/>
          <w:szCs w:val="28"/>
          <w:rtl w:val="true"/>
          <w:lang w:bidi="ar-SA"/>
        </w:rPr>
        <w:t>أم على الجميع فداء واحد؟</w:t>
      </w:r>
    </w:p>
    <w:p>
      <w:pPr>
        <w:pStyle w:val="BookText"/>
        <w:rPr/>
      </w:pPr>
      <w:r>
        <w:rPr>
          <w:rFonts w:ascii="Amiri" w:hAnsi="Amiri" w:eastAsia="Amiri" w:cs="Amiri"/>
          <w:color w:val="111111"/>
          <w:sz w:val="28"/>
          <w:sz w:val="28"/>
          <w:szCs w:val="28"/>
          <w:rtl w:val="true"/>
          <w:lang w:bidi="ar-SA"/>
        </w:rPr>
        <w:t>ولكن نحن قدّمناه، وذكرناه في مسألة ما لو اشترك جماعة في قتل صيد، فمن أراد فليراجعها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79" w:name="pg11809_94556"/>
    </w:p>
    <w:p>
      <w:pPr>
        <w:pStyle w:val="BookText"/>
        <w:rPr/>
      </w:pPr>
      <w:bookmarkEnd w:id="179"/>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يَضمن الصيد بالقتل عمداً وسهواً وجهلاً،</w:t>
      </w:r>
    </w:p>
    <w:p>
      <w:pPr>
        <w:pStyle w:val="Heading3"/>
        <w:numPr>
          <w:ilvl w:val="2"/>
          <w:numId w:val="1"/>
        </w:numPr>
        <w:rPr/>
      </w:pPr>
      <w:bookmarkStart w:id="180" w:name="__RefHeading___Toc10723909_73709187"/>
      <w:bookmarkStart w:id="181" w:name="_Toc61"/>
      <w:bookmarkEnd w:id="180"/>
      <w:r>
        <w:rPr>
          <w:rtl w:val="true"/>
        </w:rPr>
        <w:t>حكم الصيد سهواً أو جهلاً</w:t>
      </w:r>
      <w:bookmarkEnd w:id="18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يضمن الصيد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يعلم أنّه صيدٌ ذاكراً للإحرام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غافلاً عن الإحرام، أو عن كونه صيداً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أو خطأ أو اضطراراً، إلّافيما مرَّ من الجراد ممّا يشقّ التحرّز عنه، بلا خلافٍ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بالإجماع المحقّق والمحكيّ مستفيضاً</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 xml:space="preserve">انتهى‌،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بالإجماع المستفيض النقل</w:t>
      </w:r>
      <w:r>
        <w:rPr>
          <w:rFonts w:eastAsia="Amiri" w:cs="Amiri" w:ascii="Amiri" w:hAnsi="Amiri"/>
          <w:color w:val="111111"/>
          <w:sz w:val="28"/>
          <w:szCs w:val="28"/>
          <w:rtl w:val="true"/>
          <w:lang w:bidi="ar-SA"/>
        </w:rPr>
        <w:t>)</w:t>
      </w:r>
      <w:r>
        <w:rPr>
          <w:rStyle w:val="FootnoteAnchor"/>
          <w:rtl w:val="true"/>
        </w:rPr>
        <w:footnoteReference w:id="89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ليس عليك فداء شيء أتيته وأنتَ مُحرِم جاهلاً به إذا كنت محرِماً في حجّك أو عمرتك إلّا الصيد، فإنّ عليك الفداء بجهالة كان أو عمد</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يصيبُ الصيد بجهالة‌؟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إصابه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الخطأ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هذه النخلة فتصيبُ نخلةً أُخرى‌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الخطأ وعليه الكفّارة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تكرّر خطأ تكرّرت الكفّارة،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أخذ طائراً متعمّداً فذبحه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ألستَ قلت إنّ الخطأ والجهالة والعمد ليسوا بسواء، فبأيّ شيء يفضل المتعمّد الجاهل والخاطئ‌؟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أثم ولعب بدينه</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وصريح صحيح البزنطي تساوي العمد مع الخطأ والجهل، إلّافي الإثم، فما عن المرتضى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8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البناء على التضاعف، إمّا مطلقاً كما عن الأخير، أو مع قصد نقض الإحرام كما عن الأوّل، للاحتياط، ولأنّ عليه مع عدم النسيان جزاءٌ والعمد أغلظ، فيجب عليه المضاعفة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في مقابل النص، وأوهن من ذلك دعوى الإجماع عليه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تكرّر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تكرّر من المُحرِم الجناية عن غير عمدٍ، أعمّ من الخطأ والنسيان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تكرّرت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r>
        <w:rPr>
          <w:rStyle w:val="FootnoteAnchor"/>
          <w:rtl w:val="true"/>
        </w:rPr>
        <w:footnoteReference w:id="898"/>
      </w:r>
      <w:r>
        <w:rPr>
          <w:rFonts w:ascii="Amiri" w:hAnsi="Amiri" w:eastAsia="Amiri" w:cs="Amiri"/>
          <w:color w:val="111111"/>
          <w:sz w:val="28"/>
          <w:sz w:val="28"/>
          <w:szCs w:val="28"/>
          <w:rtl w:val="true"/>
          <w:lang w:bidi="ar-SA"/>
        </w:rPr>
        <w:t xml:space="preserve">، بل الإجماع بقسميه عليه، بل المحكيّ منه مستفيض أو متواتر،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 بل وإنْ كان عن جهل بالحكم الشرعي، ويشهد له نصوصٌ كثيرة سيمرّ عليك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العمد،</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 وعن ابن الجُنيد</w:t>
      </w:r>
      <w:r>
        <w:rPr>
          <w:rStyle w:val="FootnoteAnchor"/>
          <w:rtl w:val="true"/>
        </w:rPr>
        <w:footnoteReference w:id="900"/>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02"/>
      </w:r>
      <w:r>
        <w:rPr>
          <w:rFonts w:ascii="Amiri" w:hAnsi="Amiri" w:eastAsia="Amiri" w:cs="Amiri"/>
          <w:color w:val="111111"/>
          <w:sz w:val="28"/>
          <w:sz w:val="28"/>
          <w:szCs w:val="28"/>
          <w:rtl w:val="true"/>
          <w:lang w:bidi="ar-SA"/>
        </w:rPr>
        <w:t>والسيّد</w:t>
      </w:r>
      <w:r>
        <w:rPr>
          <w:rStyle w:val="FootnoteAnchor"/>
          <w:rtl w:val="true"/>
        </w:rPr>
        <w:footnoteReference w:id="903"/>
      </w:r>
      <w:r>
        <w:rPr>
          <w:rFonts w:ascii="Amiri" w:hAnsi="Amiri" w:eastAsia="Amiri" w:cs="Amiri"/>
          <w:color w:val="111111"/>
          <w:sz w:val="28"/>
          <w:sz w:val="28"/>
          <w:szCs w:val="28"/>
          <w:rtl w:val="true"/>
          <w:lang w:bidi="ar-SA"/>
        </w:rPr>
        <w:t>والحلبي</w:t>
      </w:r>
      <w:r>
        <w:rPr>
          <w:rStyle w:val="FootnoteAnchor"/>
          <w:rtl w:val="true"/>
        </w:rPr>
        <w:footnoteReference w:id="904"/>
      </w:r>
      <w:r>
        <w:rPr>
          <w:rFonts w:ascii="Amiri" w:hAnsi="Amiri" w:eastAsia="Amiri" w:cs="Amiri"/>
          <w:color w:val="111111"/>
          <w:sz w:val="28"/>
          <w:sz w:val="28"/>
          <w:szCs w:val="28"/>
          <w:rtl w:val="true"/>
          <w:lang w:bidi="ar-SA"/>
        </w:rPr>
        <w:t>والحِلّي</w:t>
      </w:r>
      <w:r>
        <w:rPr>
          <w:rStyle w:val="FootnoteAnchor"/>
          <w:rtl w:val="true"/>
        </w:rPr>
        <w:footnoteReference w:id="905"/>
      </w:r>
      <w:r>
        <w:rPr>
          <w:rFonts w:ascii="Amiri" w:hAnsi="Amiri" w:eastAsia="Amiri" w:cs="Amiri"/>
          <w:color w:val="111111"/>
          <w:sz w:val="28"/>
          <w:sz w:val="28"/>
          <w:szCs w:val="28"/>
          <w:rtl w:val="true"/>
          <w:lang w:bidi="ar-SA"/>
        </w:rPr>
        <w:t xml:space="preserve">، 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9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907"/>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والتهذيبين</w:t>
      </w:r>
      <w:r>
        <w:rPr>
          <w:rStyle w:val="FootnoteAnchor"/>
          <w:rtl w:val="true"/>
        </w:rPr>
        <w:footnoteReference w:id="909"/>
      </w:r>
      <w:r>
        <w:rPr>
          <w:rFonts w:ascii="Amiri" w:hAnsi="Amiri" w:eastAsia="Amiri" w:cs="Amiri"/>
          <w:color w:val="111111"/>
          <w:sz w:val="28"/>
          <w:sz w:val="28"/>
          <w:szCs w:val="28"/>
          <w:rtl w:val="true"/>
          <w:lang w:bidi="ar-SA"/>
        </w:rPr>
        <w:t>، والقاضي</w:t>
      </w:r>
      <w:r>
        <w:rPr>
          <w:rStyle w:val="FootnoteAnchor"/>
          <w:rtl w:val="true"/>
        </w:rPr>
        <w:footnoteReference w:id="9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بل أكثر المتأخّرين</w:t>
      </w:r>
      <w:r>
        <w:rPr>
          <w:rStyle w:val="FootnoteAnchor"/>
          <w:rtl w:val="true"/>
        </w:rPr>
        <w:footnoteReference w:id="912"/>
      </w:r>
      <w:r>
        <w:rPr>
          <w:rFonts w:ascii="Amiri" w:hAnsi="Amiri" w:eastAsia="Amiri" w:cs="Amiri"/>
          <w:color w:val="111111"/>
          <w:sz w:val="28"/>
          <w:sz w:val="28"/>
          <w:szCs w:val="28"/>
          <w:rtl w:val="true"/>
          <w:lang w:bidi="ar-SA"/>
        </w:rPr>
        <w:t>، أنّه لا يتكرّر في العمد، وهو ممّن ينتقم اللّه منه، بل عن الكنز</w:t>
      </w:r>
      <w:r>
        <w:rPr>
          <w:rStyle w:val="FootnoteAnchor"/>
          <w:rtl w:val="true"/>
        </w:rPr>
        <w:footnoteReference w:id="913"/>
      </w:r>
      <w:r>
        <w:rPr>
          <w:rFonts w:ascii="Amiri" w:hAnsi="Amiri" w:eastAsia="Amiri" w:cs="Amiri"/>
          <w:color w:val="111111"/>
          <w:sz w:val="28"/>
          <w:sz w:val="28"/>
          <w:szCs w:val="28"/>
          <w:rtl w:val="true"/>
          <w:lang w:bidi="ar-SA"/>
        </w:rPr>
        <w:t xml:space="preserve">نسبته إلى أكثر الأصحاب،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914"/>
      </w:r>
      <w:r>
        <w:rPr>
          <w:rFonts w:ascii="IRNazanin" w:hAnsi="IRNazanin" w:eastAsia="IRNazanin"/>
          <w:color w:val="111111"/>
          <w:sz w:val="28"/>
          <w:sz w:val="28"/>
          <w:szCs w:val="28"/>
          <w:rtl w:val="true"/>
          <w:lang w:bidi="fa-IR"/>
        </w:rPr>
        <w:t>أنّه ظاهر مذهب الأصحاب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ونصوص المقام طوائف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تكرّر الكفّارة بتكرار الصيد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يصيب الصيد؟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في كلّ ما أصاب</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أصاب صيداً؟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عاد؟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كلّ ما عاد كفّارة</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تساوي العالم العامد مع غيره في الجزاء، إلّافي الإثم، كصحيح البزنطي المتقدّم، وهذا أيضاً يدلّ على تكرّر الكفّارة لو تكرّر الصيد عمداً، إذ لو فضل العامد بغير ذلك لبيّنه عليه السلام، لأنّه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تكرّر الكفّارة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قتل الصيد فعليه جزائه، ويتصدّق بالصيد على مسكين، فإنْ عاد فقتل صيداً آخر لم يكن عليه جزائه وينتقم اللّه تعالى منه</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حفص الأعور،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فقولوا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أصبت صيداً قبل هذا وأنتَ محرم‌؟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منتقمٌ منك فاحذر النقمة،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فاحكموا عليه جزاء ذلك الصيد</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تكرّرها في غير العمد، وعدم التكرّر في العمد، كمرسل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المُحرِم الصيد خطأً فعليه كفّارة، فإنْ أصابه ثانيةً خطأً فعليه الكفّارة أبداً إذا كان خطأ، فإنْ أصابه متعمّداً كان عليه الكفّارة، فإنْ أصابه ثانيةً متعمّداً فهو ممّن ينتقم اللّه منه، والنقمة في الآخرة، ولم يكن عليه الكفّارة</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دعوى اختصاص أكثر الطائفة الثالثة بالعامد، لظهور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يُجمع بين النصوص بحمل الطائفة الرابعة على إرادة أنّه ليس عليه الجزاء وحده، بل ويعاقب، وكذا أخبار الطائفة الثالثة، فتكون النتيجة ثبوت الكفّارة في كلّ 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النصوص المتقدّمة لا يصلح لذلك، سيّما مرسل ابن أبي عمير، مع أنّه جمعٌ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بالطائفة الرابعة نقيّد إطلاق الطائفة الأُولى وتُحمل على غير العامد، وكذا الطائفة الثالثة إنْ قلنا بشمولها لغير العامد أيضاً فتختصّ بالعامد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 فهي في بيان حكم العامد في المرّة الأُولى‌، ومع الإغماض عن ذلك، فغايته الإطلاق، فتقيّد بالطائفة الرابعة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أبيتَ إلّاعن التعارض بين النصوص، وأنّه لا يمكن الجمع بينها بوجه، فتتعارض والمرجع إلى المرجّحات، والترجيح مع نصوص نفي الكفّارة عن العامد، لكونها موافقة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حكم أوّلاً بالجزاء وبالانتقام لمن عاد، فيفهم منه أنّ الأوّل ليس لمن عاد، بل هو حكم البادي، وحيث أنّ التفصيل قاطعٌ</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للشركة، فتدلّ الآية على انتفاء غير الانتقام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ومخالفة لأكثر العامّة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تكرّر الكفّارة في العمد، كما ظهر بطلان الاستدلال للقول الآخر بالنصوص، وكذا بطلان الاستدلال له بالآية، وأيضاً ثبت أنّه لا يصحّ الاستدلال له بما دلّ على عدم الفرق بين العمد والخطاء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الوجوه الثلاثة التي عرفت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وبإطلاقات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حينئذٍ يلزم من القول بعدم التكرّر أنْ يكون من قَتَل جرادة ثمّ نعامة عليه كفّارة الجرادة دون النعامة، وهو لا يناسب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يلزم أنْ يكون ذنب من يقتل جرادة أو زنبوراً عقيب نعامة أعظم من قتله النعامة</w:t>
      </w:r>
      <w:r>
        <w:rPr>
          <w:rStyle w:val="FootnoteAnchor"/>
          <w:rtl w:val="true"/>
        </w:rPr>
        <w:footnoteReference w:id="921"/>
      </w:r>
      <w:r>
        <w:rPr>
          <w:rFonts w:ascii="Amiri" w:hAnsi="Amiri" w:eastAsia="Amiri" w:cs="Amiri"/>
          <w:color w:val="111111"/>
          <w:sz w:val="28"/>
          <w:sz w:val="28"/>
          <w:szCs w:val="28"/>
          <w:rtl w:val="true"/>
          <w:lang w:bidi="ar-SA"/>
        </w:rPr>
        <w:t>، وليس كذلك، إذ هو كما ترى لا يوافق أُصول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يخرج عنه بالنصوص، وإطلاقات الكفّارة تقيّد بها، وأمّا باقي الوجوه فهي اجتهادات في مقابل النص، وعليه فالأظهر عدم التكرّر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مختصٌّ بالمُحرم، ولا يشمل المُحلّ في الحرم، كما صرّح به الشهيد الثاني</w:t>
      </w:r>
      <w:r>
        <w:rPr>
          <w:rStyle w:val="FootnoteAnchor"/>
          <w:rtl w:val="true"/>
        </w:rPr>
        <w:footnoteReference w:id="922"/>
      </w:r>
      <w:r>
        <w:rPr>
          <w:rFonts w:ascii="Amiri" w:hAnsi="Amiri" w:eastAsia="Amiri" w:cs="Amiri"/>
          <w:color w:val="111111"/>
          <w:sz w:val="28"/>
          <w:sz w:val="28"/>
          <w:szCs w:val="28"/>
          <w:rtl w:val="true"/>
          <w:lang w:bidi="ar-SA"/>
        </w:rPr>
        <w:t>وغيره</w:t>
      </w:r>
      <w:r>
        <w:rPr>
          <w:rStyle w:val="FootnoteAnchor"/>
          <w:rtl w:val="true"/>
        </w:rPr>
        <w:footnoteReference w:id="923"/>
      </w:r>
      <w:r>
        <w:rPr>
          <w:rFonts w:ascii="Amiri" w:hAnsi="Amiri" w:eastAsia="Amiri" w:cs="Amiri"/>
          <w:color w:val="111111"/>
          <w:sz w:val="28"/>
          <w:sz w:val="28"/>
          <w:szCs w:val="28"/>
          <w:rtl w:val="true"/>
          <w:lang w:bidi="ar-SA"/>
        </w:rPr>
        <w:t>، ففيه المرجع إلى ما يقتضيه إطلاقات الكفّارة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والأصل من التكرّر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المُحرِم في الأخبار، يشمل من في الحرم، 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مختصّة بالإحرام الواحد، ولا تشمل الإحرامين، من غير فرقٍ بين ارتباط أحدهما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كإحرام عمرة التمتّع وحجّه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عدم الارتباط، وسواءٌ تقارب زمان التكرار بينهما أم تباعد، أو تخلّل التكفير بينهما أم لم يتخلّل، ففي غير المتيقّن يكون المرجع إلى ما يقتضية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المرتبطين بمنزلة إحرام واحد، مع أنّه لا دليل على اعتبار وحدة الإحرام إلّاالإجماع، والمتيقّن منه غير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دلّ دليل تعبّدي على أنّهما بمنزلة إحرام واحد، لقلنا بأنّ مقتضى إطلاق دليل التنزيل ترتّب أحكام إحرام واحد عليهما، ومنها هذا الحكم، ولكنّه ليس كذلك، بل إنّما هو تنزيلٌ عرفي مسامحي لا عبرة به في الأحكام، ودليل الاعتبار ليس هو الإجماع، بل ظهور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البرّاج، أنّه كما لا كفّارة في العمد عقيب العمد، كذلك لا كفّارة في العمد عقيب الخطأ، وفي نسبة ذلك إلى الشيخ نظر</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فلا وجه له، فإنّ مرسل ابن أبي عُمير الذي هو العمدة في هذا القول مصرّحٌ بالعمد عقيب العمد، فتبقي بقيّة الصور تحت ما دلّ على لزوم التكرير مطلقاً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إضطر إلى أكل الصيد والميتة، أكلَ الصيد وفداه مع المكنة، وإلّا أكل الميتة،</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إلى أكل الصيد والميتة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من الصيد والفداء، وإنْ لم يتمكّن من الفداء يرجع إلى القواعد المقرّرة والأبدال المعيّنة إنْ كان لها أبدال، وهو المنسوب إلى المفيد</w:t>
      </w:r>
      <w:r>
        <w:rPr>
          <w:rStyle w:val="FootnoteAnchor"/>
          <w:rtl w:val="true"/>
        </w:rPr>
        <w:footnoteReference w:id="925"/>
      </w:r>
      <w:r>
        <w:rPr>
          <w:rFonts w:ascii="Amiri" w:hAnsi="Amiri" w:eastAsia="Amiri" w:cs="Amiri"/>
          <w:color w:val="111111"/>
          <w:sz w:val="28"/>
          <w:sz w:val="28"/>
          <w:szCs w:val="28"/>
          <w:rtl w:val="true"/>
          <w:lang w:bidi="ar-SA"/>
        </w:rPr>
        <w:t>وسلّار</w:t>
      </w:r>
      <w:r>
        <w:rPr>
          <w:rStyle w:val="FootnoteAnchor"/>
          <w:rtl w:val="true"/>
        </w:rPr>
        <w:footnoteReference w:id="926"/>
      </w:r>
      <w:r>
        <w:rPr>
          <w:rFonts w:ascii="IRNazanin" w:hAnsi="IRNazanin" w:eastAsia="IRNazanin"/>
          <w:color w:val="111111"/>
          <w:sz w:val="28"/>
          <w:sz w:val="28"/>
          <w:szCs w:val="28"/>
          <w:rtl w:val="true"/>
          <w:lang w:bidi="fa-IR"/>
        </w:rPr>
        <w:t>والصدوق</w:t>
      </w:r>
      <w:r>
        <w:rPr>
          <w:rStyle w:val="FootnoteAnchor"/>
          <w:rtl w:val="true"/>
        </w:rPr>
        <w:footnoteReference w:id="92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مختار المصنّف في المتن،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الصيد وفداه مع المُكنة، وإلّا 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إلّاأنّ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له أكل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تمكّن الفداء حال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ولو مع الرجوع إلى ماله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بينهما، وهو المنقول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قال بعد الحكم بالتخيّير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أبا الحسن الثاني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 الصيد ويأكله أحبّ إليّ من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ابن سعيد</w:t>
      </w:r>
      <w:r>
        <w:rPr>
          <w:rStyle w:val="FootnoteAnchor"/>
          <w:rtl w:val="true"/>
        </w:rPr>
        <w:footnoteReference w:id="932"/>
      </w:r>
      <w:r>
        <w:rPr>
          <w:rFonts w:ascii="IRNazanin" w:hAnsi="IRNazanin" w:eastAsia="IRNazanin"/>
          <w:color w:val="111111"/>
          <w:sz w:val="28"/>
          <w:sz w:val="28"/>
          <w:szCs w:val="28"/>
          <w:rtl w:val="true"/>
          <w:lang w:bidi="fa-IR"/>
        </w:rPr>
        <w:t>موافقته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إذا وجد صيداً مذبوحاً ذبحه المُحِلّ في حِلّ فيأكله ويفديه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يفتقر إلى ذبحه وهو مُحرِم، أو يجد مذبوحاً ذبحه مُحرِمٌ أو ذبح في الحرم فيأكل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الميتة مطلقاً، وهو الذي حكاه ابن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مسألة حرمة الصيد على المُحرِم نقل الروايات، وما في وجه الجمع بينها، والمختار عندنا، فراجعها</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82" w:name="pg11809_94565"/>
    </w:p>
    <w:p>
      <w:pPr>
        <w:pStyle w:val="BookText"/>
        <w:rPr/>
      </w:pPr>
      <w:bookmarkEnd w:id="182"/>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الصيد المملوك لصاحبه</w:t>
      </w:r>
    </w:p>
    <w:p>
      <w:pPr>
        <w:pStyle w:val="Heading3"/>
        <w:numPr>
          <w:ilvl w:val="2"/>
          <w:numId w:val="1"/>
        </w:numPr>
        <w:rPr/>
      </w:pPr>
      <w:bookmarkStart w:id="183" w:name="__RefHeading___Toc10723911_73709187"/>
      <w:bookmarkStart w:id="184" w:name="_Toc62"/>
      <w:bookmarkEnd w:id="183"/>
      <w:r>
        <w:rPr>
          <w:rtl w:val="true"/>
        </w:rPr>
        <w:t>فداءُ الصيد المملوك</w:t>
      </w:r>
      <w:bookmarkEnd w:id="18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الصّيد المملوك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Style w:val="FootnoteAnchor"/>
          <w:rtl w:val="true"/>
        </w:rPr>
        <w:footnoteReference w:id="9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939"/>
      </w:r>
      <w:r>
        <w:rPr>
          <w:rFonts w:ascii="Amiri" w:hAnsi="Amiri" w:eastAsia="Amiri" w:cs="Amiri"/>
          <w:color w:val="111111"/>
          <w:sz w:val="28"/>
          <w:sz w:val="28"/>
          <w:szCs w:val="28"/>
          <w:rtl w:val="true"/>
          <w:lang w:bidi="ar-SA"/>
        </w:rPr>
        <w:t xml:space="preserve">وغيرهما،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أطلق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هذا القول الشهيد الثاني قدس سره اثنى عشر إشكالاً، ولا بأس بنقل كلامه بطوله لما فيه من فوائد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والمفهوم من الفداء ما يلزم المُحرِم بسبب الجناية عن الصيد من مالٍ أو صوم أو إرسال، وهو شاملٌ أيضاً لما إذا زاد عن قيمة الصيد المملوك أو نقص، ولما إذا كانت الجناية غير موجبة لضمان الأموال، كالدلالة على الصيد مع المباشرة، ولما كان للمالك فيه نفع وغيره والإرسال والصوم، ولما إذا كانت الجناية من المُحرِم في الحِلّ وفي الحرم، أو من المُحِلّ في الحرم، فيشمل ما يجتمع فيه القيمة والجزاء، ومقتضاه أنّه لا يجب للّه تعالى سوى ما يجبُ للمالك، مع أنّ القواعد المستقرّة تقتضي ضمان الأموال بالمثل أو القيمة كيف كان، وقد يقتضي الحال في هذه </w:t>
      </w:r>
    </w:p>
    <w:p>
      <w:pPr>
        <w:pStyle w:val="BookText"/>
        <w:rPr/>
      </w:pPr>
      <w:r>
        <w:rPr>
          <w:rFonts w:ascii="Amiri" w:hAnsi="Amiri" w:eastAsia="Amiri" w:cs="Amiri"/>
          <w:color w:val="111111"/>
          <w:sz w:val="28"/>
          <w:sz w:val="28"/>
          <w:szCs w:val="28"/>
          <w:rtl w:val="true"/>
          <w:lang w:bidi="ar-SA"/>
        </w:rPr>
        <w:t>المسألة ضمان ما هو أزيد من ذلك، كما إذا زاد الجزاء عن القيمة، أو اجتمع عليه الأمران، وقد يقتضي ضمان ما هو أقلّ‌، بل ما لا ينتفع به المالك، فلا يكون الإحرام موجباً للتغليظ زيادة عن الإحلال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 في هذه المسألة مخالفة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البدنة عوضاً عن النعامة، مع أنّها قيمتها، والواجبُ على غاصبها المتلف ضمان قيمتها، وهي قد تكون أزيد من البدنة، وقد تكون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ثمنها على البِرّ وإعطائه للمالك، على الوجه الذي سمعته في فضّه على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الصيام مع العجز عنه يقتضي ضياع حقّ المالك المالي، مع أنّ الصوم من جملة الفداء الشرعي، وإيجابه للّه تعالى، وبقاء ضمان الصيد للمالك خروجٌ عن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المُتلف بيضاً موجباً للإرسال، فأرسل الجاني ولم ينتج شيئاً يلزم ضياع حقّ المالك، وإنْ أوجبنا القيمة هنا ونفينا الإرسال، لزم الخروج عن النص المعلوم، ولو عجز عن الإرسال فالكلام في الصوم بدله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المُحرِم مثلاً دالّاً، ضمن أيضاً مع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الفداء من المباشر المتعدّد والسبب حينئذٍ كذلك، وإعطاؤه للمالك، وربما يزيد على ماله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لو كان المملوك حماماً في الحَرَم كالقُماري، فنفره ثمّ عاد إلى المالك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المخالفات للأصل المتّفق عليه، من غير موجبٍ يقتضي المصير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ذهب جمع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والمحقّق الشيخ علي</w:t>
      </w:r>
      <w:r>
        <w:rPr>
          <w:rStyle w:val="FootnoteAnchor"/>
          <w:rtl w:val="true"/>
        </w:rPr>
        <w:footnoteReference w:id="944"/>
      </w:r>
      <w:r>
        <w:rPr>
          <w:rFonts w:ascii="Amiri" w:hAnsi="Amiri" w:eastAsia="Amiri" w:cs="Amiri"/>
          <w:color w:val="111111"/>
          <w:sz w:val="28"/>
          <w:sz w:val="28"/>
          <w:szCs w:val="28"/>
          <w:rtl w:val="true"/>
          <w:lang w:bidi="ar-SA"/>
        </w:rPr>
        <w:t>إلى أنّ فداء المملوك للّه تعالى، وعليه القيمة لمالكه، وهذا هو القوى، لأنّه قد اجتمع في الصيد المملوك حقّان للّه تعالى باعتبار الإحرام والحرم، وللآدمي باعتبار الملك، والأصل عدم التداخل، فحينئذٍ يُنزّل الجاني منزلة الغاصب والقابض بالسّوم، ففي كلّ موضعٍ يلزمه الضمان يلزمه هنا كيفيّةً وكميّةً‌، فيضمن القيمي بقيمته والمثلي بمثله، ومثله الأرش في موضعٍ يوجبه للممالك، ويجبُ عليه ما نصّ الشارع عليه هنا للّه تعالى، ولو كان دالّاً ضمن الفداء للّه تعالى خاصّة</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على ذلك كلّه غير واحدٍ ممّن تأخّر عنه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ذهب إلى ما اختاره جمعٌ ممّن تقدّم عليه غير من ذُكر، كالشيخ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48"/>
      </w:r>
      <w:r>
        <w:rPr>
          <w:rFonts w:ascii="Amiri" w:hAnsi="Amiri" w:eastAsia="Amiri" w:cs="Amiri"/>
          <w:color w:val="111111"/>
          <w:sz w:val="28"/>
          <w:sz w:val="28"/>
          <w:szCs w:val="28"/>
          <w:rtl w:val="true"/>
          <w:lang w:bidi="ar-SA"/>
        </w:rPr>
        <w:t xml:space="preserve">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إذ في المقام طائفتان من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 المملوك يتصدّق به،</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أنّ المُحرِم إذا جنى يجبُ عليه الفداء، وفي جملةٍ من النصوص التصريح بأنّه يتصدّق به على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الحلبي في فداء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علي في من أخرج طيراً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الحذّاء في من لم يجد الجزاء الآتية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الأبدال فأكثر نصوصها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ضمان المتلف ما أتلفه فالمثل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تعارض بينهما، فيجبُ العمل بهما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نصوص الفداء بالإطلاق تدلّ على عدم لزوم شيء آخر غيره، وإنْ كان الصيد مملوكاً، ودليل ضمان المال لصاحبه بالإطلاق يدلّ على أنّ عليه المثل أو القيمة خاصّة، وإنْ كان المتلف مُحرِماً أو في الحرم فيتعارضان، والنسبة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مفهوم لشيء من الأدلّة كي يدلّ به على عدم وجوب شيء آخر، والمنطوق من كلّ منهما لا يعارض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القول بأنّه إذا كان الصيد مملوكاً، وجب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الفداء يصرفه فيما عُيِّن له، والعِوض للمالك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الصيد المملوك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فداءالصيد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بلاخلافٍ ولاكلام، ويشهدبه </w:t>
      </w:r>
    </w:p>
    <w:p>
      <w:pPr>
        <w:pStyle w:val="BookText"/>
        <w:rPr/>
      </w:pPr>
      <w:r>
        <w:rPr>
          <w:rFonts w:ascii="Amiri" w:hAnsi="Amiri" w:eastAsia="Amiri" w:cs="Amiri"/>
          <w:color w:val="111111"/>
          <w:sz w:val="28"/>
          <w:sz w:val="28"/>
          <w:szCs w:val="28"/>
          <w:rtl w:val="true"/>
          <w:lang w:bidi="ar-SA"/>
        </w:rPr>
        <w:t>وحمام الحرم يشتري بقيمته علف لحمامه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المتقدّم،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المُحرِم حمامة من حمام الحرم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يبلغ الظبي،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دمٌ يهريقه، ويتصدّق بمثل ثمنه، وإنْ أصاب منه وهو حلال، فعليه أن يتصدّق بمثل ثمنه</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فداء الصيد يأكل صاحبه من لحمه‌؟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اُضحيته ويتصدّق بالفداء</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أخرج طيراً من مكّة فمات، فعليه ثمنها يتصدّق به</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تضمّن بعض النصوص ما ورد في المتن من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وحمام الحَرم يُشترى بقيمته علف لحمامه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كخبر صفوان بن يحيى‌، عن أبي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طيراً في الحرم وهو مُحِلّ‌، فعليه القيمة، والقيمة درهم يَشتري به علفاً لحمام الحرم</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علي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والجمع يقتضي البناء على التخيّير، كما صرّح به في 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 المُحرِم حماماً في الحرم، فعليه شاة، وقيمة الحمامة درهم أو شبهه يتصدّق به، أو يُطعمه حمام مكّة</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85" w:name="pg11809_94571"/>
    </w:p>
    <w:p>
      <w:pPr>
        <w:pStyle w:val="BookText"/>
        <w:rPr/>
      </w:pPr>
      <w:bookmarkEnd w:id="185"/>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يلزمه في إحرام الحَجّ‌، ينحره أو يذبحه بمنى،</w:t>
      </w:r>
    </w:p>
    <w:p>
      <w:pPr>
        <w:pStyle w:val="Heading3"/>
        <w:numPr>
          <w:ilvl w:val="2"/>
          <w:numId w:val="1"/>
        </w:numPr>
        <w:rPr/>
      </w:pPr>
      <w:bookmarkStart w:id="186" w:name="__RefHeading___Toc10723913_73709187"/>
      <w:bookmarkStart w:id="187" w:name="_Toc63"/>
      <w:bookmarkEnd w:id="186"/>
      <w:r>
        <w:rPr>
          <w:rtl w:val="true"/>
        </w:rPr>
        <w:t>محل ذبح الفداء ونحره</w:t>
      </w:r>
      <w:bookmarkEnd w:id="18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يلزمه في إحرام الحَجّ ينحره أو يذبحه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أو في خصوص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الكتب، كالخلاف</w:t>
      </w:r>
      <w:r>
        <w:rPr>
          <w:rStyle w:val="FootnoteAnchor"/>
          <w:rtl w:val="true"/>
        </w:rPr>
        <w:footnoteReference w:id="9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للراوندي</w:t>
      </w:r>
      <w:r>
        <w:rPr>
          <w:rStyle w:val="FootnoteAnchor"/>
          <w:rtl w:val="true"/>
        </w:rPr>
        <w:footnoteReference w:id="9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والعمل</w:t>
      </w:r>
      <w:r>
        <w:rPr>
          <w:rFonts w:eastAsia="IRNazanin" w:cs="IRNazanin"/>
          <w:color w:val="111111"/>
          <w:sz w:val="28"/>
          <w:szCs w:val="28"/>
          <w:rtl w:val="true"/>
          <w:lang w:bidi="fa-IR"/>
        </w:rPr>
        <w:t>»</w:t>
      </w:r>
      <w:r>
        <w:rPr>
          <w:rStyle w:val="FootnoteAnchor"/>
          <w:rtl w:val="true"/>
        </w:rPr>
        <w:footnoteReference w:id="95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9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6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970"/>
      </w:r>
      <w:r>
        <w:rPr>
          <w:rFonts w:ascii="Amiri" w:hAnsi="Amiri" w:eastAsia="Amiri" w:cs="Amiri"/>
          <w:color w:val="111111"/>
          <w:sz w:val="28"/>
          <w:sz w:val="28"/>
          <w:szCs w:val="28"/>
          <w:rtl w:val="true"/>
          <w:lang w:bidi="ar-SA"/>
        </w:rPr>
        <w:t>على ما حكي عن جملة منها، بل بلا خلافٍ كما عن غير واحدٍ</w:t>
      </w:r>
      <w:r>
        <w:rPr>
          <w:rStyle w:val="FootnoteAnchor"/>
          <w:rtl w:val="true"/>
        </w:rPr>
        <w:footnoteReference w:id="971"/>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مذهب الأصحاب لا أعلم فيه مخالفاً</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وهي ما بين مطلق ومختصّ بالصيد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المرويّ في إرشاد المفيد، عن الريان بن شبيب، عن مولاناالجواد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المُحرِم ما يجبُ عليه الهدي فيه، وكان إحرامه بالحجّ نحره بمنى، وإنْ كان إحرامه بالعُمرة نحره بمكّة</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 محمّد بن عون الضّبي،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مسنداً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974"/>
      </w:r>
      <w:r>
        <w:rPr>
          <w:rFonts w:ascii="IRNazanin" w:hAnsi="IRNazanin" w:eastAsia="IRNazanin"/>
          <w:color w:val="111111"/>
          <w:sz w:val="28"/>
          <w:sz w:val="28"/>
          <w:szCs w:val="28"/>
          <w:rtl w:val="true"/>
          <w:lang w:bidi="fa-IR"/>
        </w:rPr>
        <w:t xml:space="preserve">، ومرسلاً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بالحجّ ينحر الفداء بمنى، والمُحرِم بالعمرة ينحر الفداء بمكّة</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عبد اللّه بن سنان، عن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وجب عليه فداء صيدٍ أصابه وهو مُحرِم، فإنْ كان حاجّاً نحر هديه الذي يجبُ عليه بمنى، وإنْ كان معتمراً نحره بمكّة قبالة الكعبة</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أصاب صيداً فوجب عليه الفداء، فعليه أن ينحره إنْ كان في الحَجّ بمنى، فإنْ كان في عُمرة نَحره بمكّة، وإنْ شاء تركه إلى أن يقدم ويشتريه فإنّه يُجزي عنه</w:t>
      </w:r>
      <w:r>
        <w:rPr>
          <w:rFonts w:eastAsia="Amiri" w:cs="Amiri" w:ascii="Amiri" w:hAnsi="Amiri"/>
          <w:color w:val="111111"/>
          <w:sz w:val="28"/>
          <w:szCs w:val="28"/>
          <w:rtl w:val="true"/>
          <w:lang w:bidi="ar-SA"/>
        </w:rPr>
        <w:t>»</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بالإجزاء عدم وجوب شراء الفداء من حيث صاده، الذي ورد النص بالأمر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الحلبيّان إلى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الأردبيلي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أن يفدي فداء الصيد في موضع الإصابة، وإنْ كان الأفضل التأخير</w:t>
      </w:r>
      <w:r>
        <w:rPr>
          <w:rStyle w:val="FootnoteAnchor"/>
          <w:rtl w:val="true"/>
        </w:rPr>
        <w:footnoteReference w:id="979"/>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بمرسل المفيد،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يفدي</w:t>
      </w:r>
      <w:r>
        <w:rPr>
          <w:rStyle w:val="FootnoteAnchor"/>
          <w:rtl w:val="true"/>
        </w:rPr>
        <w:footnoteReference w:id="980"/>
      </w:r>
      <w:r>
        <w:rPr>
          <w:rFonts w:ascii="Amiri" w:hAnsi="Amiri" w:eastAsia="Amiri" w:cs="Amiri"/>
          <w:color w:val="111111"/>
          <w:sz w:val="28"/>
          <w:sz w:val="28"/>
          <w:szCs w:val="28"/>
          <w:rtl w:val="true"/>
          <w:lang w:bidi="ar-SA"/>
        </w:rPr>
        <w:t>فداء الصيد من حيث صاده</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يُفدي المُحرِم فداء الصيد من حيث أصابه</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أبي عُبيدة،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ولم يجد ما يُكفِّر من موضعه الذي أصاب فيه الصيد، قوّم جزاءه من النعم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دراهم، الحديث</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النصوص لا تصلح للمقاومة في مقابل النصوص المتقدّمة المعمول بها، فالمتعيّن حملها على غير ظاهرها، بإرادة الشراء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 وصحيح معاوية، وتقويم الجزاء بعد صدق عدم الوجدان لا ذبح الهدي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تكون أكثر النصوص في الصيد، وما هو عامٌ لغيره غير نقي السند، فقد يقال بعدم وجوب أنْ يكون ذبح فداء غير الصيد بمنى، بل المرسل الذي رواه أحمد،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وجب عليه هَديٌ في إحرامه، فله أن ينحره حيث شاء، إلّافداء الصيد، الحديث</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عدم لزوم كونه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النصوص المتقدّمة ضعفها منجبرٌ بالعمل، والمرسل ضعيف لإرساله، مع أنّه قد ورد في التظليل صحيحٌ دالّ على أنّه يجب عليه ذبح كفّارته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وبضميمة عدم القول بالفصل يتمّ في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استناد الأصحاب إلى النصوص المتقدّمة بنحوٍ ينجبر ضعف اسنادها غير ثابت، فالمتعيّن هو الرجوع إلى إطلاق أدلّة الكفّارات لو كان، وإلّا فإلى أصالة البراءة، ومقتضى كلّ منهما هو التخيّير في الذبح في أيّ مكان أراد، وما ورد في التظليل بضميمة عدم القول بالفصل بينه وبين غيره يُحمل على الاستحباب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أنّ المكلّف مخيّرٌ في الذبح بين الأمكنة، فله أن يؤخّره إلى أن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معتمراً فبمكّة،</w:t>
      </w:r>
    </w:p>
    <w:p>
      <w:pPr>
        <w:pStyle w:val="BookText"/>
        <w:rPr/>
      </w:pPr>
      <w:r>
        <w:rPr>
          <w:rFonts w:ascii="Amiri" w:hAnsi="Amiri" w:eastAsia="Amiri" w:cs="Amiri"/>
          <w:color w:val="111111"/>
          <w:sz w:val="28"/>
          <w:sz w:val="28"/>
          <w:szCs w:val="28"/>
          <w:rtl w:val="true"/>
          <w:lang w:bidi="ar-SA"/>
        </w:rPr>
        <w:t>يرجع إلى بلده، ولكن الاحتياط بعدم التأخير في التظليل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مُعتمراً فبمكّة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98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9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99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99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9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99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Style w:val="FootnoteAnchor"/>
          <w:rtl w:val="true"/>
        </w:rPr>
        <w:footnoteReference w:id="997"/>
      </w:r>
      <w:r>
        <w:rPr>
          <w:rFonts w:ascii="Amiri" w:hAnsi="Amiri" w:eastAsia="Amiri" w:cs="Amiri"/>
          <w:color w:val="111111"/>
          <w:sz w:val="28"/>
          <w:sz w:val="28"/>
          <w:szCs w:val="28"/>
          <w:rtl w:val="true"/>
          <w:lang w:bidi="ar-SA"/>
        </w:rPr>
        <w:t>التصريح بأنّه يجوز للمعتمر أن يذبح غير كفّارة الصيد بمنى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أنّه يجب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ذبحه في العُمرة المتمتّع بها بمنى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والد الصدوق</w:t>
      </w:r>
      <w:r>
        <w:rPr>
          <w:rFonts w:eastAsia="IRNazanin" w:cs="IRNazanin"/>
          <w:color w:val="111111"/>
          <w:sz w:val="28"/>
          <w:szCs w:val="28"/>
          <w:rtl w:val="true"/>
          <w:lang w:bidi="fa-IR"/>
        </w:rPr>
        <w:t>:</w:t>
      </w:r>
      <w:r>
        <w:rPr>
          <w:rStyle w:val="FootnoteAnchor"/>
          <w:rtl w:val="true"/>
        </w:rPr>
        <w:footnoteReference w:id="1001"/>
      </w:r>
      <w:r>
        <w:rPr>
          <w:rFonts w:ascii="Amiri" w:hAnsi="Amiri" w:eastAsia="Amiri" w:cs="Amiri"/>
          <w:color w:val="111111"/>
          <w:sz w:val="28"/>
          <w:sz w:val="28"/>
          <w:szCs w:val="28"/>
          <w:rtl w:val="true"/>
          <w:lang w:bidi="ar-SA"/>
        </w:rPr>
        <w:t>تجويز ذبح فداء الصّيد في عُمرة التمتّع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في فداء الصيد، ولا يتمّ في غيره، لضعف سند ما في غيره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بمرسل أحمد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منصور،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كفّارة العُمرة المفردة، أين تكون‌؟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إلّاأن يشاء صاحبها أن يؤخّرها إلى منى، ويجعلها بمكّة أحبّ إليّ وأفضل</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معاوية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كفّارة المعتمر، أين تكون‌؟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إلّاأن يؤخّرها إلى الحَجّ فتكون بمنى، وتعجيلها أفضل وأحبّ إليّ‌</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المرسل ضعيف، وصحيح منصور مختصٌّ بالعمرة المفردة، فهو أخصّ من ما دلّ على أنّ كفّارة الصيد في العُمرة مطلقاً بمكّة، وأعمّ منه من جهة شموله للصيد وغيره، فيقع التعارض بينهما في خصوص كفّارة الصيد في العُمرة المفردة، ولكن حيث أنّه يمكن الجمع العرفي بينهما، لظهور نصوص الصيد في لزوم كونه بمكّة، وصراحة الصحيح في جواز التأخير إلى منى، فتكون النتيجة جواز التأخير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منى مطلقاً، ففي العُمرة المفردة لابدّ وأنْ يكون ذبح الكفّارة إمّا بمكّة أو بمنى، والأوّل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جمعاً عرفيّاً، فيتعيّن تقديم نصوص الصيد للشهرة، وعليه فالأحوط لزوماً الذبح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معاوية المختصّ بعمرة التمتّع، فبقرينة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يؤخّرها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فنسبته مع نصوص فداء الصيد أيضاً هي العموم من وجه، والجمع العرفي بينهما يقتضي البناء على جواز التأخير فيها إلى منى،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 فداء الصيد لا معارض له، ولكن من جهة عدم إفتاء الأكثر بتعيّن كون الذبح فيه بمكّة أو بمنى على نحو التخيّير بينهما، يتوقّف في الإفتاء، والأحوط لزوماً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الجمع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الأحوط لزوماً في كفّارة الصيد هو الذبح بمكّة، وأمّا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العُمرة المفردة هو بالخيار بين أن يذبحه أو ينحره بمكّة أو بمني‌، والأوّل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عمرة التمتّع، الأحوط عدم التأخير عن منى، والذبح بمكّة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يحضرني الآن ما يمكن أن يستدلّ به له، سوى ما دلّ بالعموم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ذبح إلّابمنى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الأعلى‌،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هدي إلّامن الإبل، ولا ذبح إلّا بمنى</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الكرخي،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هدياً واجباً فلا ينحره إلّابمنى</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يجب تخصيصها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مدرك القول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ومقتضي إطلاق صحيحي منصور ومعاوية أنّ صدقات الكفّارة الواجبة محلّها مكّة أو منى، وجعلها بمكّة أفضل إنْ كانت الجناية في العُمرة، وأمّا إنْ كانت في الحَجّ فعن الشهيد رحمه الله أنّ محلّها مكّة</w:t>
      </w:r>
      <w:r>
        <w:rPr>
          <w:rStyle w:val="FootnoteAnchor"/>
          <w:rtl w:val="true"/>
        </w:rPr>
        <w:footnoteReference w:id="1006"/>
      </w:r>
      <w:r>
        <w:rPr>
          <w:rFonts w:ascii="Amiri" w:hAnsi="Amiri" w:eastAsia="Amiri" w:cs="Amiri"/>
          <w:color w:val="111111"/>
          <w:sz w:val="28"/>
          <w:sz w:val="28"/>
          <w:szCs w:val="28"/>
          <w:rtl w:val="true"/>
          <w:lang w:bidi="ar-SA"/>
        </w:rPr>
        <w:t>، ومقتضى صحيح حريز،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وطيء المُحرِم بيضةً وكسرها فعليه درهم، كلّ هذا يتصدّق به بمكّة ومنى</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هو التخيّير بين مكّة ومنى، وعمومه شاملٌ لغير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الصدقة مصرفها مساكين الحرم</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أراد به الحاضرين فيه، فيرجع إلى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المتوطّنين،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الإيمان فيهم كما عن المصنّف</w:t>
      </w:r>
      <w:r>
        <w:rPr>
          <w:rStyle w:val="FootnoteAnchor"/>
          <w:rtl w:val="true"/>
        </w:rPr>
        <w:footnoteReference w:id="1009"/>
      </w:r>
      <w:r>
        <w:rPr>
          <w:rFonts w:ascii="Amiri" w:hAnsi="Amiri" w:eastAsia="Amiri" w:cs="Amiri"/>
          <w:color w:val="111111"/>
          <w:sz w:val="28"/>
          <w:sz w:val="28"/>
          <w:szCs w:val="28"/>
          <w:rtl w:val="true"/>
          <w:lang w:bidi="ar-SA"/>
        </w:rPr>
        <w:t xml:space="preserve">، أم لا كما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10"/>
      </w:r>
      <w:r>
        <w:rPr>
          <w:rFonts w:ascii="IRNazanin" w:hAnsi="IRNazanin" w:eastAsia="IRNazanin"/>
          <w:color w:val="111111"/>
          <w:sz w:val="28"/>
          <w:sz w:val="28"/>
          <w:szCs w:val="28"/>
          <w:rtl w:val="true"/>
          <w:lang w:bidi="fa-IR"/>
        </w:rPr>
        <w:t>؟ الظاهر هو العدم، لإطلاق النصوص</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الجنايات الحرميّة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فيها نصٌ يدلّ على تعيين مكان لصرف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الموضع المعروف بالحَزْوَرة،</w:t>
      </w:r>
    </w:p>
    <w:p>
      <w:pPr>
        <w:pStyle w:val="BookText"/>
        <w:rPr/>
      </w:pPr>
      <w:r>
        <w:rPr>
          <w:rFonts w:ascii="Amiri" w:hAnsi="Amiri" w:eastAsia="Amiri" w:cs="Amiri"/>
          <w:color w:val="111111"/>
          <w:sz w:val="28"/>
          <w:sz w:val="28"/>
          <w:szCs w:val="28"/>
          <w:rtl w:val="true"/>
          <w:lang w:bidi="ar-SA"/>
        </w:rPr>
        <w:t>كفّاراتها، فالجاني مخيّرٌ في صرفها في أيّ محلٍّ شاء، إلّاأنّ الأحوط اختيار مساكين الحرم، سواءٌ المواطنين فيه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الصوم في الجنايات، فلم يدلّ دليل على اختصاصه بمكان، وقد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نعلمه في أنّه لا يختصّ بمكان دون غيره</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شيء، وهو أنّ ظاهر الأخبار المتقدّمة أنّ مكّة كلّها منحر، ولكن ظاهر الكتاب تعيّن أنْ يكون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الموضع المعروف بالحَزْورة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بالحاء المهملة التي هي علي وزن 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ساق هَدياً وهو معتمرٌ، نحرَ هديه في المنحر، وهو بين الصفا والمروة، وهي بالحزورة</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ظاهر الأصحاب عدم لزوم ذلك، وأنّه يجوز في كلّ مكانٍ من مكّة،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أخبار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عُبّاد البصري، جاء إلى أبي عبداللّه عليه السلام وقد دخل مكّة بعمرة مبتولة، وأهدى هدياً، فأمر به فنحر في منزله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 الهَدي في منزلك، وتركت أن تنحره بفناء الكعبة، وأنتَ رجلٌ يؤخذ منك‌؟</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 رسول اللّه صلى الله عليه و آله نَحر هديه بمنى في المنحر، وأمر الناس فنحروا في منازلهم، وكان ذلك موسّعاً عليهم، فكذلك هو موسّع على من ينحر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الهدي بمكّة في منزله إذا كان معتمراً</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والذي يمكن أنْ يكون مدركاً لفتوى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الصحيح المتقدّم بضميمة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الفداء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مضافاً إلى ما في مرسل أحمد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وجب عليه هَديٌ في إحرامه فله أن ينحره حيث شاء إلّا فداء الصيد،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هَدْياً بالِغَ اَلْكَعْبَةِ‌</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15"/>
      </w:r>
      <w:r>
        <w:rPr>
          <w:rFonts w:ascii="Amiri" w:hAnsi="Amiri" w:eastAsia="Amiri" w:cs="Amiri"/>
          <w:color w:val="111111"/>
          <w:sz w:val="28"/>
          <w:sz w:val="28"/>
          <w:szCs w:val="28"/>
          <w:rtl w:val="true"/>
          <w:lang w:bidi="ar-SA"/>
        </w:rPr>
        <w:t>، أو النصوص الآمرة بنحره بمكّة قبالة الكعبة، كصحيح ابن سنان</w:t>
      </w:r>
      <w:r>
        <w:rPr>
          <w:rStyle w:val="FootnoteAnchor"/>
          <w:rtl w:val="true"/>
        </w:rPr>
        <w:footnoteReference w:id="1016"/>
      </w:r>
      <w:r>
        <w:rPr>
          <w:rFonts w:ascii="Amiri" w:hAnsi="Amiri" w:eastAsia="Amiri" w:cs="Amiri"/>
          <w:color w:val="111111"/>
          <w:sz w:val="28"/>
          <w:sz w:val="28"/>
          <w:szCs w:val="28"/>
          <w:rtl w:val="true"/>
          <w:lang w:bidi="ar-SA"/>
        </w:rPr>
        <w:t>، فإنّ شيئاً من ذلك لا يصلح للتعيّين بعد صراحة خبر البصري، وعليه فالأولى حملها على الفضل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88" w:name="pg11809_94581"/>
    </w:p>
    <w:p>
      <w:pPr>
        <w:pStyle w:val="BookText"/>
        <w:rPr/>
      </w:pPr>
      <w:bookmarkEnd w:id="188"/>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في بريد، من أصاب فيه صيداً ضمنه،</w:t>
      </w:r>
    </w:p>
    <w:p>
      <w:pPr>
        <w:pStyle w:val="Heading3"/>
        <w:numPr>
          <w:ilvl w:val="2"/>
          <w:numId w:val="1"/>
        </w:numPr>
        <w:rPr/>
      </w:pPr>
      <w:bookmarkStart w:id="189" w:name="__RefHeading___Toc10723915_73709187"/>
      <w:bookmarkStart w:id="190" w:name="_Toc64"/>
      <w:bookmarkEnd w:id="189"/>
      <w:r>
        <w:rPr>
          <w:rtl w:val="true"/>
        </w:rPr>
        <w:t>حَدّ الحرم</w:t>
      </w:r>
      <w:bookmarkEnd w:id="19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أحاط بمكّة من جميع جوانبها، وحكى صاحب الجواهر عن السيّد القاسي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له علامات مبنيّة، وهي الأنصاب من جميع جوانبه، خلا جهة جدّة وجهة الجِعرانة، فإنّه ليس فيهما أنصاب، وأوّل من وضع الأنصاب على حدود الحرم إبراهيم خليل اللّه عليه السلام بدلالة جبرئيل، ثمّ قُصيّ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ثمّ إسماعيل كما قيل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وقَلَعها قريش ثمّ وضعوها لمنامٍ رآه رجال منهم، ثمّ بعثَ رسول اللّه صلى الله عليه و آله عام الفتح تميم بن اُسيد فجددها، ثمّ بعثَ عمر لتجديدها مخزومة بن نوفل وسعيد بن يربوع وخُوَيطب بن عبد العُزّى، وأزهر بن عبد مناف فجدّدوها، ثمّ جَدّدها عثمان، ثمّ جدّدها معاوية، ثمّ الخلفاء والملوك إلى عهدنا هذا</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في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والبريد أربعة فراسخ، بلا خلافٍ فيه بين المسلمين على الظاهر، كما عن غير واحدٍ</w:t>
      </w:r>
      <w:r>
        <w:rPr>
          <w:rStyle w:val="FootnoteAnchor"/>
          <w:rtl w:val="true"/>
        </w:rPr>
        <w:footnoteReference w:id="1018"/>
      </w:r>
      <w:r>
        <w:rPr>
          <w:rFonts w:ascii="Amiri" w:hAnsi="Amiri" w:eastAsia="Amiri" w:cs="Amiri"/>
          <w:color w:val="111111"/>
          <w:sz w:val="28"/>
          <w:sz w:val="28"/>
          <w:szCs w:val="28"/>
          <w:rtl w:val="true"/>
          <w:lang w:bidi="ar-SA"/>
        </w:rPr>
        <w:t>، والنصوص شاهدة به، راجع ما تقدّم نقله في شجرة الحرم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فيه صيداً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ذلك، كما تقدّم ضمن المسائل المتقدّمة جملة من أحكام الحرم، وبقي منها شيءٌ 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ذهب جماعة منهم الشيخان</w:t>
      </w:r>
      <w:r>
        <w:rPr>
          <w:rStyle w:val="FootnoteAnchor"/>
          <w:rtl w:val="true"/>
        </w:rPr>
        <w:footnoteReference w:id="1019"/>
      </w:r>
      <w:r>
        <w:rPr>
          <w:rFonts w:ascii="Amiri" w:hAnsi="Amiri" w:eastAsia="Amiri" w:cs="Amiri"/>
          <w:color w:val="111111"/>
          <w:sz w:val="28"/>
          <w:sz w:val="28"/>
          <w:szCs w:val="28"/>
          <w:rtl w:val="true"/>
          <w:lang w:bidi="ar-SA"/>
        </w:rPr>
        <w:t>وابن حمزة</w:t>
      </w:r>
      <w:r>
        <w:rPr>
          <w:rStyle w:val="FootnoteAnchor"/>
          <w:rtl w:val="true"/>
        </w:rPr>
        <w:footnoteReference w:id="1020"/>
      </w:r>
      <w:r>
        <w:rPr>
          <w:rFonts w:ascii="Amiri" w:hAnsi="Amiri" w:eastAsia="Amiri" w:cs="Amiri"/>
          <w:color w:val="111111"/>
          <w:sz w:val="28"/>
          <w:sz w:val="28"/>
          <w:szCs w:val="28"/>
          <w:rtl w:val="true"/>
          <w:lang w:bidi="ar-SA"/>
        </w:rPr>
        <w:t>إلى وجوب القيمة لو اصطاد بين البريد والحرم، أي مِنْ أوّل الحرم إلى منتهى البريد، وهو أربعة فراسخ خارج الحرم، ويُسمّى حرم الحرم، واستدلّوا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بصحيح الحلبي،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مُحِلّاً في الحِلّ‌، فقتلت صيداً فيما بينك وبين البريد إلى الحرم، فإنّ عليك جزائه، فإنْ فقأت عينيه أو كسرت قرنه تصدّقت بصدقة</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يتعيّن حمله على الندب، بقرينة صحيح عبد الرحمن بن الحجّاج،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رمى صيداً في الحِلّ وهو يؤمّ الحرم فيما بين البريد والمسجد، فأصابه في الحِلّ‌، فمضى برميه حتّى دخل الحرم فمات من رميته، هل عليه جزاء؟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جزاء، إنّما مَثَلُ ذلك مثل من نَصب شِركاً في الحِلّ إلى جانب الحرم، فوقع فيه صيد، فاضطرب حتّى دخل الحرم فمات، فليس عليه جزائه، لأنّه نصب حين نصب وهو له حلال، ورَمى حيثُ رمى وهو له حلال، فليس عليه فيما كان له بعد ذلك شيء، الحديث</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91" w:name="pg11809_94583"/>
    </w:p>
    <w:p>
      <w:pPr>
        <w:pStyle w:val="BookText"/>
        <w:rPr/>
      </w:pPr>
      <w:bookmarkEnd w:id="191"/>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المحظورات،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إمرأته قبل أحد الموقفين، قُبلاً أو دُبراً، عامداً عالماً بالتحريم، بَطل حجّه، وعليه إتمامه، والقضاء من قابل وبدنة، سواءٌ كان الحَجّ فرضاً أو نفلاً، وعليها مثل ذلك إنْ طاوعته، وعليهما الإفتراق، وهو أن لا ينفردا بالاجتماع إنْ حجّا في القابل من موضع المعصية إلى أن يفرغا من المناسك، ولو أكرهها صَحّ حجّها، ويتحمّل عنها الكفّارة</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0723917_73709187"/>
      <w:bookmarkStart w:id="193" w:name="_Toc65"/>
      <w:bookmarkEnd w:id="192"/>
      <w:r>
        <w:rPr>
          <w:rtl w:val="true"/>
        </w:rPr>
        <w:t>كفّارة الإستمتاع بالنساء</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المحظورات،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امرأته قبل أحد 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إحرام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 أو دُبراً، عامداً عالماً بالتحريم، بطل حجّه، وعليه إتمامه، والقضاء من قابل وبدنة، سواءٌ كان الحَجّ فرضاً أو نفلاً، وعليها مثل ذلك إنْ طاوعته، وعليهما الافتراق، وهو أن لا ينفردا بالاجتماع إنْ حجّا في القابل من موضع المعصية إلى أنْ يفرغا من المناسك، ولو أكرهها صحَّ حَجّها، ويتحمّل عنها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بجميع ذلك غير واحدٍ من الأساطين، وجملة من هذه الأحكام إجماعيّة، وجملة مشهورة، وستعرف نخبة القول في كلّ واحدٍ منها، ولننقل أوّلاً نصوص الباب، ثمّ نعقّبه بما يستفاد منها في هذه الأحكام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مُحرِمٍ وقع على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جاهلاً فليس عليه شيء، وإنْ لم يكن جاهلاً فإنّ عليه أن </w:t>
      </w:r>
    </w:p>
    <w:p>
      <w:pPr>
        <w:pStyle w:val="BookText"/>
        <w:rPr/>
      </w:pPr>
      <w:r>
        <w:rPr>
          <w:rFonts w:ascii="Amiri" w:hAnsi="Amiri" w:eastAsia="Amiri" w:cs="Amiri"/>
          <w:color w:val="111111"/>
          <w:sz w:val="28"/>
          <w:sz w:val="28"/>
          <w:szCs w:val="28"/>
          <w:rtl w:val="true"/>
          <w:lang w:bidi="ar-SA"/>
        </w:rPr>
        <w:t>يسوق بدنة، ويفرّق بينهما حتّى يقضيا المناسك ويرجعا إلى المكان الذي أصابا فيه ما أصابا، وعليه الحَجّ من قابل</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غَشي امرأته وهي مُحرمة،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جاهلين أو عالمين‌؟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 الوجهين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إنْ كانا جاهلين استغفرا ربّهما، ومضيا على حجّهما، وليس عليهما شيء، وإنْ كانا عالمين، فرّق بينهما من المكان الذي أحدثا فيه، وعليهما بدنة، وعليهما الحَجّ من قابل، فإذا بلغا المكان الذي أحدثا فيه فرّق بينهما حتّى يقضيا نسكهما، ويرجعا إلى المكان الذي أصابا فيه ما أصابا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الحجّتين لهما؟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التي أحدثا فيها ما أحدثا، والاُخرى عليهما عقوبة</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وقع على امرأته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فليس عليه شيء، وإنْ لم يكن جاهلاً فعليه سوق بدنة، وعليه الحَجّ من قابل، فإذا انتهى إلى المكان الذي وقع بها، فرّق محملاهما، فلم يجتمعا في خِباء واحدٍ إلّاأنْ يكون معهما غيرهما حتّى يبلغ الهدي محلّه</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مُحرِم وقع على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 عظيماً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استكرهها أو لم يستكرهها؟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أفتني فيهما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استكرهها فعليه بدنتان، وإنْ لم يكن استكرهها فعليه بدنة وعليها بدنة، ويفترقان من المكان الذي كان فيه ما كان حتّى ينتهيا إلى مكّة، وعليهما الحَجّ من قابل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انتهيا إلى مكّة، فهي امرأته كما كانت‌؟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امرأته كما هي، فإذا انتهيا إلى المكان الذي كان منهما ما كان افترقا حتّى يحلّا، فإذا أحلّا فقد انقضي عنهما، فإنّ أبي كان يقول ذلك</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مُحرمٍ وقع على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شيء غير هذا؟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الحَجّ من قابل</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باشر امرأته وهما محرمان، ما عليهما؟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المرأة أعانت بشهوة مع شهوة الرّجل، فعليهما الهدي جميعاً، ويفرّق بينهما حتّى يفرغا من المناسك، وحتّى يرجعا إلى المكان الذي أصابا فيه ما أصابا، وإنْ كانت المرأة لم تعن بشهوة، واستكرهها صاحبها فليس عليها شيء</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رَفَث فعليه بدنة ينحرها، وإنْ لم يجد فشاة</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البحث إنّما هو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البدنة والحَجّ من قابل متّفقٌ عليهما، وعن غير واحدٍ</w:t>
      </w:r>
      <w:r>
        <w:rPr>
          <w:rStyle w:val="FootnoteAnchor"/>
          <w:rtl w:val="true"/>
        </w:rPr>
        <w:footnoteReference w:id="1030"/>
      </w:r>
      <w:r>
        <w:rPr>
          <w:rFonts w:ascii="Amiri" w:hAnsi="Amiri" w:eastAsia="Amiri" w:cs="Amiri"/>
          <w:color w:val="111111"/>
          <w:sz w:val="28"/>
          <w:sz w:val="28"/>
          <w:szCs w:val="28"/>
          <w:rtl w:val="true"/>
          <w:lang w:bidi="ar-SA"/>
        </w:rPr>
        <w:t>دعوى الإجماع عليهما، والنصوص المتقدّمة دالّة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إتمام الحَجّ‌، فشيءٌ من النصوص المتقدّمة وغيرها لا يدلّ عليه، إلّا أنّ الظاهر الإجماع عليه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ما سيأتي من عدم فساد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وجوب إتمام الحَجّ بعد الشروع فيه، وبما دلّ على فوريّة وجوب الحَجّ إنْ كان حَجّة الإسلام، بل وكذا وسائر ما وجب فوراً كالإستيجار والنذر المعيّن وما شاكل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فساد الحَجّ فقد ذكره جماعة، منهم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 والمصنّف في كثير من كتبه</w:t>
      </w:r>
      <w:r>
        <w:rPr>
          <w:rStyle w:val="FootnoteAnchor"/>
          <w:rtl w:val="true"/>
        </w:rPr>
        <w:footnoteReference w:id="1033"/>
      </w:r>
      <w:r>
        <w:rPr>
          <w:rFonts w:ascii="Amiri" w:hAnsi="Amiri" w:eastAsia="Amiri" w:cs="Amiri"/>
          <w:color w:val="111111"/>
          <w:sz w:val="28"/>
          <w:sz w:val="28"/>
          <w:szCs w:val="28"/>
          <w:rtl w:val="true"/>
          <w:lang w:bidi="ar-SA"/>
        </w:rPr>
        <w:t xml:space="preserve">، وعن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بل عن الفاضل المقداد أنّه إجماعي</w:t>
      </w:r>
      <w:r>
        <w:rPr>
          <w:rStyle w:val="FootnoteAnchor"/>
          <w:rtl w:val="true"/>
        </w:rPr>
        <w:footnoteReference w:id="1035"/>
      </w:r>
      <w:r>
        <w:rPr>
          <w:rFonts w:ascii="Amiri" w:hAnsi="Amiri" w:eastAsia="Amiri" w:cs="Amiri"/>
          <w:color w:val="111111"/>
          <w:sz w:val="28"/>
          <w:sz w:val="28"/>
          <w:szCs w:val="28"/>
          <w:rtl w:val="true"/>
          <w:lang w:bidi="ar-SA"/>
        </w:rPr>
        <w:t>، ولكن عن الشيخ</w:t>
      </w:r>
      <w:r>
        <w:rPr>
          <w:rStyle w:val="FootnoteAnchor"/>
          <w:rtl w:val="true"/>
        </w:rPr>
        <w:footnoteReference w:id="1036"/>
      </w:r>
      <w:r>
        <w:rPr>
          <w:rFonts w:ascii="Amiri" w:hAnsi="Amiri" w:eastAsia="Amiri" w:cs="Amiri"/>
          <w:color w:val="111111"/>
          <w:sz w:val="28"/>
          <w:sz w:val="28"/>
          <w:szCs w:val="28"/>
          <w:rtl w:val="true"/>
          <w:lang w:bidi="ar-SA"/>
        </w:rPr>
        <w:t>وجماعة</w:t>
      </w:r>
      <w:r>
        <w:rPr>
          <w:rStyle w:val="FootnoteAnchor"/>
          <w:rtl w:val="true"/>
        </w:rPr>
        <w:footnoteReference w:id="1037"/>
      </w:r>
      <w:r>
        <w:rPr>
          <w:rFonts w:ascii="Amiri" w:hAnsi="Amiri" w:eastAsia="Amiri" w:cs="Amiri"/>
          <w:color w:val="111111"/>
          <w:sz w:val="28"/>
          <w:sz w:val="28"/>
          <w:szCs w:val="28"/>
          <w:rtl w:val="true"/>
          <w:lang w:bidi="ar-SA"/>
        </w:rPr>
        <w:t>أنّ الحجّة الأُولى فرضه، والثانية عقوبة، فإذا انضمّ إلى ذلك تلازم الفساد وعدم الإجزاء، إذ كما أنّ إجزاء المأتي به عن أمره عقليٌ‌، كذلك عدم الإجزاء بالنسبة إلى الفساد، مضافاً إلى دعوى الإجماع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يستنتج أنّهم قائلون بعدم الفساد، كما أفاده الشهيد قدس سره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ونقل مع ذلك منع الفساد صريحاً عن بعض الفضلاء أيضاً</w:t>
      </w:r>
      <w:r>
        <w:rPr>
          <w:rStyle w:val="FootnoteAnchor"/>
          <w:rtl w:val="true"/>
        </w:rPr>
        <w:footnoteReference w:id="1039"/>
      </w:r>
      <w:r>
        <w:rPr>
          <w:rFonts w:ascii="Amiri" w:hAnsi="Amiri" w:eastAsia="Amiri" w:cs="Amiri"/>
          <w:color w:val="111111"/>
          <w:sz w:val="28"/>
          <w:sz w:val="28"/>
          <w:szCs w:val="28"/>
          <w:rtl w:val="true"/>
          <w:lang w:bidi="ar-SA"/>
        </w:rPr>
        <w:t xml:space="preserve">، ونقله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w:t>
      </w:r>
      <w:r>
        <w:rPr>
          <w:rStyle w:val="FootnoteAnchor"/>
          <w:rtl w:val="true"/>
        </w:rPr>
        <w:footnoteReference w:id="1040"/>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فإنْ قلنا بأنّ الثانية حجّته الإسلاميّة كان فاسداً، وإنْ قلنا بأنّ الأُولى فرضه والثانية عقوبة لم يكن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بالإجماع المنقول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سليمان بن خالد،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الجدال شاة، وفي السّباب والفسوق بقرة، والرفث فساد الحَجّ‌</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عبيد بن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طاف بالبيت طواف الفريضة، فطاف أربعة أشواط ثمّ غمزه بطنه، فخرج فقضى حاجته فغشي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حجّه، وعليه بدنة</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يفسد الحَجّ‌، ويوجب الحَجّ من قابل الجماع</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لعدم كونه تعبّديّاً على فرض ثبوته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94" w:name="pg11809_94588"/>
    </w:p>
    <w:p>
      <w:pPr>
        <w:pStyle w:val="BookText"/>
        <w:rPr/>
      </w:pPr>
      <w:bookmarkEnd w:id="194"/>
      <w:r>
        <w:rPr>
          <w:rFonts w:ascii="Amiri" w:hAnsi="Amiri" w:eastAsia="Amiri" w:cs="Amiri"/>
          <w:color w:val="111111"/>
          <w:sz w:val="28"/>
          <w:sz w:val="28"/>
          <w:szCs w:val="28"/>
          <w:rtl w:val="true"/>
          <w:lang w:bidi="ar-SA"/>
        </w:rPr>
        <w:t>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إفتاء جماعةٍ بعدم الفساد</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المحتمل إرادة جمعٍ ممّن قال بالفساد أنّه في حكم الفاسد في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بقرينة صحيح زرارة المصرّح بالصحّة، وأنّ الأولى فرضه، يحمل على إرادة كونه في حكم الفساد من جهة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معمول به ظاهراً، فإنّ الحَجّ لا يفسد بالجماع بعد الوقوف بالمشعر إجماعاً نصّاً وفتوى، كما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لنا انتسابه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الفساد، وأنّ الأُولى فرضه، والثانية عقوبة</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0723919_73709187"/>
      <w:bookmarkStart w:id="196" w:name="_Toc66"/>
      <w:bookmarkEnd w:id="195"/>
      <w:r>
        <w:rPr>
          <w:rtl w:val="true"/>
        </w:rPr>
        <w:t>التفريق بين الرّجل والمرأة</w:t>
      </w:r>
      <w:bookmarkEnd w:id="196"/>
    </w:p>
    <w:p>
      <w:pPr>
        <w:pStyle w:val="BookText"/>
        <w:rPr/>
      </w:pPr>
      <w:r>
        <w:rPr>
          <w:rFonts w:ascii="Amiri" w:hAnsi="Amiri" w:eastAsia="Amiri" w:cs="Amiri"/>
          <w:color w:val="111111"/>
          <w:sz w:val="28"/>
          <w:sz w:val="28"/>
          <w:szCs w:val="28"/>
          <w:rtl w:val="true"/>
          <w:lang w:bidi="ar-SA"/>
        </w:rPr>
        <w:t>وأمّا التفريق بين الرّجل والمرأة، فهو في الجملة إجماعيٌ‌</w:t>
      </w:r>
      <w:r>
        <w:rPr>
          <w:rStyle w:val="FootnoteAnchor"/>
          <w:rtl w:val="true"/>
        </w:rPr>
        <w:footnoteReference w:id="1045"/>
      </w:r>
      <w:r>
        <w:rPr>
          <w:rFonts w:ascii="Amiri" w:hAnsi="Amiri" w:eastAsia="Amiri" w:cs="Amiri"/>
          <w:color w:val="111111"/>
          <w:sz w:val="28"/>
          <w:sz w:val="28"/>
          <w:szCs w:val="28"/>
          <w:rtl w:val="true"/>
          <w:lang w:bidi="ar-SA"/>
        </w:rPr>
        <w:t>، والنصوص المتقدّمة تدلّ عليه، إنّما الكلام في أنّه على وجه الوجوب أو الاستحباب‌؟</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هو الأوّل</w:t>
      </w:r>
      <w:r>
        <w:rPr>
          <w:rStyle w:val="FootnoteAnchor"/>
          <w:rtl w:val="true"/>
        </w:rPr>
        <w:footnoteReference w:id="1046"/>
      </w:r>
      <w:r>
        <w:rPr>
          <w:rFonts w:ascii="Amiri" w:hAnsi="Amiri" w:eastAsia="Amiri" w:cs="Amiri"/>
          <w:color w:val="111111"/>
          <w:sz w:val="28"/>
          <w:sz w:val="28"/>
          <w:szCs w:val="28"/>
          <w:rtl w:val="true"/>
          <w:lang w:bidi="ar-SA"/>
        </w:rPr>
        <w:t xml:space="preserve">، بل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الإجماع</w:t>
      </w:r>
      <w:r>
        <w:rPr>
          <w:rStyle w:val="FootnoteAnchor"/>
          <w:rtl w:val="true"/>
        </w:rPr>
        <w:footnoteReference w:id="1047"/>
      </w:r>
      <w:r>
        <w:rPr>
          <w:rFonts w:ascii="Amiri" w:hAnsi="Amiri" w:eastAsia="Amiri" w:cs="Amiri"/>
          <w:color w:val="111111"/>
          <w:sz w:val="28"/>
          <w:sz w:val="28"/>
          <w:szCs w:val="28"/>
          <w:rtl w:val="true"/>
          <w:lang w:bidi="ar-SA"/>
        </w:rPr>
        <w:t xml:space="preserve">عليه، وعن ظاهر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0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0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xml:space="preserve">الإستحباب، ويحتمله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053"/>
      </w:r>
      <w:r>
        <w:rPr>
          <w:rFonts w:ascii="Amiri" w:hAnsi="Amiri" w:eastAsia="Amiri" w:cs="Amiri"/>
          <w:color w:val="111111"/>
          <w:sz w:val="28"/>
          <w:sz w:val="28"/>
          <w:szCs w:val="28"/>
          <w:rtl w:val="true"/>
          <w:lang w:bidi="ar-SA"/>
        </w:rPr>
        <w:t>التردّد في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الأخبار المتقدّمة وغيرها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متضمّنة للجملة الخبريّة، فلا يستفاد منها أزيد من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الخبريّة أظهر في الوجوب من الأمر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التفريق هو في كلتا الحجّتين كما عن الصدوقين</w:t>
      </w:r>
      <w:r>
        <w:rPr>
          <w:rStyle w:val="FootnoteAnchor"/>
          <w:rtl w:val="true"/>
        </w:rPr>
        <w:footnoteReference w:id="1054"/>
      </w:r>
      <w:r>
        <w:rPr>
          <w:rFonts w:ascii="Amiri" w:hAnsi="Amiri" w:eastAsia="Amiri" w:cs="Amiri"/>
          <w:color w:val="111111"/>
          <w:sz w:val="28"/>
          <w:sz w:val="28"/>
          <w:szCs w:val="28"/>
          <w:rtl w:val="true"/>
          <w:lang w:bidi="ar-SA"/>
        </w:rPr>
        <w:t>والإسكافي</w:t>
      </w:r>
      <w:r>
        <w:rPr>
          <w:rStyle w:val="FootnoteAnchor"/>
          <w:rtl w:val="true"/>
        </w:rPr>
        <w:footnoteReference w:id="1055"/>
      </w:r>
      <w:r>
        <w:rPr>
          <w:rFonts w:ascii="Amiri" w:hAnsi="Amiri" w:eastAsia="Amiri" w:cs="Amiri"/>
          <w:color w:val="111111"/>
          <w:sz w:val="28"/>
          <w:sz w:val="28"/>
          <w:szCs w:val="28"/>
          <w:rtl w:val="true"/>
          <w:lang w:bidi="ar-SA"/>
        </w:rPr>
        <w:t>وابن زُهرة، بل عن الأخير دعوى الإجماع عليه</w:t>
      </w:r>
      <w:r>
        <w:rPr>
          <w:rStyle w:val="FootnoteAnchor"/>
          <w:rtl w:val="true"/>
        </w:rPr>
        <w:footnoteReference w:id="1056"/>
      </w:r>
      <w:r>
        <w:rPr>
          <w:rFonts w:ascii="IRNazanin" w:hAnsi="IRNazanin" w:eastAsia="IRNazanin"/>
          <w:color w:val="111111"/>
          <w:sz w:val="28"/>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في الثانية خاصّة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5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وعليهما أن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بلغا ذلك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0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059"/>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الظاهر من خبر ابن أبي حمزة، وصحيح زرارة المتقدّمين وغيرهما وجوبه في الأُولى، وظاهر صحيح معاوية المتقدّم وجوبه في الثانية، وحيث لا تنافي بينهما فيعمل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لزوم التفريق في القضاء أن يسلكا ذلك الطريق، وإلّا فلا يجب كما عن الصدوق</w:t>
      </w:r>
      <w:r>
        <w:rPr>
          <w:rStyle w:val="FootnoteAnchor"/>
          <w:rtl w:val="true"/>
        </w:rPr>
        <w:footnoteReference w:id="1060"/>
      </w:r>
      <w:r>
        <w:rPr>
          <w:rFonts w:ascii="Amiri" w:hAnsi="Amiri" w:eastAsia="Amiri" w:cs="Amiri"/>
          <w:color w:val="111111"/>
          <w:sz w:val="28"/>
          <w:sz w:val="28"/>
          <w:szCs w:val="28"/>
          <w:rtl w:val="true"/>
          <w:lang w:bidi="ar-SA"/>
        </w:rPr>
        <w:t>والشهيد</w:t>
      </w:r>
      <w:r>
        <w:rPr>
          <w:rStyle w:val="FootnoteAnchor"/>
          <w:rtl w:val="true"/>
        </w:rPr>
        <w:footnoteReference w:id="1061"/>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ذلك، لصحيح عبيد اللّه بن عليّ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ابتلى بالجماع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ويفرّق بينهما حتّى ينفر الناس، ويرجعا إلى المكان الذي أصابا فيه ما أصابا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أخذا في غير ذلك الطريق إلى أرضٍ أُخرى يجتمعان‌؟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بالتفريق أنْ لا يخلوا إلّاومعهما ثالث؛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0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0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067"/>
      </w:r>
      <w:r>
        <w:rPr>
          <w:rFonts w:ascii="Amiri" w:hAnsi="Amiri" w:eastAsia="Amiri" w:cs="Amiri"/>
          <w:color w:val="111111"/>
          <w:sz w:val="28"/>
          <w:sz w:val="28"/>
          <w:szCs w:val="28"/>
          <w:rtl w:val="true"/>
          <w:lang w:bidi="ar-SA"/>
        </w:rPr>
        <w:t>وغيرها</w:t>
      </w:r>
      <w:r>
        <w:rPr>
          <w:rStyle w:val="FootnoteAnchor"/>
          <w:rtl w:val="true"/>
        </w:rPr>
        <w:footnoteReference w:id="1068"/>
      </w:r>
      <w:r>
        <w:rPr>
          <w:rFonts w:ascii="Amiri" w:hAnsi="Amiri" w:eastAsia="Amiri" w:cs="Amiri"/>
          <w:color w:val="111111"/>
          <w:sz w:val="28"/>
          <w:sz w:val="28"/>
          <w:szCs w:val="28"/>
          <w:rtl w:val="true"/>
          <w:lang w:bidi="ar-SA"/>
        </w:rPr>
        <w:t>، فيكون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التفريق كناية عن حصول المانع عن المواقعة، ولو بحضور ثالثٍ يمتنع معه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عبرة بحضور الزوجة وغير المميّز، ويشهد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المتقدّم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يجتمعا في خِباء واحدٍ، إلّا أنْ يكون معهما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غاية الافتراق خلافاً بين الأصحاب، منشأه اختلاف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بلوغ الهَدي محلّه، كخبر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بينهما ولا يجتمعان في خِباء إلّاأنْ يكون معهما غيرهما حتّى يبلغ الهَدي محلّه</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يحلّا، كخبر علي بن أبي حمزة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ينتهيا إلى مكّة، كما في صدر خبر علي بن أبي حمزة، في الحجّة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يقضيا المناسك، كخبر محمّد بن مسلم، عن مولانا الباقر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فليجتمعا إذا قضيا المناسك</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يرجعا إلى المكان الذي أصابا فيه ما أصابا، كصحيح زرارة وغيره من النصوص المتقدّم بعضها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يقتضيه النظر في الجمع بين هذه الأخبار، حمل تعدّد هذه الغايات على تفاوت مراتب الفضل والاستحباب، فأعلاها الرجوع إلى موضع الخطيئة، وإنْ أحلّا وقضيا المناسك قبله، ثمّ قضاء المناسك، ثمّ بلوغ الهَدي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محلّه كما في الصحيحين، وهو كناية عن الإحلال بذبح الهَدي كما وقع التصريح به في بعض الأخبار المتقدّمة، ولكن الاحتياط يقتضي المصير إلى المرتبة الأعلى‌، ثمّ الوسطى‌، سيّما في الحجّة الأُولى</w:t>
      </w:r>
      <w:r>
        <w:rPr>
          <w:rFonts w:eastAsia="Amiri" w:cs="Amiri" w:ascii="Amiri" w:hAnsi="Amiri"/>
          <w:color w:val="111111"/>
          <w:sz w:val="28"/>
          <w:szCs w:val="28"/>
          <w:rtl w:val="true"/>
          <w:lang w:bidi="ar-SA"/>
        </w:rPr>
        <w:t>)</w:t>
      </w:r>
      <w:r>
        <w:rPr>
          <w:rStyle w:val="FootnoteAnchor"/>
          <w:rtl w:val="true"/>
        </w:rPr>
        <w:footnoteReference w:id="107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بين النصوص ليس في المنطوق، بل إنّما هو بين منطوق ما تضمّن المرتبة العالية، ومفهوم ما تضمّن المرتبة التي دونها، ومعلوم أنّ النسبة حينئذٍ عموم مطلق، فيقيّد إطلاق المفهوم بالمنطوق، وتكون النتيجة أنّ الغاية هي أعلاها، وهو الرجوع إلى موضع الخطيئة مطلقاً، أعمّ من الأداء والقضاء، ويؤيّد ذلك الجمع بين غايتين من الغايات في جملة من النصوص 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ربما يُدّعى</w:t>
      </w:r>
      <w:r>
        <w:rPr>
          <w:rStyle w:val="FootnoteAnchor"/>
          <w:rtl w:val="true"/>
        </w:rPr>
        <w:footnoteReference w:id="1072"/>
      </w:r>
      <w:r>
        <w:rPr>
          <w:rFonts w:ascii="Amiri" w:hAnsi="Amiri" w:eastAsia="Amiri" w:cs="Amiri"/>
          <w:color w:val="111111"/>
          <w:sz w:val="28"/>
          <w:sz w:val="28"/>
          <w:szCs w:val="28"/>
          <w:rtl w:val="true"/>
          <w:lang w:bidi="ar-SA"/>
        </w:rPr>
        <w:t>الإجماع على أنّ الغاية في الحجّة القضائيّة قضاء المناسك لا أزيد، وبه يقيّد النصوص، فيفرّق بين الأداء والقضاء، كما أفتى به أبو عليّ فيما حكي عنه</w:t>
      </w:r>
      <w:r>
        <w:rPr>
          <w:rStyle w:val="FootnoteAnchor"/>
          <w:rtl w:val="true"/>
        </w:rPr>
        <w:footnoteReference w:id="1073"/>
      </w:r>
      <w:r>
        <w:rPr>
          <w:rFonts w:ascii="Amiri" w:hAnsi="Amiri" w:eastAsia="Amiri" w:cs="Amiri"/>
          <w:color w:val="111111"/>
          <w:sz w:val="28"/>
          <w:sz w:val="28"/>
          <w:szCs w:val="28"/>
          <w:rtl w:val="true"/>
          <w:lang w:bidi="ar-SA"/>
        </w:rPr>
        <w:t>، وكذا ابن زُهرة</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ادّعى الإجماع على عدم الفرق بين الأداء والقضاء، فلو تمّ الإجماعان صحّ ما أفاده عليّ بن بابويه من وجوب الافتراق في الأداء والقضاء إلى قضاء المناسك</w:t>
      </w:r>
      <w:r>
        <w:rPr>
          <w:rStyle w:val="FootnoteAnchor"/>
          <w:rtl w:val="true"/>
        </w:rPr>
        <w:footnoteReference w:id="1075"/>
      </w:r>
      <w:r>
        <w:rPr>
          <w:rFonts w:ascii="Amiri" w:hAnsi="Amiri" w:eastAsia="Amiri" w:cs="Amiri"/>
          <w:color w:val="111111"/>
          <w:sz w:val="28"/>
          <w:sz w:val="28"/>
          <w:szCs w:val="28"/>
          <w:rtl w:val="true"/>
          <w:lang w:bidi="ar-SA"/>
        </w:rPr>
        <w:t xml:space="preserve">، ونفى عنه البُعد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حيثُ أنّ شيئاً من الإجماعين لم يتمّ‌، فالأظهر كون الغاية الرجوع إلى موضع الخطيئة مطلقاً</w:t>
      </w:r>
      <w:r>
        <w:rPr>
          <w:rFonts w:eastAsia="Amiri" w:cs="Amiri" w:ascii="Amiri" w:hAnsi="Amiri"/>
          <w:color w:val="111111"/>
          <w:sz w:val="28"/>
          <w:szCs w:val="28"/>
          <w:rtl w:val="true"/>
          <w:lang w:bidi="ar-SA"/>
        </w:rPr>
        <w:t xml:space="preserve">.). </w:t>
      </w:r>
      <w:bookmarkStart w:id="197" w:name="pg11809_94593"/>
    </w:p>
    <w:p>
      <w:pPr>
        <w:pStyle w:val="Heading3"/>
        <w:numPr>
          <w:ilvl w:val="2"/>
          <w:numId w:val="1"/>
        </w:numPr>
        <w:rPr/>
      </w:pPr>
      <w:bookmarkStart w:id="198" w:name="__RefHeading___Toc10723921_73709187"/>
      <w:bookmarkStart w:id="199" w:name="_Toc67"/>
      <w:bookmarkEnd w:id="197"/>
      <w:bookmarkEnd w:id="198"/>
      <w:r>
        <w:rPr>
          <w:rtl w:val="true"/>
        </w:rPr>
        <w:t>موضوع الأحكام المذكورة</w:t>
      </w:r>
      <w:bookmarkEnd w:id="199"/>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موضوع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إطلاق النصوص والفتاوي، عدم الفرق بين الوطء في القُبل أو الدّبر، لصدق العناوين المأخوذة في النصوص، من الجماع والوقاع والإتيان والدخول والرفث على كلّ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للاختصاص بالأوّل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بالانصراف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مُحرِم وقع على أهله فيما دون الفرج،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وليس عليه الحَجّ من قابل</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بدعوى أنّه ظاهر في غير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يرد على الأوّل منعه، وعلى الثاني صدق الفرج الذي هو ما بين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1081"/>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بين الإنزال وعدمه، لإطلاق النصوص</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يعتبر غيبوبة الحَشَفة، وإلّا كان من الإتيان دون الفرج، أم لا يعتبر، بل </w:t>
      </w:r>
    </w:p>
    <w:p>
      <w:pPr>
        <w:pStyle w:val="BookText"/>
        <w:rPr/>
      </w:pPr>
      <w:r>
        <w:rPr>
          <w:rFonts w:ascii="Amiri" w:hAnsi="Amiri" w:eastAsia="Amiri" w:cs="Amiri"/>
          <w:color w:val="111111"/>
          <w:sz w:val="28"/>
          <w:sz w:val="28"/>
          <w:szCs w:val="28"/>
          <w:rtl w:val="true"/>
          <w:lang w:bidi="ar-SA"/>
        </w:rPr>
        <w:t>يشمل الدليل ما لو أدخل بعضها؟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بكفاية دخول البعض، لا لإطلاق النصوص جميعها فإنّ ذلك قابلٌ للمناقشة، بل لإطلاق 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يقع على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أفضى إليها فعليه بدنة والحَجّ من قابل، وإنْ لم يكن أفضى إليها فعليه بدنة وليس عليه الحَجّ من قابل</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 حيث يصدق الإفضاء إليها بإدخال بعض الحشفة، وتقيّيد ما دلّ على وجوب الغُسل بالدخول، بما دلّ على اعتبار التقاء الختانين، لا يلزم منه التقيّيد في المقام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تشمل النصوص وطء الأجنبيّة واللّواط،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لما قيل من أنّهما أفحش، فالفساد والعقوبة أولى</w:t>
      </w:r>
      <w:r>
        <w:rPr>
          <w:rStyle w:val="FootnoteAnchor"/>
          <w:rtl w:val="true"/>
        </w:rPr>
        <w:footnoteReference w:id="1083"/>
      </w:r>
      <w:r>
        <w:rPr>
          <w:rFonts w:ascii="Amiri" w:hAnsi="Amiri" w:eastAsia="Amiri" w:cs="Amiri"/>
          <w:color w:val="111111"/>
          <w:sz w:val="28"/>
          <w:sz w:val="28"/>
          <w:szCs w:val="28"/>
          <w:rtl w:val="true"/>
          <w:lang w:bidi="ar-SA"/>
        </w:rPr>
        <w:t>، إذ لعلّ أفحشيّتهما تمنع من التكفير له، بناءً على أنّ البدنة والحَجّ من قابل تكفير، سيّما بعد أنّ له نظيراً في الباب، فإنّه قد عرفت في الصيد أنّ الجاهل والناسي إذا تكرّر منهما الصيد، تكرّرت الكفّارة، والعامد إنْ تكرّر منه الصيد لا تتكرّر الكفّارة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لأنّ إتيان الأهل المأخوذ في النصوص مبنيٌّ على الغالب المتعارف، فإنّ إثبات ذلك يتوقّف على دليل مفقود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لأنّ في بعض النصوص المأخوذ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الجماع، كخبري سليمان ابن خالد ومحمّد بن مسلم</w:t>
      </w:r>
      <w:r>
        <w:rPr>
          <w:rStyle w:val="FootnoteAnchor"/>
          <w:rtl w:val="true"/>
        </w:rPr>
        <w:footnoteReference w:id="1084"/>
      </w:r>
      <w:r>
        <w:rPr>
          <w:rFonts w:ascii="Amiri" w:hAnsi="Amiri" w:eastAsia="Amiri" w:cs="Amiri"/>
          <w:color w:val="111111"/>
          <w:sz w:val="28"/>
          <w:sz w:val="28"/>
          <w:szCs w:val="28"/>
          <w:rtl w:val="true"/>
          <w:lang w:bidi="ar-SA"/>
        </w:rPr>
        <w:t>، وهو يشملهما، بل ويشمل وطء البهائم أيضاً، وعليه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00" w:name="pg11809_94595"/>
    </w:p>
    <w:p>
      <w:pPr>
        <w:pStyle w:val="BookText"/>
        <w:rPr/>
      </w:pPr>
      <w:bookmarkEnd w:id="200"/>
      <w:r>
        <w:rPr>
          <w:rFonts w:ascii="IRNazanin" w:hAnsi="IRNazanin" w:eastAsia="IRNazanin"/>
          <w:color w:val="111111"/>
          <w:sz w:val="28"/>
          <w:sz w:val="28"/>
          <w:szCs w:val="28"/>
          <w:rtl w:val="true"/>
          <w:lang w:bidi="fa-IR"/>
        </w:rPr>
        <w:t>فالأظهر هو الشمول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عن الحلبي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اللّواط البدنة خاصّة</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 فلا وجه له، إذ لو أشمل الأخبار له، كان اللّازم ثبوت بقيّة الأحكام، وإلّا فلا دليل على ثبوت البدنة أيضاً إذا لم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أنّ المرأة المطاوعة، مثل الرّجل في جميع الأحكام المتقدّمة، بل حُكي الإجماع عليه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نصوص الباب المتقدّمة جملة منها، وخصوص خبر خالد الاصم،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حججتُ وجماعة من أصحابنا، وكانت معنا امرأة، فلمّا قدِمنا مكّة جاءنا رجلٌ من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قد بليتُ‌،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اسئلوا لي أبا عبد اللّه عليه السلام فإنّي قد اشتهيتُ؟ فسألناه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بدنة</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لو أدخلت ذكر زوجها وهو نائم في فرجها عالمة عامدة، ترتّب الأحكام المذكورة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إدخال ذكر البهيمة الكلام السابق، ولكن الأظهر هنا العدم، لعدم الدليل</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0723923_73709187"/>
      <w:bookmarkStart w:id="202" w:name="_Toc68"/>
      <w:bookmarkEnd w:id="201"/>
      <w:r>
        <w:rPr>
          <w:rtl w:val="true"/>
        </w:rPr>
        <w:t>حكم المُكرَهة والمكرِه</w:t>
      </w:r>
      <w:bookmarkEnd w:id="20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خلاف في أنّ الأحكام المذكورة إنّما هي للعالم العامد، وعليه فلو كان ناسياً أو جاهلاً، فلا شيء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فللتصريح بذلك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الناسي والسّاهي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فلشمول الجاهل لهما لغةً‌، وللإجماع</w:t>
      </w:r>
      <w:r>
        <w:rPr>
          <w:rStyle w:val="FootnoteAnchor"/>
          <w:rtl w:val="true"/>
        </w:rPr>
        <w:footnoteReference w:id="1088"/>
      </w:r>
      <w:r>
        <w:rPr>
          <w:rFonts w:ascii="Amiri" w:hAnsi="Amiri" w:eastAsia="Amiri" w:cs="Amiri"/>
          <w:color w:val="111111"/>
          <w:sz w:val="28"/>
          <w:sz w:val="28"/>
          <w:szCs w:val="28"/>
          <w:rtl w:val="true"/>
          <w:lang w:bidi="ar-SA"/>
        </w:rPr>
        <w:t>وعدم القول بالفصل، بل ولمفهوم جملةٍ من النصوص، إذ لو يشملهما الجاهل، لا إشكال في شمول غير العالم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هي المرأة لا إشكال في أنّه لا شيء عليها، والنصوص المتقدّمة وغيرها شاهدة به، ولكن على زوجها المكرِه إيّاها بدنتين بلا خلافٍ‌، بل عليه الإجماع كما ادّعى</w:t>
      </w:r>
      <w:r>
        <w:rPr>
          <w:rStyle w:val="FootnoteAnchor"/>
          <w:rtl w:val="true"/>
        </w:rPr>
        <w:footnoteReference w:id="1089"/>
      </w:r>
      <w:r>
        <w:rPr>
          <w:rFonts w:ascii="Amiri" w:hAnsi="Amiri" w:eastAsia="Amiri" w:cs="Amiri"/>
          <w:color w:val="111111"/>
          <w:sz w:val="28"/>
          <w:sz w:val="28"/>
          <w:szCs w:val="28"/>
          <w:rtl w:val="true"/>
          <w:lang w:bidi="ar-SA"/>
        </w:rPr>
        <w:t>، ويشهد به جملةٌ من النصوص، منها خبر ابن أبي حمزة، وصحيح معاوية المتقدّمان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يسري الحكم إلى ما لو أكرهها ثالثٌ على الجماع، بأن يثبت له بدنتان، أم لا؟</w:t>
      </w:r>
    </w:p>
    <w:p>
      <w:pPr>
        <w:pStyle w:val="BookText"/>
        <w:rPr/>
      </w:pPr>
      <w:r>
        <w:rPr>
          <w:rFonts w:ascii="Amiri" w:hAnsi="Amiri" w:eastAsia="Amiri" w:cs="Amiri"/>
          <w:color w:val="111111"/>
          <w:sz w:val="28"/>
          <w:sz w:val="28"/>
          <w:szCs w:val="28"/>
          <w:rtl w:val="true"/>
          <w:lang w:bidi="ar-SA"/>
        </w:rPr>
        <w:t>الظاهر العدم، لعدم الدليل، واختصاص النصوص بإكراه الزوج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خصوص الافتراق بالنسبة إليها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مقتضى إطلاق الأخبار المتقدّمة ثبوت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مفهوم صحيح سليمان بن خالد المتقدّم المتضمّن لنفي الشيء عليها، عدم وجوبه عليها، هكذا قيل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بثبوته، لا لما اُفيد، بل لصحيح معاوية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استكرهها فعليه بدنتان، وعليهما الحَجّ من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فلا يحتاج إلى ما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للثبوت بما يشبه الأكل من القفا، وبه يقيّد إطلاق نفي الشيء عليها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فرقٌ بين ما أفاده المحقّق النراقي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الشيء عليها لا يشمل التفريق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إطلاق نفي الشيء عدم وجوب البدنة على الزوج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المكرَه هو الزوج، أكرهه زوجته أم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عدم ثبوت شيء عليه، لما دلّ على حكم المكرهة، بضميمة الإجماع على عدم الفرق بينها وبين المكرَه، وللتصريح في صحيح زرارة المتقدّم بأنّ الثاني عقوبة، ولا عقوبة على المكرَه، ولحديث رفع ما استكرهوا عليه، بناءً على ما هو الحقّ من شموله لجميع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ما دلّ على لزوم بدنتين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الزوج، فلابدّ من الاقتصار على المتيقّن، فلا يثبت ذلك في المقام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03" w:name="pg11809_94598"/>
    </w:p>
    <w:p>
      <w:pPr>
        <w:pStyle w:val="BookText"/>
        <w:rPr/>
      </w:pPr>
      <w:bookmarkEnd w:id="203"/>
      <w:r>
        <w:rPr>
          <w:rFonts w:ascii="Amiri" w:hAnsi="Amiri" w:eastAsia="Amiri" w:cs="Amiri"/>
          <w:color w:val="111111"/>
          <w:sz w:val="28"/>
          <w:sz w:val="28"/>
          <w:szCs w:val="28"/>
          <w:rtl w:val="true"/>
          <w:lang w:bidi="ar-SA"/>
        </w:rPr>
        <w:t>ولو كان بعد الموقفين، صَحّ الحَجّ‌، ووجبت البدنة على كلّ واحدٍ منهما</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0723925_73709187"/>
      <w:bookmarkStart w:id="205" w:name="_Toc69"/>
      <w:bookmarkEnd w:id="204"/>
      <w:r>
        <w:rPr>
          <w:rtl w:val="true"/>
        </w:rPr>
        <w:t>الجماع بعد الموقفين</w:t>
      </w:r>
      <w:bookmarkEnd w:id="205"/>
    </w:p>
    <w:p>
      <w:pPr>
        <w:pStyle w:val="BookText"/>
        <w:rPr/>
      </w:pPr>
      <w:r>
        <w:rPr>
          <w:rFonts w:ascii="Amiri" w:hAnsi="Amiri" w:eastAsia="Amiri" w:cs="Amiri"/>
          <w:color w:val="111111"/>
          <w:sz w:val="28"/>
          <w:sz w:val="28"/>
          <w:szCs w:val="28"/>
          <w:rtl w:val="true"/>
          <w:lang w:bidi="ar-SA"/>
        </w:rPr>
        <w:t>هذا كلّه حكم الجماع قبل أحد الموقفين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الموقفين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الحَجّ‌، ووجب البدنة على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بإجماع العلماء عليه في الجملة</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كما في كلام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جامع بعد الوقوف بالموقفين، لم يفسد حجّه، وعليه بدنة لا غير عند علمائنا</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يشهد للحكم الأوّل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الرّجل بامرأته دون مزدلفة، أو قبل أن يأتي مزدلفة، فعليه الحَجّ من قابل</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مفهومه عدم وجوبه عليه إذا كان بعده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واقع المُحرِم امرأته قبل أن يأتي </w:t>
      </w:r>
    </w:p>
    <w:p>
      <w:pPr>
        <w:pStyle w:val="BookText"/>
        <w:rPr/>
      </w:pPr>
      <w:r>
        <w:rPr>
          <w:rFonts w:ascii="Amiri" w:hAnsi="Amiri" w:eastAsia="Amiri" w:cs="Amiri"/>
          <w:color w:val="111111"/>
          <w:sz w:val="28"/>
          <w:sz w:val="28"/>
          <w:szCs w:val="28"/>
          <w:rtl w:val="true"/>
          <w:lang w:bidi="ar-SA"/>
        </w:rPr>
        <w:t>المزدلفة، فعليه الحَجّ من قابل</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جامعت وأنتَ مُحرِمٌ قبل أن تقف بالمشعر، فعليك بدنة، والحَجّ من قابل، وإنْ جامعتَ بعد وقوفك بالمشعر، فعليك بدنة، وليس عليك الحَجّ من قابل</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تكرّر منّا أنّ المرسلات التي تُنسب مضامينها إلى المعصوم عليه السلام جزماً حجّة، إذا كان المُرسِل ثقة، فلا إشكال في 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النصوص يقيّد إطلاق ما دلّ على لزوم الحَجّ من قابل على من جامع وهو مُحرِم، فتختصّ تلك النصوص بصورة الجماع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تقيّيد تلك النصوص بما قبل الموقف، لا يبقى دليلٌ على وجوب التفريق لو جامع بعده، والأصل يقتضي عدمه أيضاً، مضافاً إلى عدم الخلاف فيه، بل لا يبعد دعوى ظهور تلك النصوص بأنفسها بالجماع قبله،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للحكم الثاني جملةٌ أُخرى من النصوص، غير مرسل الصدوق المتقدّم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أبي جعفر بن محمّد عليهما السلام عن رجلٍ واقع امرأته قبل طواف النساء متعمّداً، ما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وعليه بدنة</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أحمد بن محمّد،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أتى امرأته متعمّداً ولم يطف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وهي تجزي عنهما</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محمولٌ على كونها قد طافت طواف النساء، أو على كونها جاهلة، والاجزاء مجاز بالنسبة إليها لما تقدّم، وخبر سلمة بن محرز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يتمتّع حتّى إذا كان يوم النحر طاف بالبيت وبالصفا والمروة، ثمّ رجع إلى منى ولم يطف طواف النساء فوقع على أهله، فذكره لأصحابه،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 فعل مثل ذلك، فسأل أبا عبد اللّه عليه السلام فأمره أن ينحر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أبي عبداللّه عليه السلام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ما اتّقيتك، ولكن فلان فعله متعمّداً وهو يعلم، وأنتَ فعلته وأنتَ لا تعلم</w:t>
      </w:r>
      <w:r>
        <w:rPr>
          <w:rStyle w:val="FootnoteAnchor"/>
          <w:rtl w:val="true"/>
        </w:rPr>
        <w:footnoteReference w:id="1099"/>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مبحث الصيد اختلاف كلمات الأصحاب في تحديد البدنة، وأنّها هل تختصّ بالاُنثى أم تشمل الذَّكر؟ وأنّه هل تختصّ البدنة بالإبل أم تشمل غيره‌؟</w:t>
      </w:r>
    </w:p>
    <w:p>
      <w:pPr>
        <w:pStyle w:val="BookText"/>
        <w:rPr/>
      </w:pPr>
      <w:r>
        <w:rPr>
          <w:rFonts w:ascii="Amiri" w:hAnsi="Amiri" w:eastAsia="Amiri" w:cs="Amiri"/>
          <w:color w:val="111111"/>
          <w:sz w:val="28"/>
          <w:sz w:val="28"/>
          <w:szCs w:val="28"/>
          <w:rtl w:val="true"/>
          <w:lang w:bidi="ar-SA"/>
        </w:rPr>
        <w:t>وقد عرفت أنّ الأظهرفى الجهة الأُولى التعميم، والأحوط فى الثانية التخصيص</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 نصوص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إطلاقه على البدنة، كما أنّ ما في بعضها الآخر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البدنة، لما مرّ من اتّحادهما، وأمّا ما في بعضها ممّا ظاهره التخيّير بين الإبل والبقر والشاة، فحيث لا عامل به، فيحمل على إرادة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في المقام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الأصحاب بعد اتّفاقهم على أنّ هذا الحكم ثابت بعد الوقوف بالمشعر، اختلفوا في أنّه هل يثبت بعد الوقوف بعرفة وقبل الوقوف بالمشعر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يثبتُ له، بل هو من مصاديق النصوص السابقة المتضمّنة للأحكام الأربعة، وعليه الأكثر</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w:t>
      </w:r>
      <w:r>
        <w:rPr>
          <w:rStyle w:val="FootnoteAnchor"/>
          <w:rtl w:val="true"/>
        </w:rPr>
        <w:footnoteReference w:id="1102"/>
      </w:r>
      <w:r>
        <w:rPr>
          <w:rFonts w:ascii="Amiri" w:hAnsi="Amiri" w:eastAsia="Amiri" w:cs="Amiri"/>
          <w:color w:val="111111"/>
          <w:sz w:val="28"/>
          <w:sz w:val="28"/>
          <w:szCs w:val="28"/>
          <w:rtl w:val="true"/>
          <w:lang w:bidi="ar-SA"/>
        </w:rPr>
        <w:t>والديلمي</w:t>
      </w:r>
      <w:r>
        <w:rPr>
          <w:rStyle w:val="FootnoteAnchor"/>
          <w:rtl w:val="true"/>
        </w:rPr>
        <w:footnoteReference w:id="1103"/>
      </w:r>
      <w:r>
        <w:rPr>
          <w:rFonts w:ascii="Amiri" w:hAnsi="Amiri" w:eastAsia="Amiri" w:cs="Amiri"/>
          <w:color w:val="111111"/>
          <w:sz w:val="28"/>
          <w:sz w:val="28"/>
          <w:szCs w:val="28"/>
          <w:rtl w:val="true"/>
          <w:lang w:bidi="ar-SA"/>
        </w:rPr>
        <w:t>والحلبي</w:t>
      </w:r>
      <w:r>
        <w:rPr>
          <w:rStyle w:val="FootnoteAnchor"/>
          <w:rtl w:val="true"/>
        </w:rPr>
        <w:footnoteReference w:id="1104"/>
      </w:r>
      <w:r>
        <w:rPr>
          <w:rFonts w:ascii="Amiri" w:hAnsi="Amiri" w:eastAsia="Amiri" w:cs="Amiri"/>
          <w:color w:val="111111"/>
          <w:sz w:val="28"/>
          <w:sz w:val="28"/>
          <w:szCs w:val="28"/>
          <w:rtl w:val="true"/>
          <w:lang w:bidi="ar-SA"/>
        </w:rPr>
        <w:t>حيث قالوا إنّه محكومٌ بحكم الجماع بعد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المتقدّمة تشهد للأوّل، ولم يذكروا للثاني دليلاً سوى ما 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 عرفة</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 وما دلّ على أنّ من وقف بعرفة فقد تمّ حجّة</w:t>
      </w:r>
      <w:r>
        <w:rPr>
          <w:rStyle w:val="FootnoteAnchor"/>
          <w:rtl w:val="true"/>
        </w:rPr>
        <w:footnoteReference w:id="1106"/>
      </w:r>
      <w:r>
        <w:rPr>
          <w:rFonts w:ascii="Amiri" w:hAnsi="Amiri" w:eastAsia="Amiri" w:cs="Amiri"/>
          <w:color w:val="111111"/>
          <w:sz w:val="28"/>
          <w:sz w:val="28"/>
          <w:szCs w:val="28"/>
          <w:rtl w:val="true"/>
          <w:lang w:bidi="ar-SA"/>
        </w:rPr>
        <w:t>، وهما مع ضعف سنديهما، محمولان على التقيّة، أو على غير ظاهرهما، وعلى أيّ تقدير لا يصلحان للمقاومة مع ما تقدّم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06" w:name="pg11809_94602"/>
    </w:p>
    <w:p>
      <w:pPr>
        <w:pStyle w:val="BookText"/>
        <w:rPr/>
      </w:pPr>
      <w:bookmarkEnd w:id="206"/>
      <w:r>
        <w:rPr>
          <w:rFonts w:ascii="Amiri" w:hAnsi="Amiri" w:eastAsia="Amiri" w:cs="Amiri"/>
          <w:color w:val="111111"/>
          <w:sz w:val="28"/>
          <w:sz w:val="28"/>
          <w:szCs w:val="28"/>
          <w:rtl w:val="true"/>
          <w:lang w:bidi="ar-SA"/>
        </w:rPr>
        <w:t>ولو جامع قبل طواف الزيارة، لزمه بدنة، فإنْ عَجز عنها فبقرة أو شاة</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0723927_73709187"/>
      <w:bookmarkStart w:id="208" w:name="_Toc70"/>
      <w:bookmarkEnd w:id="207"/>
      <w:r>
        <w:rPr>
          <w:rtl w:val="true"/>
        </w:rPr>
        <w:t>حكم العاجز عن دفع البدنة</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طواف الزيارة، لزمه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مسألة الجماع بعد الوقوف بالمشعر قبل طواف النساء، لأنّ المقام من مصاديقها، وإنّما أعاده لبيان حكم الأبدال،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 عنها فبقرة أو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Style w:val="FootnoteAnchor"/>
          <w:rtl w:val="true"/>
        </w:rPr>
        <w:footnoteReference w:id="1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 فبقرة، وإنْ عجز فشاة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النصوص، فليس فيها شيءٌ يدلّ على أحد الترتيبين، نعم في صحيح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رفث فعليه بدنة ينحرها، وإنْ لم يجد فشاة</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جامع فعليه جَزورٌ أو بقرة</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الجماع فعليه جَزورٌ أو بقرة</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بها على القول الأوّل، بعد حمل الأخيرين على إرادة الترتيب لا التخيّير، بقرينة الإجماع وسائر النصوص كما تقدّم،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الأوّل أنّه مع العجز تتعيّن الشاة، ومقتضى الأخيرين أنّه تتعيّن البقرة، فالجمع بينهما يقتضي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الاستدلال على القول الثاني، بخبر خالد بيّاع القلانس،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أتى أهله وعليه طواف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ثمّ جاءه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بقرة، ثمّ جاءه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بعدما 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كيف قلتَ عليه بدنة‌؟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موسر وعليك بدنة، وعلى الوسط بقرة، وعلى الفقير شاة</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وإنْ كان بعد طواف الزيارة، إلّاأنّ الظاهر أنّ حكم ما قبله أيضاً حكم ما بعده ما لم يطف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على الوسط بأنّ عليه البقرة، لم يقيّد بعجزه عن البدنة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متضمّن لقضيّة شخصيّة، وجوابه عليه السلام أيضاً ليس كبرى كلية، لأنّ الوسط أمرٌ مقول بالتشكيك، وعليه فلابدّ من الأخذ بالمتيقّن، وهو الترتيب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الخبر ضعيفٌ‌، لأنّ الصدوق قدس سره يرويه بإسناده عن خالد بيّاع القلانس، وفي طريقه إليه ضعف وجهالة، فالقول الأوّل أرجح، وإنْ كان في الاستدلال الذي ذكرناه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 ظاهر بعض الروايات أنّه لا بدل للبدنة، كخبر أبي بصير،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واقع امرأته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جزور كوماء</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لأصحابه أن يجمعوا له ولا يفسدوا حجّه</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المحمول ما فيه من الإفساد على إرادة النقص، بقرينة غيره من النصوص، إلّا أنّ توافق الأصحاب على ثبوت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يُلجأنا إلى الالتزام بالقول الأوّل، ولا أقلّ من الاحتياط اللّزومي، وأحوط منه اختيار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أنّ البدنة الواجبة بالجماع قبل المشعر، هل لها بدلٌ‌، أم لا؟</w:t>
      </w:r>
    </w:p>
    <w:p>
      <w:pPr>
        <w:pStyle w:val="BookText"/>
        <w:rPr/>
      </w:pPr>
      <w:r>
        <w:rPr>
          <w:rFonts w:ascii="Amiri" w:hAnsi="Amiri" w:eastAsia="Amiri" w:cs="Amiri"/>
          <w:color w:val="111111"/>
          <w:sz w:val="28"/>
          <w:sz w:val="28"/>
          <w:szCs w:val="28"/>
          <w:rtl w:val="true"/>
          <w:lang w:bidi="ar-SA"/>
        </w:rPr>
        <w:t xml:space="preserve">ظاهر الفتاوي والنصوص أنّه لا بدل لها، إلّاأنّ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وجبَ عليه دمٌ في إفساد الحَجّ‌، ولم يجد، فعليه بقرة، فإنْ لم يجد فسبع شياة، فإنْ لم يجد فقيمة البدنة دراهم أو ثمنها طعاماً يتصدّق به، فإنْ لم يجد صام عن كلّ مُدّ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124"/>
      </w:r>
      <w:r>
        <w:rPr>
          <w:rFonts w:ascii="Amiri" w:hAnsi="Amiri" w:eastAsia="Amiri" w:cs="Amiri"/>
          <w:color w:val="111111"/>
          <w:sz w:val="28"/>
          <w:sz w:val="28"/>
          <w:szCs w:val="28"/>
          <w:rtl w:val="true"/>
          <w:lang w:bidi="ar-SA"/>
        </w:rPr>
        <w:t>الإفتاء بما ذكره من الترتيب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يقدر على بدنة، فإطعام ستّين مسكيناً، لكلّ مسكين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جامع قبل طواف النساء لزمه بدنة، فإنْ عجز عنها فبقرة، أو شاة، ولو كان قد طاف منه خمساً فلا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 فإنْ لم يقدر صام ثمانية عشر يوماً</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وجبت على الرّجل بدنة في كفّارة، ولم يجدها، فعليه سبع شياة، فإنْ لم يقدر صام ثمانية عشر يوماً بمكّة أو في منزله</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أقوالٌ أُخر، ولم يذكروا لها دليلاً سوى مرسلات، وإجماع منقول، وخبرٍ وارد في الصيد، والكلّ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ذكرناه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طواف الزيارة،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طواف النساء، لزمه بدنة، فإنْ عجز عنها فبقرة أو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أفاده بقوله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طافَ منه خمساً، فلا 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المشهور بين الأصحاب</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1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عليه لو جامع قبل تمامه ولو شوطاً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1130"/>
      </w:r>
      <w:r>
        <w:rPr>
          <w:rFonts w:ascii="IRNazanin" w:hAnsi="IRNazanin" w:eastAsia="IRNazanin"/>
          <w:color w:val="111111"/>
          <w:sz w:val="28"/>
          <w:sz w:val="28"/>
          <w:szCs w:val="28"/>
          <w:rtl w:val="true"/>
          <w:lang w:bidi="fa-IR"/>
        </w:rPr>
        <w:t>وأتباعه</w:t>
      </w:r>
      <w:r>
        <w:rPr>
          <w:rStyle w:val="FootnoteAnchor"/>
          <w:rtl w:val="true"/>
        </w:rPr>
        <w:footnoteReference w:id="1131"/>
      </w:r>
      <w:r>
        <w:rPr>
          <w:rFonts w:ascii="Amiri" w:hAnsi="Amiri" w:eastAsia="Amiri" w:cs="Amiri"/>
          <w:color w:val="111111"/>
          <w:sz w:val="28"/>
          <w:sz w:val="28"/>
          <w:szCs w:val="28"/>
          <w:rtl w:val="true"/>
          <w:lang w:bidi="ar-SA"/>
        </w:rPr>
        <w:t xml:space="preserve">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سقوط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الكفّارة مجاوزة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مدرك الحكم خبر حمران بن أعين،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عليه طواف النساء وحده، فطاف منه خمسة أشواط، ثمّ غمزه بطنه فخاف أن يبدره، فخرج إلى منزله فنقض، ثمّ غشى جاريته‌؟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ثمّ يرجع فيطوف بالبيت طوافين تمام ما كان قد بقي عليه من طوافه، ويستغفر اللّه ولا يعود، وإنْ كان طاف طواف النساء، فطاف منه ثلاثة أشواط، ثمّ خرج فغشي، فقد أفسد حجّه، وعليه بدنة ويغتسل، ثمّ يعود فيطوف اسبوعاً</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سنده لو كان، منجبرٌ بالعمل، وبكون من أجمعت العصابة على تصحيح ما يصحّ عنه في السند، مع أنّه حسن، والمشهور استدلّوا بصدره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ينفي الكفّارة</w:t>
      </w:r>
      <w:r>
        <w:rPr>
          <w:rStyle w:val="FootnoteAnchor"/>
          <w:rtl w:val="true"/>
        </w:rPr>
        <w:footnoteReference w:id="1134"/>
      </w:r>
      <w:r>
        <w:rPr>
          <w:rFonts w:ascii="Amiri" w:hAnsi="Amiri" w:eastAsia="Amiri" w:cs="Amiri"/>
          <w:color w:val="111111"/>
          <w:sz w:val="28"/>
          <w:sz w:val="28"/>
          <w:szCs w:val="28"/>
          <w:rtl w:val="true"/>
          <w:lang w:bidi="ar-SA"/>
        </w:rPr>
        <w:t>لأنّ عدم الذكر أعمٌّ من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إذ عدم البيان في موقع الحاجة، سيّما مع ذكر وجوبها بالجماع بعد الثلاثة في مقابل الخمسة، كالصريح في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كلّه ظهر ضعف القول الثاني، فإنّه لا مدرك له سوى إطلاق ما دلّ على أنّه من لم يطف طواف النساء وجامع عليه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خبر ابن أعين سنداً ودلالةً‌، وحيث عرفت صحّة سنده وتماميّة دلالته، فيقيّد إطلاق تلك الأخبار لو شمل إطلاقه أثناء طواف النساء به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قوله في ذيل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طاف طواف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فطاف منه ثلاثة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يعارضه مفهوم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مفهومه عدم وجوب الكفّارة بعد الثلاثة، وقبل تجاوز النصف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الصدر غير مشتمل على الشرط، وإنّما فرض السائل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يقيّد إطلاقه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القول الثالث، ويؤيّده ما دلّ على أنّ من زاد على النصف وخرج ناسياً، له أن يقرب النساء، إذ لا معنى للكفّارة على الفعل المرخّص فيه، لاحظ خبر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نسى طواف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على النصف وخرج ناسياً أمر من يطوف عنه، وله أن يقرب النساء إذا زاد على النصف</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09" w:name="pg11809_94608"/>
    </w:p>
    <w:p>
      <w:pPr>
        <w:pStyle w:val="Heading3"/>
        <w:numPr>
          <w:ilvl w:val="2"/>
          <w:numId w:val="1"/>
        </w:numPr>
        <w:rPr/>
      </w:pPr>
      <w:bookmarkStart w:id="210" w:name="__RefHeading___Toc10723929_73709187"/>
      <w:bookmarkStart w:id="211" w:name="_Toc71"/>
      <w:bookmarkEnd w:id="209"/>
      <w:bookmarkEnd w:id="210"/>
      <w:r>
        <w:rPr>
          <w:rtl w:val="true"/>
        </w:rPr>
        <w:t>كفّارة الاستمناء</w:t>
      </w:r>
      <w:bookmarkEnd w:id="211"/>
    </w:p>
    <w:p>
      <w:pPr>
        <w:pStyle w:val="BookText"/>
        <w:rPr/>
      </w:pPr>
      <w:r>
        <w:rPr>
          <w:rFonts w:ascii="Amiri" w:hAnsi="Amiri" w:eastAsia="Amiri" w:cs="Amiri"/>
          <w:color w:val="111111"/>
          <w:sz w:val="28"/>
          <w:sz w:val="28"/>
          <w:szCs w:val="28"/>
          <w:rtl w:val="true"/>
          <w:lang w:bidi="ar-SA"/>
        </w:rPr>
        <w:t xml:space="preserve">لا خلاف في أنّ من استمنى 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كالعَبَث بيده، أو بملاعبة غيره،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الإمناء وأنزل، عليه بدنة، وإنْ قيّده بعضهم بكونه باليد</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الخلاف في أنّه هل يجب عليه القضاء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3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14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142"/>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w:t>
      </w:r>
      <w:r>
        <w:rPr>
          <w:rStyle w:val="FootnoteAnchor"/>
          <w:rtl w:val="true"/>
        </w:rPr>
        <w:footnoteReference w:id="1143"/>
      </w:r>
      <w:r>
        <w:rPr>
          <w:rFonts w:ascii="Amiri" w:hAnsi="Amiri" w:eastAsia="Amiri" w:cs="Amiri"/>
          <w:color w:val="111111"/>
          <w:sz w:val="28"/>
          <w:sz w:val="28"/>
          <w:szCs w:val="28"/>
          <w:rtl w:val="true"/>
          <w:lang w:bidi="ar-SA"/>
        </w:rPr>
        <w:t>، وظاهره اختياره كالشهيدين</w:t>
      </w:r>
      <w:r>
        <w:rPr>
          <w:rStyle w:val="FootnoteAnchor"/>
          <w:rtl w:val="true"/>
        </w:rPr>
        <w:footnoteReference w:id="1144"/>
      </w:r>
      <w:r>
        <w:rPr>
          <w:rFonts w:ascii="Amiri" w:hAnsi="Amiri" w:eastAsia="Amiri" w:cs="Amiri"/>
          <w:color w:val="111111"/>
          <w:sz w:val="28"/>
          <w:sz w:val="28"/>
          <w:szCs w:val="28"/>
          <w:rtl w:val="true"/>
          <w:lang w:bidi="ar-SA"/>
        </w:rPr>
        <w:t>والكركي</w:t>
      </w:r>
      <w:r>
        <w:rPr>
          <w:rStyle w:val="FootnoteAnchor"/>
          <w:rtl w:val="true"/>
        </w:rPr>
        <w:footnoteReference w:id="1145"/>
      </w:r>
      <w:r>
        <w:rPr>
          <w:rFonts w:ascii="IRNazanin" w:hAnsi="IRNazanin" w:eastAsia="IRNazanin"/>
          <w:color w:val="111111"/>
          <w:sz w:val="28"/>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يجب، كما عن الحِلّي</w:t>
      </w:r>
      <w:r>
        <w:rPr>
          <w:rStyle w:val="FootnoteAnchor"/>
          <w:rtl w:val="true"/>
        </w:rPr>
        <w:footnoteReference w:id="1146"/>
      </w:r>
      <w:r>
        <w:rPr>
          <w:rFonts w:ascii="Amiri" w:hAnsi="Amiri" w:eastAsia="Amiri" w:cs="Amiri"/>
          <w:color w:val="111111"/>
          <w:sz w:val="28"/>
          <w:sz w:val="28"/>
          <w:szCs w:val="28"/>
          <w:rtl w:val="true"/>
          <w:lang w:bidi="ar-SA"/>
        </w:rPr>
        <w:t>والحلبي</w:t>
      </w:r>
      <w:r>
        <w:rPr>
          <w:rStyle w:val="FootnoteAnchor"/>
          <w:rtl w:val="true"/>
        </w:rPr>
        <w:footnoteReference w:id="1147"/>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114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وجماعة</w:t>
      </w:r>
      <w:r>
        <w:rPr>
          <w:rStyle w:val="FootnoteAnchor"/>
          <w:rtl w:val="true"/>
        </w:rPr>
        <w:footnoteReference w:id="1151"/>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بموثّق إسحاق بن عمّار،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مُحرِمٍ عبث بذكره فأمنى؟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عليه مثل ما على مَن أتى أهله وهو مُحرِم بدنة، والحَجّ من قابل</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يعبث بأهله وهو مُحرِم حتّى يمني من غير جماع، أو يفعل ذلك في شهر رمضان، ماذا عليهما؟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جميعاً الكفّارة، مثل ما على الذي يُجامع</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الكفّارة ليس خصوص البدنة، بل الحَجّ من قابل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الصحيح،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الدّم وما شاكل، ولا تشمل الكفّارة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يعارضه ما دلّ من النصوص على أنّ من جامع دون الفرج لزمه بدنة دون الحَجّ من قابل، كصحيح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يقع على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أفضى إليها فعليه بدنة والحَجّ من قابل، وإنْ لم يكن أفضى إليها فعليه بدنة، وليس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صحيحة الآخر</w:t>
      </w:r>
      <w:r>
        <w:rPr>
          <w:rStyle w:val="FootnoteAnchor"/>
          <w:rtl w:val="true"/>
        </w:rPr>
        <w:footnoteReference w:id="1154"/>
      </w:r>
      <w:r>
        <w:rPr>
          <w:rFonts w:ascii="Amiri" w:hAnsi="Amiri" w:eastAsia="Amiri" w:cs="Amiri"/>
          <w:color w:val="111111"/>
          <w:sz w:val="28"/>
          <w:sz w:val="28"/>
          <w:szCs w:val="28"/>
          <w:rtl w:val="true"/>
          <w:lang w:bidi="ar-SA"/>
        </w:rPr>
        <w:t>، بل يعارضه ما سيأتي في مسائل النظر بشهوة والتقبيل وما شاكل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موثّق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أعمٌّ من المطلوب، من جهة عدم فرض قصد خروج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المني من العبث، وأخصّ منه من جهة الاختصاص بالفعل الخاص، فلا مانع من الالتزام بذلك في خصوص مورده، كما عن الشيخ</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الأصل في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به، وقوّاه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يثبت ذلك في غير العَبَث بالذَّكر من أنواع ما يَستمنى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خصوصيّة للعبث بالذَّكر، وإمّا لأنّه أقبح من إتيان الأهل الثابت فيه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لحسن مسمع الذي رواه الإسكافي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 الماء إمّا بعبث بحرمته، أو بذكره، أو بإدمان نظره، مثل الذي جامع</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الأولين علّة مستنبطة، والثالث ليس بحجّة لعدم القطع بكونه رواية، مع أنّه لا يكون صريحاً في وجوب القضاء إلّابتعميم المماثلة، وهو محلّ نظر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12" w:name="pg11809_94611"/>
    </w:p>
    <w:p>
      <w:pPr>
        <w:pStyle w:val="BookText"/>
        <w:rPr/>
      </w:pPr>
      <w:bookmarkEnd w:id="212"/>
      <w:r>
        <w:rPr>
          <w:rFonts w:ascii="Amiri" w:hAnsi="Amiri" w:eastAsia="Amiri" w:cs="Amiri"/>
          <w:color w:val="111111"/>
          <w:sz w:val="28"/>
          <w:sz w:val="28"/>
          <w:szCs w:val="28"/>
          <w:rtl w:val="true"/>
          <w:lang w:bidi="ar-SA"/>
        </w:rPr>
        <w:t>ولو جامع في إحرام العُمرة قبل السَّعي بطلت، وعليه بدنة وقضائها وإتمامها</w:t>
      </w:r>
    </w:p>
    <w:p>
      <w:pPr>
        <w:pStyle w:val="Heading3"/>
        <w:numPr>
          <w:ilvl w:val="2"/>
          <w:numId w:val="1"/>
        </w:numPr>
        <w:rPr/>
      </w:pPr>
      <w:bookmarkStart w:id="213" w:name="__RefHeading___Toc10723931_73709187"/>
      <w:bookmarkStart w:id="214" w:name="_Toc72"/>
      <w:bookmarkEnd w:id="213"/>
      <w:r>
        <w:rPr>
          <w:rtl w:val="true"/>
        </w:rPr>
        <w:t>الجماع في إحرام العُمرة</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جامع في إحرام العُمرة قبل السعي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بدنة وقضائها وإتمامها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Style w:val="FootnoteAnchor"/>
          <w:rtl w:val="true"/>
        </w:rPr>
        <w:footnoteReference w:id="1158"/>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 في الجملة</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فتوى ونصّاً في أنّ الجماع في إحرام العُمرة المفردة قبل السعي موجبٌ لثبوت البدنة وقضائها، والشاهد له أخبار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 بن معاوية العجلي،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اعتمر عمرة مفردة فغشى أهله قبل أن يفرغ من طوافه وسعيه‌؟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لفساد عمرته، وعليه أن يقيم أن الشهر الآخر، فيخرج إلي بعض المواقيت فيحرم بعمرة</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يعتمر عُمرة مفردة، ثمّ يطوف بالبيت طواف الفريضة، ثمّ يغشى أهله قبل أن يسعى بين الصفا والمروة‌؟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أفسد عمرته، وعليه بدنة، وعليه أن يُقيم بمكّة حتّى يخرج الشهر الذي اعتمر فيه، ثمّ يخرج إلى الوقت الذي وقّته رسول اللّه صلى الله عليه و آله لأهله، فيُحرم </w:t>
      </w:r>
    </w:p>
    <w:p>
      <w:pPr>
        <w:pStyle w:val="BookText"/>
        <w:rPr/>
      </w:pPr>
      <w:r>
        <w:rPr>
          <w:rFonts w:ascii="Amiri" w:hAnsi="Amiri" w:eastAsia="Amiri" w:cs="Amiri"/>
          <w:color w:val="111111"/>
          <w:sz w:val="28"/>
          <w:sz w:val="28"/>
          <w:szCs w:val="28"/>
          <w:rtl w:val="true"/>
          <w:lang w:bidi="ar-SA"/>
        </w:rPr>
        <w:t>منه ويعتمر</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أحمد بن علي،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اعتمر عمرة مفردة، ووطيء أهله وهو مُحرِم قبل أن يفرغ من طوافه وسعيه‌؟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لفساد عمرته، وعليه أن يقيم بمكّة حتّى يدخل شهر آخر، فيخرج إلى بعض المواقيت فيحرم منه ثمّ يعتمر</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كما ترى غير متعرّضة لوجوب إتمام العُمرة، ولكن قَطَع المصنّف والشهيدان</w:t>
      </w:r>
      <w:r>
        <w:rPr>
          <w:rStyle w:val="FootnoteAnchor"/>
          <w:rtl w:val="true"/>
        </w:rPr>
        <w:footnoteReference w:id="1163"/>
      </w:r>
      <w:r>
        <w:rPr>
          <w:rFonts w:ascii="Amiri" w:hAnsi="Amiri" w:eastAsia="Amiri" w:cs="Amiri"/>
          <w:color w:val="111111"/>
          <w:sz w:val="28"/>
          <w:sz w:val="28"/>
          <w:szCs w:val="28"/>
          <w:rtl w:val="true"/>
          <w:lang w:bidi="ar-SA"/>
        </w:rPr>
        <w:t xml:space="preserve">وغيرهم به، لكن ناقشهم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ومستندهم غير واضح، لخلوّ الأخبار عنه، بل ربما اشعرث بالعدم، للتصريح فيها بالفساد، وعدم التعرّض فيها له مع كون المقام مقام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لوجوب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إنشاء إحرام آخر قبل إكمال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بالإحرام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حكم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جريان الاستصحاب في الأحكام الكليّة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الإحرام الصحيح غير الإحرام الفاسد بنظر العرف موضوعاً، فلا يجري الاستصحاب لتبدّل الموضوع</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المراد ممّا في النصوص الإشارة إلى ما ورد في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لعلّ الأمر بالانتظار إلى الشهر الآخر للعمرة قرينة على مراعاة تلك العُمرة، حتّى لا يكون اقتران بينهما، بل قد يشعر ذلك بأنّ الأُولى هي الفرض والثانية عقوبة، نحو ما سمعته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 في هذه النصوص بالفساد، ولم يصرّح بذلك في أكثر تلك النصوص، وهذه أمارة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ذكر الإشعار لا الدلالة، وعليه فالأظهر عدم وجوب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 النصوص تعيّن إيقاع القضاء في الشهر الداخل هنا، وإنْ قلنا بجواز توالي العمرتين، أو الاكتفاء بالفرق بينهما بعشرة أيّام في غير هذه الصورة، ولا مانع من الالتزام به،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من أنّ الأفضل أنْ يكون في الشهر الداخل، حملاً للأمر به في النصوص على الندب، في غير محلّه، إلّاأنّه لا يعتبر أن يمضي من عمرته الأُولى شهراً واحداً، بل يكفي مضيّ الشهر الذي اعتمر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المتقدّمة مختصّة بالعمرة المفردة، ولكن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الأكثر وصريح البعض، عدم الفرق بينها وبين العُمرة المتمتّع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واستشكل فيه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وتبعه غير واحدٍ</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لثبوت هذه الأحكام فيها أيضاً بوجوه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العُمرة المتمتّع بها، لا فرق بينها وبين المفردة، إلّافي أنّ الأولى بعدها حجٌ والمفردة ليست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اختلافهما في بعض الأحكام، إلّاأنّه لعلّ نفس هذا المقدار من التفاوت أوجب اختلافهما في هذا الحكم، وعليه فلا يمكن التمسّك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متمتّعٍ وقع على أهله ولم يزر؟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جزوراً، وقد خشيت أنْ يكون قد ثلم حجّه إنْ كان عالماً</w:t>
      </w:r>
      <w:r>
        <w:rPr>
          <w:rStyle w:val="FootnoteAnchor"/>
          <w:rtl w:val="true"/>
        </w:rPr>
        <w:footnoteReference w:id="1168"/>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الخوف من تطرّق الفساد إلى الحَجّ بالجماع بعد السعي قبل التقصير، ربما اقتضي تحقّق الفساد بوقوع ذلك قبل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بمقتضى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الجماع بعد السعي الفساد قطعاً، فكيف يثلم به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والفحوى إنّما يتمسّك بها مع ثبوت الحكم في الأصل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العُمرة المتمتّع بها من أجزاء حَجّ التمتّع، وعليه فالنصوص في المسألة السابقة تشملها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النصوص مختصّة من جهة ما فيها من القرائن بالحجّ نفسه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يعتدّ به على الفساد العُمرة المتمتّع بها بالجماع في أثناء إحرامها، ولكن الاحتياط طريق النجاة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فسادها، هل يفسد حجّه أيضاً أم 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ظاهر الحلبيّين</w:t>
      </w:r>
      <w:r>
        <w:rPr>
          <w:rStyle w:val="FootnoteAnchor"/>
          <w:rtl w:val="true"/>
        </w:rPr>
        <w:footnoteReference w:id="1169"/>
      </w:r>
      <w:r>
        <w:rPr>
          <w:rFonts w:ascii="Amiri" w:hAnsi="Amiri" w:eastAsia="Amiri" w:cs="Amiri"/>
          <w:color w:val="111111"/>
          <w:sz w:val="28"/>
          <w:sz w:val="28"/>
          <w:szCs w:val="28"/>
          <w:rtl w:val="true"/>
          <w:lang w:bidi="ar-SA"/>
        </w:rPr>
        <w:t>وصريح فخر الإسلام</w:t>
      </w:r>
      <w:r>
        <w:rPr>
          <w:rStyle w:val="FootnoteAnchor"/>
          <w:rtl w:val="true"/>
        </w:rPr>
        <w:footnoteReference w:id="1170"/>
      </w:r>
      <w:r>
        <w:rPr>
          <w:rFonts w:ascii="Amiri" w:hAnsi="Amiri" w:eastAsia="Amiri" w:cs="Amiri"/>
          <w:color w:val="111111"/>
          <w:sz w:val="28"/>
          <w:sz w:val="28"/>
          <w:szCs w:val="28"/>
          <w:rtl w:val="true"/>
          <w:lang w:bidi="ar-SA"/>
        </w:rPr>
        <w:t xml:space="preserve">والشهيد الثاني البطلان، وقد صرّح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إكمال الحَجّ‌، ثمّ قضائهما، واستدلّ له بأنّهما مرتبطان</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الارتباط إنّما هو بين الصحيح منهما لا الفاسد</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وسع الوقت لإنشاء عُمرة أُخرى في الشهر الداخل، فلا كلام في أنّه ينتظر فيعتمر في الشهر الداخل، ثمّ ينشأ الحَجّ‌، وإنْ لم يسع الوقت إنشاء عمرةٍ أُخرى قبل الحَجّ‌، فلا إشكال في فوات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ينقلب فرضه إلى الإفراد أم لا؟</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مانع من التزام انقلاب الحَجّ إلى الإفراد، مع عدم سعة الوقت، وإن انقلبت العُمرة إلى الإفراد</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يكفي في ذلك عدم المانع، بل لابدّ من إقامة دليل عليه، وشمول أدلّة العدول إلى الإفراد للمقام غير ظاهر، وعليه فالأظهر تأخير الحَجّ إلى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بعد السّعي، فلا كلام ولا إشكال في عدم فساد عمرة التمتّع، لصحيح معاوية المتقدّم وغيره، كما لا إشكال في أنّ عليه دماً يُهريقه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تعيينه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7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1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1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1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1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181"/>
      </w:r>
      <w:r>
        <w:rPr>
          <w:rFonts w:ascii="Amiri" w:hAnsi="Amiri" w:eastAsia="Amiri" w:cs="Amiri"/>
          <w:color w:val="111111"/>
          <w:sz w:val="28"/>
          <w:sz w:val="28"/>
          <w:szCs w:val="28"/>
          <w:rtl w:val="true"/>
          <w:lang w:bidi="ar-SA"/>
        </w:rPr>
        <w:t>، أنّه يجبُ عليه بدنة للموسر، وبقرة للمتوسّط، وشاة للمُعسِر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جزور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كصحيح معاوية المتقدّم، وكذا صحيحه الآخر</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جزورٌ أو 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كصحيح الحلبي</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دمُ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كخبر ابن مسكان</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بينها يقتضي البناء على التخيّير، ولكن الظاهر عدم الالتزام به من أحدٍ، وعليه فالبناء على الترتيب كما اُفيد أوفق بالاحتياط، مع كون المتوسّط ممّن لا يقدر على بدنة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جماعةٍ وصريح آخرين</w:t>
      </w:r>
      <w:r>
        <w:rPr>
          <w:rStyle w:val="FootnoteAnchor"/>
          <w:rtl w:val="true"/>
        </w:rPr>
        <w:footnoteReference w:id="1185"/>
      </w:r>
      <w:r>
        <w:rPr>
          <w:rFonts w:ascii="Amiri" w:hAnsi="Amiri" w:eastAsia="Amiri" w:cs="Amiri"/>
          <w:color w:val="111111"/>
          <w:sz w:val="28"/>
          <w:sz w:val="28"/>
          <w:szCs w:val="28"/>
          <w:rtl w:val="true"/>
          <w:lang w:bidi="ar-SA"/>
        </w:rPr>
        <w:t>مساواتها مع عمرة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التمتّع في عدم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محتاجٌ إلى دليل</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اختصاص دليل الفساد بما قبل السعي، فلا دليل عليه بعده، والأصل يقتضي عدمه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15" w:name="pg11809_94618"/>
    </w:p>
    <w:p>
      <w:pPr>
        <w:pStyle w:val="BookText"/>
        <w:rPr/>
      </w:pPr>
      <w:bookmarkEnd w:id="215"/>
      <w:r>
        <w:rPr>
          <w:rFonts w:ascii="Amiri" w:hAnsi="Amiri" w:eastAsia="Amiri" w:cs="Amiri"/>
          <w:color w:val="111111"/>
          <w:sz w:val="28"/>
          <w:sz w:val="28"/>
          <w:szCs w:val="28"/>
          <w:rtl w:val="true"/>
          <w:lang w:bidi="ar-SA"/>
        </w:rPr>
        <w:t>ولو نَظَر إلى غير أهله فأمنى، كان عليه بدنة، فإنْ عجز فبقرة، وإنْ عجز فشاة</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0723933_73709187"/>
      <w:bookmarkStart w:id="217" w:name="_Toc73"/>
      <w:bookmarkEnd w:id="216"/>
      <w:r>
        <w:rPr>
          <w:rtl w:val="true"/>
        </w:rPr>
        <w:t>كفّارة النظر</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نَظر إلى غير أهله فأمنى، كان عليه بدنة، فإنْ عجز فبقرة، فإنْ عجز فشاة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منصوصٌ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1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1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1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193"/>
      </w:r>
      <w:r>
        <w:rPr>
          <w:rFonts w:ascii="Amiri" w:hAnsi="Amiri" w:eastAsia="Amiri" w:cs="Amiri"/>
          <w:color w:val="111111"/>
          <w:sz w:val="28"/>
          <w:sz w:val="28"/>
          <w:szCs w:val="28"/>
          <w:rtl w:val="true"/>
          <w:lang w:bidi="ar-SA"/>
        </w:rPr>
        <w:t>، بل هو خيرة الأكثر كما اعترف به غير واحدٍ</w:t>
      </w:r>
      <w:r>
        <w:rPr>
          <w:rStyle w:val="FootnoteAnchor"/>
          <w:rtl w:val="true"/>
        </w:rPr>
        <w:footnoteReference w:id="1194"/>
      </w:r>
      <w:r>
        <w:rPr>
          <w:rFonts w:ascii="Amiri" w:hAnsi="Amiri" w:eastAsia="Amiri" w:cs="Amiri"/>
          <w:color w:val="111111"/>
          <w:sz w:val="28"/>
          <w:sz w:val="28"/>
          <w:szCs w:val="28"/>
          <w:rtl w:val="true"/>
          <w:lang w:bidi="ar-SA"/>
        </w:rPr>
        <w:t>، وإنْ عبّر الأكثر عنه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بدنة إنْ كان موسراً، وإنْ كان متوسّطاً فبقرة، وإنْ كان معسراً فشاة</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 إلّاأنّ الظاهر اتّحاد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فالنصوص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من نظر إلى غير أهله فأنزل فعليه دم، وإلّا فلا شيء عليه، كصحيح معاوية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نظر إلى غير أهله فأنزل‌؟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لأنّه نظر إلى غير ما </w:t>
      </w:r>
    </w:p>
    <w:p>
      <w:pPr>
        <w:pStyle w:val="BookText"/>
        <w:rPr/>
      </w:pPr>
      <w:r>
        <w:rPr>
          <w:rFonts w:ascii="Amiri" w:hAnsi="Amiri" w:eastAsia="Amiri" w:cs="Amiri"/>
          <w:color w:val="111111"/>
          <w:sz w:val="28"/>
          <w:sz w:val="28"/>
          <w:szCs w:val="28"/>
          <w:rtl w:val="true"/>
          <w:lang w:bidi="ar-SA"/>
        </w:rPr>
        <w:t>يحلّ له، وإنْ لم يكن أنزل، فليتّق اللّه تعالى ولا يعد، وليس عليه شيء</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الموجب للكفّارة النظر إلى ما لا يحلّ له، وهي موثّقة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مُحرِمٍ نظر إلى ساق امرأة أو إلى فرجها فأمنى‌؟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موسراً فعليه بدنة، وإنْ كان وسطاً فعليه بقرة، وإنْ كان فقيراً فعليه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أجعل عليه هذا لأنّه أمنى، إنّما جعلته عليه لأنّه نظر إلى ما لا يحلّ له</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وصريح الجملة الأخيرة أنّ الكفّارة لأجل النظر خاصّة، والأوّل يدلّ على أنّ النظر من غير الإمناء لا يوجبُ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فالجمع بينهما يقتضي البناء على أنّ الموجب للكفّارة هو النظر المؤدّي إلى الإمناء لا مطلقاً، كما أنّ الجمع بينهما يقتضي البناء على أنّ الواجب أوّلاً هو البدنة للموسر، ثمّ بقرة، ثمّ شاة، وإطلاق الصحيح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بما تضمّنه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من نظر إلى غير أهله فأمنى، فعليه جزور، أو بقرة، فإنْ لم يجد فشاة، كصحيح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مُحرمٍ نظر إلى غير أهله فأنزل‌؟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جزور أو بقرة، فإنْ لم يجد فشاة</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والجمع بينه وبين ما تقدّم يقتضي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التخيّير المجامع للترتيب،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لكونه مطلقاً والموثّق مقيّداً، أو لأنّه ظاهر في التخيّير غير المجامع للترتيب، والموثّق صريح في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ضعف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من الفتوى بما هو ظاهر صحيح زرارة، وتبعه بعض متأخّري المتأخّرين</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ظهر ضعف ما عن ابن حمزة</w:t>
      </w:r>
      <w:r>
        <w:rPr>
          <w:rStyle w:val="FootnoteAnchor"/>
          <w:rtl w:val="true"/>
        </w:rPr>
        <w:footnoteReference w:id="1201"/>
      </w:r>
      <w:r>
        <w:rPr>
          <w:rFonts w:ascii="Amiri" w:hAnsi="Amiri" w:eastAsia="Amiri" w:cs="Amiri"/>
          <w:color w:val="111111"/>
          <w:sz w:val="28"/>
          <w:sz w:val="28"/>
          <w:szCs w:val="28"/>
          <w:rtl w:val="true"/>
          <w:lang w:bidi="ar-SA"/>
        </w:rPr>
        <w:t>من إلغاء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المفيد</w:t>
      </w:r>
      <w:r>
        <w:rPr>
          <w:rStyle w:val="FootnoteAnchor"/>
          <w:rtl w:val="true"/>
        </w:rPr>
        <w:footnoteReference w:id="1202"/>
      </w:r>
      <w:r>
        <w:rPr>
          <w:rFonts w:ascii="Amiri" w:hAnsi="Amiri" w:eastAsia="Amiri" w:cs="Amiri"/>
          <w:color w:val="111111"/>
          <w:sz w:val="28"/>
          <w:sz w:val="28"/>
          <w:szCs w:val="28"/>
          <w:rtl w:val="true"/>
          <w:lang w:bidi="ar-SA"/>
        </w:rPr>
        <w:t>وسلّار</w:t>
      </w:r>
      <w:r>
        <w:rPr>
          <w:rStyle w:val="FootnoteAnchor"/>
          <w:rtl w:val="true"/>
        </w:rPr>
        <w:footnoteReference w:id="1203"/>
      </w:r>
      <w:r>
        <w:rPr>
          <w:rFonts w:ascii="Amiri" w:hAnsi="Amiri" w:eastAsia="Amiri" w:cs="Amiri"/>
          <w:color w:val="111111"/>
          <w:sz w:val="28"/>
          <w:sz w:val="28"/>
          <w:szCs w:val="28"/>
          <w:rtl w:val="true"/>
          <w:lang w:bidi="ar-SA"/>
        </w:rPr>
        <w:t>وابن زُهرة</w:t>
      </w:r>
      <w:r>
        <w:rPr>
          <w:rStyle w:val="FootnoteAnchor"/>
          <w:rtl w:val="true"/>
        </w:rPr>
        <w:footnoteReference w:id="1204"/>
      </w:r>
      <w:r>
        <w:rPr>
          <w:rFonts w:ascii="Amiri" w:hAnsi="Amiri" w:eastAsia="Amiri" w:cs="Amiri"/>
          <w:color w:val="111111"/>
          <w:sz w:val="28"/>
          <w:sz w:val="28"/>
          <w:szCs w:val="28"/>
          <w:rtl w:val="true"/>
          <w:lang w:bidi="ar-SA"/>
        </w:rPr>
        <w:t>، من أنّه إنْ عجز عن الشاة صام ثلاثة أيّام، فلم نجد ما يدلّ عليه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أصل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بفحوى قيامه مقامها في كفّارة الصيد ولو بعد العجز عن إطعام عشرة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غير ثابت بنحو العموم، والتعدّي عن كفّارة الصيد يتوقّف على دليل مفقود، وعليه فالأظهر عدم وجوب شيء عليه مع العجز عن الشاة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 والفتوى، عدم الفرق بين قصد الإمناء وعدمه، وبين النظر بشهوة أوّلاً، ولا بين معتاد الإمناء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نظر إلى أهله بغير شهوةٍ فأمنى، فلا شيء عليه، وإن كان بشهوةٍ فأمنى فجزور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قصد الإمناء، أو كان معتاد الإمناء، فيلحقه حكم الاستمناء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لما عرفت من اختصاص حكم الإستمناء بالمورد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النص أنّ المدار على صدق الموسر والمتوسّط والفقير، ففي تحديد المفاهيم الثلاثة المرجع هو العرف، وإنْ كان ذلك غير خالٍ عن الإشكال كما تقدّم في نظائر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الحمل على الترتيب، فتجبُ البدنة على القادر عليها، فإنْ عجز عنها فالبقرة، وإنْ عجز عنها فالشاة، كما عن المصنّف</w:t>
      </w:r>
      <w:r>
        <w:rPr>
          <w:rStyle w:val="FootnoteAnchor"/>
          <w:rtl w:val="true"/>
        </w:rPr>
        <w:footnoteReference w:id="1206"/>
      </w:r>
      <w:r>
        <w:rPr>
          <w:rFonts w:ascii="Amiri" w:hAnsi="Amiri" w:eastAsia="Amiri" w:cs="Amiri"/>
          <w:color w:val="111111"/>
          <w:sz w:val="28"/>
          <w:sz w:val="28"/>
          <w:szCs w:val="28"/>
          <w:rtl w:val="true"/>
          <w:lang w:bidi="ar-SA"/>
        </w:rPr>
        <w:t>والشهيد</w:t>
      </w:r>
      <w:r>
        <w:rPr>
          <w:rStyle w:val="FootnoteAnchor"/>
          <w:rtl w:val="true"/>
        </w:rPr>
        <w:footnoteReference w:id="1207"/>
      </w:r>
      <w:r>
        <w:rPr>
          <w:rFonts w:ascii="Amiri" w:hAnsi="Amiri" w:eastAsia="Amiri" w:cs="Amiri"/>
          <w:color w:val="111111"/>
          <w:sz w:val="28"/>
          <w:sz w:val="28"/>
          <w:szCs w:val="28"/>
          <w:rtl w:val="true"/>
          <w:lang w:bidi="ar-SA"/>
        </w:rPr>
        <w:t>القطع بذلك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نظر إلى أهله بغير شهوةٍ فأمنى، فلا شيء عليه، وإنْ كان بشهوةٍ فأمنى فجزور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البدنة، بلا خلافٍ في الحكمين</w:t>
      </w:r>
      <w:r>
        <w:rPr>
          <w:rStyle w:val="FootnoteAnchor"/>
          <w:rtl w:val="true"/>
        </w:rPr>
        <w:footnoteReference w:id="1208"/>
      </w:r>
      <w:r>
        <w:rPr>
          <w:rFonts w:ascii="Amiri" w:hAnsi="Amiri" w:eastAsia="Amiri" w:cs="Amiri"/>
          <w:color w:val="111111"/>
          <w:sz w:val="28"/>
          <w:sz w:val="28"/>
          <w:szCs w:val="28"/>
          <w:rtl w:val="true"/>
          <w:lang w:bidi="ar-SA"/>
        </w:rPr>
        <w:t>، بل عن بعضهم دعوى الإجماع عليه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210"/>
      </w:r>
      <w:r>
        <w:rPr>
          <w:rFonts w:ascii="IRNazanin" w:hAnsi="IRNazanin" w:eastAsia="IRNazanin"/>
          <w:color w:val="111111"/>
          <w:sz w:val="28"/>
          <w:sz w:val="28"/>
          <w:szCs w:val="28"/>
          <w:rtl w:val="true"/>
          <w:lang w:bidi="fa-IR"/>
        </w:rPr>
        <w:t>والمرتضى</w:t>
      </w:r>
      <w:r>
        <w:rPr>
          <w:rStyle w:val="FootnoteAnchor"/>
          <w:rtl w:val="true"/>
        </w:rPr>
        <w:footnoteReference w:id="12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الكفّارة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الواردة حول هذا الموضوع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نفي الكفّارة مطلقاً، كصحيح معاوية بن عمّار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مُحرِمٍ نظر إلى امرأته فأمنى أو أمذى وهو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ولكن ليغتسل ويستغفر ربّه، وإنْ حملها من غير شهوة فأمنى أو أمذى وهو محرم، فلا شيء عليه، وإنْ حملها أو مسّها بشهوة فأمنى أو أمذى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ينظر إلى امرأته أو ينزلها بشهوة حتّى ينزل‌؟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ثبوت الكفّارة مطلقاً، كموثّق أبي بصير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مُحرِمٌ نظر إلى ساق امرأة أو إلى فرجها فأمنى‌؟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موسراً فعليه بدنة، وإنْ كان وسطاً فعليه بقرة، وإنْ كان فقيراً فعليه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أجعل عليه هذا لأنّه أمنى‌، إنّما جعلته عليه لأنّه نظر إلى ما لا يحلّ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إطلاقه يشمل زوجته أيضاً، وما فيه من التعليل، لا يصلح لاختصاصه بالأجنبيّة، لأنّه يمكن أن تجري العلّة في الزوجة من جهة عدم الحلّية، لأجل الإحرام، فلا مقيّد للصدر، وتنكير المرأة يمكن أنْ يكون لأجل إفادة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النظر خاصّة لا يترتّب عليه الكفّارة، كحسن علي بن يقطين،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 لإمرأته أو لجاريته بعدما حلق ولم يطف ولم يسع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اطرحي ثوبك، ونظر إلى فرجها؟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إذا لم يكن غير النظر</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النظر إليها بشهوة مع الإمناء موجبٌ للكفّارة، كحسن مسمع،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إنّ حال المُحرِم 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مسَّ امرأته بيده وهو مُحرِم على شهوة فعليه دم شاة، ومَن نظر إلى امرأته نظر شهوة فأمنى فعليه جزور، ومن مسّ امرأته أو لازمها من غير شهوة فلا شيء عليه</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النظر إليها بشهوة لا يوجب الكفّارة حتّى ولو أمنى، كموثّق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نظر إلى امرأته بشهوة فأمنى‌؟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صحيح معاوية يقيّد إطلاق الطائفة الثانية، فتختصّ بالأجنبيّة، ثمّ ذيلة يقيّد صدره فيختصّ الصدر بالنظر بغير شهوة، وإنْ كان حينئذٍ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ليغتسل، ويستغفر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18" w:name="pg11809_94624"/>
    </w:p>
    <w:p>
      <w:pPr>
        <w:pStyle w:val="BookText"/>
        <w:rPr/>
      </w:pPr>
      <w:bookmarkEnd w:id="218"/>
      <w:r>
        <w:rPr>
          <w:rFonts w:ascii="Amiri" w:hAnsi="Amiri" w:eastAsia="Amiri" w:cs="Amiri"/>
          <w:color w:val="111111"/>
          <w:sz w:val="28"/>
          <w:sz w:val="28"/>
          <w:szCs w:val="28"/>
          <w:rtl w:val="true"/>
          <w:lang w:bidi="ar-SA"/>
        </w:rPr>
        <w:t>وكذا لو أمنى عند الملاعبة،</w:t>
      </w:r>
    </w:p>
    <w:p>
      <w:pPr>
        <w:pStyle w:val="BookText"/>
        <w:rPr/>
      </w:pPr>
      <w:r>
        <w:rPr>
          <w:rFonts w:ascii="Amiri" w:hAnsi="Amiri" w:eastAsia="Amiri" w:cs="Amiri"/>
          <w:color w:val="111111"/>
          <w:sz w:val="28"/>
          <w:sz w:val="28"/>
          <w:szCs w:val="28"/>
          <w:rtl w:val="true"/>
          <w:lang w:bidi="ar-SA"/>
        </w:rPr>
        <w:t>وعلى أيّ تقدير، الذيل الدالّ على أنّ النظر بشهوة المؤدّي إلى الإمناء موجبٌ للكفّارة لا إشكال فيه، ويوافقه الطائفة الرابعة، والطائفة الثالثة تدلّ على أنّ النظر المجرّد بدون الإمناء لا يوجبُ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فالجمعُ بين هذه النصوص يقتضي البناء على أنّ النظر بنفسه لا يوجبُ الكفّارة، وكذلك النظر مع الإمناء إذا كان بغير شهوة، وأمّا إنْ كان بشهوةٍ فهو موجب للكفّارة، ويعارضها حينئذٍ الطائفة الخامسة، ولكنّها مطلقة من حيث أنّ نفي الشيء عليه أعمّ من نفي الكفّارة، فيقيّد إطلاقها بما تقدّم، وإنْ أبيت عن ذلك، فتطرح لإعراض الأصحاب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أظهريّة ما نُسب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الجزور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أمنى عند الملاعبة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لصحيح ابن الحجّاج،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يعبث بأهله وهو مُحرِم حتّى يمني من غير جماع، أو يفعل ذلك في شهر رمضان‌؟ ماذا عليها؟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جميعاً الكفّارة مثل ما على الذي يجامع</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الجزور هي البدنة كما مرّ</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0723935_73709187"/>
      <w:bookmarkStart w:id="220" w:name="_Toc74"/>
      <w:bookmarkEnd w:id="219"/>
      <w:r>
        <w:rPr>
          <w:rtl w:val="true"/>
        </w:rPr>
        <w:t>كفّارة المسّ بشهوة</w:t>
      </w:r>
      <w:bookmarkEnd w:id="22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فروع لم يتعرّض لها المصنّف رحمه الله، لابدّ من التنبيه عليها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مسّ امرأته، فالمشهور بين الأصحاب</w:t>
      </w:r>
      <w:r>
        <w:rPr>
          <w:rStyle w:val="FootnoteAnchor"/>
          <w:rtl w:val="true"/>
        </w:rPr>
        <w:footnoteReference w:id="1216"/>
      </w:r>
      <w:r>
        <w:rPr>
          <w:rFonts w:ascii="Amiri" w:hAnsi="Amiri" w:eastAsia="Amiri" w:cs="Amiri"/>
          <w:color w:val="111111"/>
          <w:sz w:val="28"/>
          <w:sz w:val="28"/>
          <w:szCs w:val="28"/>
          <w:rtl w:val="true"/>
          <w:lang w:bidi="ar-SA"/>
        </w:rPr>
        <w:t xml:space="preserve">أنّه إنْ مسّها بشهوة </w:t>
      </w:r>
    </w:p>
    <w:p>
      <w:pPr>
        <w:pStyle w:val="BookText"/>
        <w:rPr/>
      </w:pPr>
      <w:r>
        <w:rPr>
          <w:rFonts w:ascii="Amiri" w:hAnsi="Amiri" w:eastAsia="Amiri" w:cs="Amiri"/>
          <w:color w:val="111111"/>
          <w:sz w:val="28"/>
          <w:sz w:val="28"/>
          <w:szCs w:val="28"/>
          <w:rtl w:val="true"/>
          <w:lang w:bidi="ar-SA"/>
        </w:rPr>
        <w:t>فعليه دم شاة أمنى ام لم يمن، وان مسها بغير شهوة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حمزة</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المسّ بشهوة الدّم مطلقاً، لا خصوص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الشاة بما إذا لم يمن، وإلّا فالبدنة مع الإمناء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الكفّارة مع المسّ بشهوة، ولو لم يمن، وعدم ثبوتها إذا كان من غير شهوة ولو أمنى، فيشهد لهما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مسمع وصحيح معاوية المتقدّمان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حمل امرأته وهو مُحرِم فأمنى أو أمذى‌؟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حملها أو مسّها بشيء من الشهوة، فأمنى أو لم يمن، أمذى أو لم يمذ، فعليه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حملها أو مسّها بغير شهوة، فأمنى أو أمذى، فليس عليه شيء</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الكفّارة هي الشاة، فيشهد به حسنا مسمع والحلبي</w:t>
      </w:r>
      <w:r>
        <w:rPr>
          <w:rStyle w:val="FootnoteAnchor"/>
          <w:rtl w:val="true"/>
        </w:rPr>
        <w:footnoteReference w:id="1220"/>
      </w:r>
      <w:r>
        <w:rPr>
          <w:rFonts w:ascii="Amiri" w:hAnsi="Amiri" w:eastAsia="Amiri" w:cs="Amiri"/>
          <w:color w:val="111111"/>
          <w:sz w:val="28"/>
          <w:sz w:val="28"/>
          <w:szCs w:val="28"/>
          <w:rtl w:val="true"/>
          <w:lang w:bidi="ar-SA"/>
        </w:rPr>
        <w:t>وغيرهما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لما ذهب إليه ابن حمزة، بقوله عليه السلام في صحيح معاوية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 يقيّد إطلاقه بغيره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الثالث</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في ذيل صحيح معاوية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ينظر إلى امرأته أو ينزلها بشهوة حتّى ينزل‌؟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أفحش من النظر الذي فيه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ظاهر الصحيح المزبور اعتبار النظر والنزول بشهوة حتّى ينزل لا النزول خاصّة، وحينئذٍ فالبدنة للنظر</w:t>
      </w:r>
      <w:r>
        <w:rPr>
          <w:rFonts w:eastAsia="Amiri" w:cs="Amiri" w:ascii="Amiri" w:hAnsi="Amiri"/>
          <w:color w:val="111111"/>
          <w:sz w:val="28"/>
          <w:szCs w:val="28"/>
          <w:rtl w:val="true"/>
          <w:lang w:bidi="ar-SA"/>
        </w:rPr>
        <w:t>)</w:t>
      </w:r>
      <w:r>
        <w:rPr>
          <w:rStyle w:val="FootnoteAnchor"/>
          <w:rtl w:val="true"/>
        </w:rPr>
        <w:footnoteReference w:id="122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الخبر بقرينة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خاصّة بدون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لإعراض الأصحاب عنه، وعدم إفتائهم به لا يصلح اعتباره مدركاً للحكم الشرعي، وإنْ كان القول بالتخيّير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امرأته،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بغير شهوة، كان عليه شاة، ولو كان بشهوة كان عليه جزور،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2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2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225"/>
      </w:r>
      <w:r>
        <w:rPr>
          <w:rFonts w:ascii="Amiri" w:hAnsi="Amiri" w:eastAsia="Amiri" w:cs="Amiri"/>
          <w:color w:val="111111"/>
          <w:sz w:val="28"/>
          <w:sz w:val="28"/>
          <w:szCs w:val="28"/>
          <w:rtl w:val="true"/>
          <w:lang w:bidi="ar-SA"/>
        </w:rPr>
        <w:t>وغيرها، بل نُسب إلى الأكثر</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ثبوت الكفّارة بصورة الإمناء، كما عن سلّار</w:t>
      </w:r>
      <w:r>
        <w:rPr>
          <w:rStyle w:val="FootnoteAnchor"/>
          <w:rtl w:val="true"/>
        </w:rPr>
        <w:footnoteReference w:id="1227"/>
      </w:r>
      <w:r>
        <w:rPr>
          <w:rFonts w:ascii="Amiri" w:hAnsi="Amiri" w:eastAsia="Amiri" w:cs="Amiri"/>
          <w:color w:val="111111"/>
          <w:sz w:val="28"/>
          <w:sz w:val="28"/>
          <w:szCs w:val="28"/>
          <w:rtl w:val="true"/>
          <w:lang w:bidi="ar-SA"/>
        </w:rPr>
        <w:t>وابن سعيد</w:t>
      </w:r>
      <w:r>
        <w:rPr>
          <w:rStyle w:val="FootnoteAnchor"/>
          <w:rtl w:val="true"/>
        </w:rPr>
        <w:footnoteReference w:id="1228"/>
      </w:r>
      <w:r>
        <w:rPr>
          <w:rFonts w:ascii="Amiri" w:hAnsi="Amiri" w:eastAsia="Amiri" w:cs="Amiri"/>
          <w:color w:val="111111"/>
          <w:sz w:val="28"/>
          <w:sz w:val="28"/>
          <w:szCs w:val="28"/>
          <w:rtl w:val="true"/>
          <w:lang w:bidi="ar-SA"/>
        </w:rPr>
        <w:t>، وإنْ أطلق أوّلهما وجوبها بالتقبيل، وقيّده ثانيهما بالشهوة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الحِلّي</w:t>
      </w:r>
      <w:r>
        <w:rPr>
          <w:rStyle w:val="FootnoteAnchor"/>
          <w:rtl w:val="true"/>
        </w:rPr>
        <w:footnoteReference w:id="1229"/>
      </w:r>
      <w:r>
        <w:rPr>
          <w:rFonts w:ascii="Amiri" w:hAnsi="Amiri" w:eastAsia="Amiri" w:cs="Amiri"/>
          <w:color w:val="111111"/>
          <w:sz w:val="28"/>
          <w:sz w:val="28"/>
          <w:szCs w:val="28"/>
          <w:rtl w:val="true"/>
          <w:lang w:bidi="ar-SA"/>
        </w:rPr>
        <w:t>، وهو أنّه إنْ كان بغير شهوة فعليه دم، وإنْ كان بشهوة ولم يمن فعليه دم شاة، وإنْ أمنى كان عليه 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المفيد</w:t>
      </w:r>
      <w:r>
        <w:rPr>
          <w:rStyle w:val="FootnoteAnchor"/>
          <w:rtl w:val="true"/>
        </w:rPr>
        <w:footnoteReference w:id="1230"/>
      </w:r>
      <w:r>
        <w:rPr>
          <w:rFonts w:ascii="Amiri" w:hAnsi="Amiri" w:eastAsia="Amiri" w:cs="Amiri"/>
          <w:color w:val="111111"/>
          <w:sz w:val="28"/>
          <w:sz w:val="28"/>
          <w:szCs w:val="28"/>
          <w:rtl w:val="true"/>
          <w:lang w:bidi="ar-SA"/>
        </w:rPr>
        <w:t>والسيّد</w:t>
      </w:r>
      <w:r>
        <w:rPr>
          <w:rStyle w:val="FootnoteAnchor"/>
          <w:rtl w:val="true"/>
        </w:rPr>
        <w:footnoteReference w:id="1231"/>
      </w:r>
      <w:r>
        <w:rPr>
          <w:rFonts w:ascii="IRNazanin" w:hAnsi="IRNazanin" w:eastAsia="IRNazanin"/>
          <w:color w:val="111111"/>
          <w:sz w:val="28"/>
          <w:sz w:val="28"/>
          <w:szCs w:val="28"/>
          <w:rtl w:val="true"/>
          <w:lang w:bidi="fa-IR"/>
        </w:rPr>
        <w:t>والصدوق</w:t>
      </w:r>
      <w:r>
        <w:rPr>
          <w:rStyle w:val="FootnoteAnchor"/>
          <w:rtl w:val="true"/>
        </w:rPr>
        <w:footnoteReference w:id="123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وجوب البدنة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الشاة مطلقاً، نُسب إلى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ثبوت البدنة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أشدّ، ينحر بدنة</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قَبّل امرأته وهو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وإنْ لم ينزل، وليس له أن يأكل منها</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ثبوت الدّم عليه، الظاهر في إرادة الشاة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العلاء بن فضيل،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وامرأة تمتّعا جميعاً، فقصّرت امرأته ولم يقصّر، فقبّلها؟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دماً، وإنْ كانا لم يقصّرا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جميعاً فعلى كلّ واحدٍ منهما أن يهريق دماً</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زرارة</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لزوم البدنة مع كون التقبيل بشهوة، في صورة الإمناء، ولزوم الشاة مع كونه بدون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مسمع أبي سيّار،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سيّار، إنّ حال المُحرِم ضيّقة، فمنْ قَبّل امرأته على غير شهوة وهو مُحرِم، فعليه دم شاة، وإنْ قَبّل امرأته على شهوةٍ فأمنى، فعليه جزور، ويستغفر ربّه</w:t>
      </w:r>
      <w:r>
        <w:rPr>
          <w:rStyle w:val="FootnoteAnchor"/>
          <w:rtl w:val="true"/>
        </w:rPr>
        <w:footnoteReference w:id="1238"/>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تقيّيد إطلاق الطائفة الثانية بالثالثة، وأمّا إطلاق الطائفة الأُولى فبالنسبة إلى التقبيل بغير شهوة يقيّد إطلاقها بالثالثة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التقبيل بشهوة، ففي صورة الإمناء هما متوافقتان فيعمل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التقبيل بشهوة بدون الإمناء، فالطائفة الثالثة بمفهوم الشرط تدلّ على عدم ثبوت البدنة فيه، والطائفة الأُولى تدلّ بالمنطوق على ثبوتها، والنسبة إمّا عموم مطلق من جهة التصريح بعدم الإنزال في خبر علي، وغلبة كون التقبيل بشهوة، أو عموم من وجه بناءً على كون التقبيل قد يكون بشهوة وقد يكون بغير شهوة، وعلى التقديرين تقدّم تلك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فلكونها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التساوي والرجوع إلى المرجّحات فالترجيح معها كما لا يخفى‌، فما عليه الأكثر 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مختصّة بتقبيل الرّجل امرأته، أمّا العكس من تقبيل الرّجل الأجنبيّة أو الغلام، فالنصوص غير شاملة لهما، والمناط غير محرزٍ، والأصل يقتضي عدم ثبوت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 كلام امرأة من خلف الحائط وهو مُحرِم، فتشاها حتّى أنزل، ليس عليه شيء، لخبر أبي بصير عن أبي عبد اللّه عليه السلام</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لو استمع على من يجامع فأمنى، لم يلزمه شيء، لموثّق سماعة،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استمع على رجلٍ يُجامع أهله فأمنى‌؟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واستثنى ثاني الشهيدين رحمهما الله</w:t>
      </w:r>
      <w:r>
        <w:rPr>
          <w:rStyle w:val="FootnoteAnchor"/>
          <w:rtl w:val="true"/>
        </w:rPr>
        <w:footnoteReference w:id="1241"/>
      </w:r>
      <w:r>
        <w:rPr>
          <w:rFonts w:ascii="Amiri" w:hAnsi="Amiri" w:eastAsia="Amiri" w:cs="Amiri"/>
          <w:color w:val="111111"/>
          <w:sz w:val="28"/>
          <w:sz w:val="28"/>
          <w:szCs w:val="28"/>
          <w:rtl w:val="true"/>
          <w:lang w:bidi="ar-SA"/>
        </w:rPr>
        <w:t>من الموردين معتاد الإمناء بذلك، لأنّه حينئذٍ من الاستمناء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أنّ الاستمناء مطلقاً لا يوجب الكفّارة، فراجع</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الأصحاب</w:t>
      </w:r>
      <w:r>
        <w:rPr>
          <w:rFonts w:eastAsia="IRNazanin" w:cs="IRNazanin"/>
          <w:color w:val="111111"/>
          <w:sz w:val="28"/>
          <w:szCs w:val="28"/>
          <w:rtl w:val="true"/>
          <w:lang w:bidi="fa-IR"/>
        </w:rPr>
        <w:t>:</w:t>
      </w:r>
      <w:r>
        <w:rPr>
          <w:rStyle w:val="FootnoteAnchor"/>
          <w:rtl w:val="true"/>
        </w:rPr>
        <w:footnoteReference w:id="1243"/>
      </w:r>
      <w:r>
        <w:rPr>
          <w:rFonts w:ascii="Amiri" w:hAnsi="Amiri" w:eastAsia="Amiri" w:cs="Amiri"/>
          <w:color w:val="111111"/>
          <w:sz w:val="28"/>
          <w:sz w:val="28"/>
          <w:szCs w:val="28"/>
          <w:rtl w:val="true"/>
          <w:lang w:bidi="ar-SA"/>
        </w:rPr>
        <w:t>أنّه يعتبر فيه عدم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أرادوا بذلك النظر إلى المجامعة فهو متين لما تقدّم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أرادوا به النظر إلى الفاعل، كما صرّح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 فلا دليل عليه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1" w:name="pg11809_94630"/>
    </w:p>
    <w:p>
      <w:pPr>
        <w:pStyle w:val="BookText"/>
        <w:rPr/>
      </w:pPr>
      <w:bookmarkEnd w:id="221"/>
      <w:r>
        <w:rPr>
          <w:rFonts w:ascii="Amiri" w:hAnsi="Amiri" w:eastAsia="Amiri" w:cs="Amiri"/>
          <w:color w:val="111111"/>
          <w:sz w:val="28"/>
          <w:sz w:val="28"/>
          <w:szCs w:val="28"/>
          <w:rtl w:val="true"/>
          <w:lang w:bidi="ar-SA"/>
        </w:rPr>
        <w:t>ولو عقد المُحرِم لمُحرمٍ فدخل، كان عليهما كفّارتان،</w:t>
      </w:r>
    </w:p>
    <w:p>
      <w:pPr>
        <w:pStyle w:val="Heading3"/>
        <w:numPr>
          <w:ilvl w:val="2"/>
          <w:numId w:val="1"/>
        </w:numPr>
        <w:rPr/>
      </w:pPr>
      <w:bookmarkStart w:id="222" w:name="__RefHeading___Toc10723937_73709187"/>
      <w:bookmarkStart w:id="223" w:name="_Toc75"/>
      <w:bookmarkEnd w:id="222"/>
      <w:r>
        <w:rPr>
          <w:rtl w:val="true"/>
        </w:rPr>
        <w:t>كفّارة عقد المُحرِم</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عقد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لمُحرمٍ فدخل، كان عليهما كفّارتان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على كلّ واحدٍ من العاقد والمُحرِم بدنة، بلا خلافٍ في العاقد المُحرِم</w:t>
      </w:r>
      <w:r>
        <w:rPr>
          <w:rStyle w:val="FootnoteAnchor"/>
          <w:rtl w:val="true"/>
        </w:rPr>
        <w:footnoteReference w:id="1245"/>
      </w:r>
      <w:r>
        <w:rPr>
          <w:rFonts w:ascii="IRNazanin" w:hAnsi="IRNazanin" w:eastAsia="IRNazanin"/>
          <w:color w:val="111111"/>
          <w:sz w:val="28"/>
          <w:sz w:val="28"/>
          <w:szCs w:val="28"/>
          <w:rtl w:val="true"/>
          <w:lang w:bidi="fa-IR"/>
        </w:rPr>
        <w:t>، وعلى المشهور</w:t>
      </w:r>
      <w:r>
        <w:rPr>
          <w:rStyle w:val="FootnoteAnchor"/>
          <w:rtl w:val="true"/>
        </w:rPr>
        <w:footnoteReference w:id="1246"/>
      </w:r>
      <w:r>
        <w:rPr>
          <w:rFonts w:ascii="Amiri" w:hAnsi="Amiri" w:eastAsia="Amiri" w:cs="Amiri"/>
          <w:color w:val="111111"/>
          <w:sz w:val="28"/>
          <w:sz w:val="28"/>
          <w:szCs w:val="28"/>
          <w:rtl w:val="true"/>
          <w:lang w:bidi="ar-SA"/>
        </w:rPr>
        <w:t>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ومدرك الحكم موثّق سماعة،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للرجل الحلال أن يزوّج مُحرِماً وهو يعلم أنّه لا يحلّ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فدخل بها المُحرِم‌؟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عالمين فإنّ على كلّ واحدٍ منهما بدنة، وعلى المرأة إنْ كانت مُحرِمة بدنة، وإنْ لم تكن مُحرِمة فلا شيء عليها، إلّاأنْ تكون قد علمت أنّ الذي تزوّجها مُحرِم، فإنْ كانت علمت ثمّ تزوّجته فعليها بدنة</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التوقّف في الخبر من ناحية أنّ سماعة فاسدُ المذهب،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 xml:space="preserve">، أو من جهة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الأصحّ خلافه للأصل، ولأنّه مباحٌ بالنسبة إليه، فتُحمل الرواية على الاستحباب</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حُقّق في محلّه من حجيّة الخبر الموثّق، سيّما مع عمل الأصحاب به، فضلاً عن قول جماعة بحسن مذهبه</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مباحاً بالأصل لا يمنع عن ثبوت الكفّارة، والأصل لا يقاوم الدليل، فلا ينبغي التوقّف في سند الخبر ودلالته على وجوب البدنة، وهو وإنْ اختصّ بالعاقد المُحِلّ‌، إلّاأنّه بالفحوى يدلّ عليه فيما لو كان العاقد مُحرِماً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الخبر مختصّ بصورة علم العاقد والزوج، فما عن الأكثر من التعميم لصورة جهلهما أيضاً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صريح ذيل الخبر ثبوت البدنة على المرأة إنْ علمت بإحرام الزوج وكانت مُحرِمة، فما عن دروس الشهيد رحمه الله</w:t>
      </w:r>
      <w:r>
        <w:rPr>
          <w:rStyle w:val="FootnoteAnchor"/>
          <w:rtl w:val="true"/>
        </w:rPr>
        <w:footnoteReference w:id="1251"/>
      </w:r>
      <w:r>
        <w:rPr>
          <w:rFonts w:ascii="Amiri" w:hAnsi="Amiri" w:eastAsia="Amiri" w:cs="Amiri"/>
          <w:color w:val="111111"/>
          <w:sz w:val="28"/>
          <w:sz w:val="28"/>
          <w:szCs w:val="28"/>
          <w:rtl w:val="true"/>
          <w:lang w:bidi="ar-SA"/>
        </w:rPr>
        <w:t>من الجزم بالعدم إذا كانت مُحِلّة ضعيفٌ‌، لأنّه بعد العمل به تكون في الحكم الأوّل، ولا وجه لطرحه في الحكم الثاني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العاقد والمرأة مُحرِمين دون الزوج، لا تجبُ الكفّارة، لاختصاص النص بصورة إحرام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ثبوت الكفّارة لا فرق بين الدخول في حال الإحرام أو الإحلال،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وجوب الحَجّ في القابل والإتمام، فقد تقدّم الكلام فيهما في مسألة الجماع في حال الإحرام</w:t>
      </w:r>
      <w:r>
        <w:rPr>
          <w:rStyle w:val="FootnoteAnchor"/>
          <w:rtl w:val="true"/>
        </w:rPr>
        <w:footnoteReference w:id="125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4" w:name="pg11809_94632"/>
    </w:p>
    <w:p>
      <w:pPr>
        <w:pStyle w:val="BookText"/>
        <w:rPr/>
      </w:pPr>
      <w:bookmarkEnd w:id="224"/>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تطيّب لزمه شاة، سواءٌ الصبغ والإطلاء والبخور والأكل</w:t>
      </w:r>
    </w:p>
    <w:p>
      <w:pPr>
        <w:pStyle w:val="Heading3"/>
        <w:numPr>
          <w:ilvl w:val="2"/>
          <w:numId w:val="1"/>
        </w:numPr>
        <w:rPr/>
      </w:pPr>
      <w:bookmarkStart w:id="225" w:name="__RefHeading___Toc10723939_73709187"/>
      <w:bookmarkStart w:id="226" w:name="_Toc76"/>
      <w:bookmarkEnd w:id="225"/>
      <w:r>
        <w:rPr>
          <w:rtl w:val="true"/>
        </w:rPr>
        <w:t>كفّارة التطيّب</w:t>
      </w:r>
      <w:bookmarkEnd w:id="22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تطيّب لزمه شاة، سواءٌ الصبغ والإطلاء والبخور والأكل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هنا</w:t>
      </w:r>
      <w:r>
        <w:rPr>
          <w:rStyle w:val="FootnoteAnchor"/>
          <w:rtl w:val="true"/>
        </w:rPr>
        <w:footnoteReference w:id="125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54"/>
      </w:r>
      <w:r>
        <w:rPr>
          <w:rFonts w:ascii="Amiri" w:hAnsi="Amiri" w:eastAsia="Amiri" w:cs="Amiri"/>
          <w:color w:val="111111"/>
          <w:sz w:val="28"/>
          <w:sz w:val="28"/>
          <w:szCs w:val="28"/>
          <w:rtl w:val="true"/>
          <w:lang w:bidi="ar-SA"/>
        </w:rPr>
        <w:t xml:space="preserve">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 وزيد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الإطلاء ابتداءً واستدامة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ومسّاً، علق به بالبدن، أو عبقت به الرائحة، واحتقاناً واكتحالاً وإسعاطاً لا لضرورة، ولبساً لثوبٍ مطيّب، وافتراشاً له بحيث يشمّ الريح، أو يباشر به بدنه وثياب بدنه، ولو داس بنعله طيباً فعلّق بنعله فإنّ تعمّد ذلك وجبت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يذكر له الكفّارة أصلاً كالديلمي</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ذكرها للتدهّن خاصّة، كابن سعيد</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ذكرها لأكل الطعام المطيّب خاصّة، كالمفيد</w:t>
      </w:r>
      <w:r>
        <w:rPr>
          <w:rStyle w:val="FootnoteAnchor"/>
          <w:rtl w:val="true"/>
        </w:rPr>
        <w:footnoteReference w:id="1259"/>
      </w:r>
      <w:r>
        <w:rPr>
          <w:rFonts w:ascii="Amiri" w:hAnsi="Amiri" w:eastAsia="Amiri" w:cs="Amiri"/>
          <w:color w:val="111111"/>
          <w:sz w:val="28"/>
          <w:sz w:val="28"/>
          <w:szCs w:val="28"/>
          <w:rtl w:val="true"/>
          <w:lang w:bidi="ar-SA"/>
        </w:rPr>
        <w:t>، وابن حمزة</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ذكرها للأكل وشَمّ الكافور والمِسْك والعنبر والزّعفران والورس، وصرّح بالنفي بما عدا ذلك كالحلبي</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على الأخير استعمال الدّهن الطيب، ونفي الكفّارة عمّا عدا ما ذكره بالإجماع، والأخبار، والأصل، كالخلاف</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الاختلافات الواقعة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الواردة في المقام أيضاً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زعفراناً متعمّداً أو طعاماً فيه طيب فعليه دم، فإنْ كان ناسياً فلا شيء عليه</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كانت به قرحة فداواها بدهن بنفسج‌؟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فعله بجهالةٍ فعليه طعام مسكين، وإنْ كان تعمّد فعليه دم شاة يُهريقه</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حريز، عمّن أخبره،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 المُحرِم شيئاً من الطيب، ولا الريحان، ولا يتلذّذ به، ولا بريحٍ طيّبة، فمن ابتُلي بشيءٍ من ذلك فليتصدّق بقدر ما صنع قدر سعته</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صحيحه عن الإمام الصادق عليه السلام</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ابتُلي بشيءٍ من ذلك فليعد غُسله، وليتصدّق بصدقة بقدر ما صنع</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زياد،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الأشنان فيه الطيب يَغسل به اليد والغاسل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الإحرام فانظروا مزاودكم، فاعزلوا الذي لا يحتاجون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بشيء كفّارة للأشنان الذي غسلت به يدك</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خبره الآخر</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نتف إبطه، أو قلّم ظفره، أو حلق رأسه، أو لبس ثوباً لا ينبغي له لبسه، أو أكل طعاماً لا ينبغي له أكله وهو مُحرِم، ففعل ذلك ناسياً أو جاهلاً فليس عليه شيء، ومن فعله متعمّداً فعليه دم شاة</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المفيد،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مسّ الطيب للمُحرِم أن يستغفر اللّه تعالى‌</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خرجت من حَجّك فعليك فيه دمٌ تُهريقه حيث شئت</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وبمضمونها بعض نصوصٌ اُخر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بأس بخَلُوق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 النصوص يقتضي البناء على وجوب الشاة في أكل الطعام المطيّب، والتدهين بالمطيّب متعمّداً، لصحيحي زرارة وخبري ابن عمّار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لأخصيّة الأولين عن سائر الأخبار المخالفة لهما، وكذا في استعمال ما يحرم استعماله من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المختار في المطيّب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 ضعفه بالشهرة، ولا تجب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استعمال غير الخمسة من الطيب، فلما مرّ في مبحث حرمة التطيّب</w:t>
      </w:r>
      <w:r>
        <w:rPr>
          <w:rStyle w:val="FootnoteAnchor"/>
          <w:rtl w:val="true"/>
        </w:rPr>
        <w:footnoteReference w:id="1273"/>
      </w:r>
      <w:r>
        <w:rPr>
          <w:rFonts w:ascii="Amiri" w:hAnsi="Amiri" w:eastAsia="Amiri" w:cs="Amiri"/>
          <w:color w:val="111111"/>
          <w:sz w:val="28"/>
          <w:sz w:val="28"/>
          <w:szCs w:val="28"/>
          <w:rtl w:val="true"/>
          <w:lang w:bidi="ar-SA"/>
        </w:rPr>
        <w:t>من انحصار الطيب في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صورتي الجهل والنسيان فلصحيحي زرارة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التصدّق بما ورد في الأخبار فيما عدا ما ذكر، للأخبار المتقدّمة المحمولة على الندب للإجماع، ولما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بخَلُوق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فيه مفصّلاً</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27" w:name="pg11809_94636"/>
    </w:p>
    <w:p>
      <w:pPr>
        <w:pStyle w:val="BookText"/>
        <w:rPr/>
      </w:pPr>
      <w:bookmarkEnd w:id="227"/>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تقليم كلّ ظفرٍ مُدٌّ من طعام، وفي يديه ورجليه شاةٌ مع إتّحاد المجلس، ولو تعدّد فشاتان</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0723941_73709187"/>
      <w:bookmarkStart w:id="229" w:name="_Toc77"/>
      <w:bookmarkEnd w:id="228"/>
      <w:r>
        <w:rPr>
          <w:rtl w:val="true"/>
        </w:rPr>
        <w:t>كفّارة قصّ الأظفار</w:t>
      </w:r>
      <w:bookmarkEnd w:id="22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تقليم كلّ ظفرٍ 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يبلغ العشرة أو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 ورجليه شاة مع اتّحاد المجلس، ولو تعدّد فشاتان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المشهور بين الأصحاب</w:t>
      </w:r>
      <w:r>
        <w:rPr>
          <w:rStyle w:val="FootnoteAnchor"/>
          <w:rtl w:val="true"/>
        </w:rPr>
        <w:footnoteReference w:id="127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2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ظفرٍ مُدّ أو قيمته مخيّراً بينهما، إلى أن يبلغ خمسة فصاعداً ففيها دم إنْ كان في مجلسٍ واحد، فإنْ فرّق بين يديه ورجليه، فليديه دمٌ ولرجليه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الحلبي</w:t>
      </w:r>
      <w:r>
        <w:rPr>
          <w:rStyle w:val="FootnoteAnchor"/>
          <w:rtl w:val="true"/>
        </w:rPr>
        <w:footnoteReference w:id="12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لقصّ كلّ ظفرٍ كفٌّ من طعام، وفي أظفار إحدى يديه صاع، وفي أظفار كلتيهما دم، وكذلك حكم أظفار رجليه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العُمّاني</w:t>
      </w:r>
      <w:r>
        <w:rPr>
          <w:rStyle w:val="FootnoteAnchor"/>
          <w:rtl w:val="true"/>
        </w:rPr>
        <w:footnoteReference w:id="12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انكسر ظفره وهو مُحرِم فلا يقصّه، فإنْ فعل فعليه أن </w:t>
      </w:r>
    </w:p>
    <w:p>
      <w:pPr>
        <w:pStyle w:val="BookText"/>
        <w:rPr/>
      </w:pPr>
      <w:r>
        <w:rPr>
          <w:rFonts w:ascii="Amiri" w:hAnsi="Amiri" w:eastAsia="Amiri" w:cs="Amiri"/>
          <w:color w:val="111111"/>
          <w:sz w:val="28"/>
          <w:sz w:val="28"/>
          <w:szCs w:val="28"/>
          <w:rtl w:val="true"/>
          <w:lang w:bidi="ar-SA"/>
        </w:rPr>
        <w:t>يُطعم مسكيناً في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قصّ ظفراً من أظافيره وهو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كلّ ظفر مُدّ من طعام حتّى يبلغ عشرة، فإن قلّم أصابع يديه كلّها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قلّم أظافير يديه ورجليه جميعاً؟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فعل ذلك في مجلسٍ واحد فعليه دم، وإنْ كان فعله متفرّقاً في مجلسين فعليه دمان</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الصدوق بإسناده عن الحسن بن محبوب، عن عليّ بن رئاب، عن أبي بصير</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رواه الشيخ بإسناده عن الحسين بن سعيد، عن الحسن بن محبوب، عن علي بن رئاب، عن أبي بصير نحوه،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في كلّ ظفرٍ قيمة مُدّ من طعام</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والمشهور أخذوا بالأوّل، لكن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دلالة له على لزوم الشاة في أظفار الرِّجلين خاصّة</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في ذيل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فَعَله متفرِّقاً فعليه 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بذلك، إذ لو فرضنا أنّه قلّم أظافر رجليه أوّلاً ثمّ أظافر يديه بعد ساعة، ثبت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بحكم الصحيح دم شاة لقص أظافر الرِّجلين، ولا يحتمل دخل قصّ أظافر اليدين بعد ساعة في ذلك،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مُحرِمٍ قلّم أظافيره‌؟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مُدّ في كلّ إصبع، فإنْ هو قلّم أظافيره عشرتها فإنّ عليه دم شاة</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في تقليم الأظفار متعمّداً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أظافيره ناسياً أو ساهياً أو جاهلاً فلا شيء عليه، ومن فعله متعمّداً فعليه دم</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نتف إبطه، أو قلّم ظفره، أو حلق رأسه، ناسياً أو جاهلاً فليس عليه شيء، ومن فعله متعمّداً فعليه دم شاة</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يقيّد إطلاق هذه الطائفة بما تقدّم من النصوص، كما أنّ إطلاق تلك الطائفة من حيث العموم للعالم العامد وغيره يقيّد بهذه النصوص، فيثبت ما اختاره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في تقليم خمسة من الأظافير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ينسى فيقلّم ظفراً من أظافيره‌؟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بكفٍّ من الطعام،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فاثنين‌؟ قال عليه السلام كفّين، قلت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فثلاثة‌؟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أكف، كلّ ظفرٍ كفّ حتّى يصير خمسة، فإذا قلّم خمسة فعليه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دمٌ واحد، خمسة كان أو عشرة أو ما كان</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مرسله عمّن أخبره عن أبي جعفر عليه السلام</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الإسكافي</w:t>
      </w:r>
      <w:r>
        <w:rPr>
          <w:rStyle w:val="FootnoteAnchor"/>
          <w:rtl w:val="true"/>
        </w:rPr>
        <w:footnoteReference w:id="1289"/>
      </w:r>
      <w:r>
        <w:rPr>
          <w:rFonts w:ascii="Amiri" w:hAnsi="Amiri" w:eastAsia="Amiri" w:cs="Amiri"/>
          <w:color w:val="111111"/>
          <w:sz w:val="28"/>
          <w:sz w:val="28"/>
          <w:szCs w:val="28"/>
          <w:rtl w:val="true"/>
          <w:lang w:bidi="ar-SA"/>
        </w:rPr>
        <w:t>بهذين الخبرين على ما اختاره، من أنّ في الخمسة دماً، كما أنّه استدلّ لما اختاره من أنّ في كلّ ظفرٍ مُدّاً أو قيمته، بأنّه مقتضى الجمع بين نقلي خبر أبي بصير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الاستدلال بهذين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منهما في الناسي الذي لا يجبُ عليه الكفّارة إجماعاً ونصّاً</w:t>
      </w:r>
      <w:r>
        <w:rPr>
          <w:rStyle w:val="FootnoteAnchor"/>
          <w:rtl w:val="true"/>
        </w:rPr>
        <w:footnoteReference w:id="1290"/>
      </w:r>
      <w:r>
        <w:rPr>
          <w:rFonts w:ascii="Amiri" w:hAnsi="Amiri" w:eastAsia="Amiri" w:cs="Amiri"/>
          <w:color w:val="111111"/>
          <w:sz w:val="28"/>
          <w:sz w:val="28"/>
          <w:szCs w:val="28"/>
          <w:rtl w:val="true"/>
          <w:lang w:bidi="ar-SA"/>
        </w:rPr>
        <w:t xml:space="preserve">، مع أنّه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مرسلٌ لا جابر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تضمّنا التقدير بالكفّ من الطعام، ولم يفتِ به الأصحاب، وعليه فإمّا أن يُحملان على التقيّة، لأنّهما موافقان لمذهب أبي حنيفة</w:t>
      </w:r>
      <w:r>
        <w:rPr>
          <w:rStyle w:val="FootnoteAnchor"/>
          <w:rtl w:val="true"/>
        </w:rPr>
        <w:footnoteReference w:id="1291"/>
      </w:r>
      <w:r>
        <w:rPr>
          <w:rFonts w:ascii="IRNazanin" w:hAnsi="IRNazanin" w:eastAsia="IRNazanin"/>
          <w:color w:val="111111"/>
          <w:sz w:val="28"/>
          <w:sz w:val="28"/>
          <w:szCs w:val="28"/>
          <w:rtl w:val="true"/>
          <w:lang w:bidi="fa-IR"/>
        </w:rPr>
        <w:t>، أو على الاستحباب</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الاستدلال الثاني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النقلين ليسا روايتين كي يُجمع بينهما بما ذكر، بل هما رواية واحدة نقلت بنحوين، فمقتضى القاعدة هو الاحتياط، ولكن قد عرفت أنّ الشهرة بل الإجماع يعضد النقل الأوّل، وهو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استدلّ للجزء الأوّل ممّا حكم به الحلبي بصحيح حريز ومرسله، ولجزئة الثاني بأنّه أراد بالصّاع صاع النبي صلى الله عليه و آله، وهو خمسة أمداد، فيوافق المشهور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وجوب قبضةٍ من طعام مكان قصّ كلّ 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30" w:name="pg11809_94640"/>
    </w:p>
    <w:p>
      <w:pPr>
        <w:pStyle w:val="BookText"/>
        <w:rPr/>
      </w:pPr>
      <w:bookmarkEnd w:id="230"/>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تطول أظفارة أو ينكسر بعضها فيؤذيه‌؟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 منها شيئاً إن استطاع، فإنْ كانت تؤذية فليقصها وليطعم مكان كلّ ظفرٍ قبضة من طعام</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مختصّ بحال الإضطرار، ولا بأس بالعمل به في مورده</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0723943_73709187"/>
      <w:bookmarkStart w:id="232" w:name="_Toc78"/>
      <w:bookmarkEnd w:id="231"/>
      <w:r>
        <w:rPr>
          <w:rtl w:val="true"/>
        </w:rPr>
        <w:t>تنبيهات</w:t>
      </w:r>
      <w:bookmarkEnd w:id="23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الكفّارة إنّما تثبت مع العلم والعمد، وأمّا مع النسيان والجهل فلا كفّارة إجماعاً</w:t>
      </w:r>
      <w:r>
        <w:rPr>
          <w:rStyle w:val="FootnoteAnchor"/>
          <w:rtl w:val="true"/>
        </w:rPr>
        <w:footnoteReference w:id="1294"/>
      </w:r>
      <w:r>
        <w:rPr>
          <w:rFonts w:ascii="Amiri" w:hAnsi="Amiri" w:eastAsia="Amiri" w:cs="Amiri"/>
          <w:color w:val="111111"/>
          <w:sz w:val="28"/>
          <w:sz w:val="28"/>
          <w:szCs w:val="28"/>
          <w:rtl w:val="true"/>
          <w:lang w:bidi="ar-SA"/>
        </w:rPr>
        <w:t>، ويشهد له صحيح زرارة المتقدّم، وكذا لا كفّارة مع الإكراه، لعموم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إنّما يرفع الحكم الذي في رفعه منّة على الاُمّة، ولا امتنان عليهم في رفع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يرفع الحديث الحرمة التكليفية قطعاً، ولا تلازم بين رفعها ورفع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كفّارة على الفعل المباح، كما عن غير واحدٍ، بل قد مرّ في بعض المباحث السابقة أنّ التلازم بينهما في هذه المسائل إجماعي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النصوص أنّ بعض الظفر كالكلّ‌، لصدق الظفر، </w:t>
      </w:r>
    </w:p>
    <w:p>
      <w:pPr>
        <w:pStyle w:val="BookText"/>
        <w:rPr/>
      </w:pPr>
      <w:r>
        <w:rPr>
          <w:rFonts w:ascii="Amiri" w:hAnsi="Amiri" w:eastAsia="Amiri" w:cs="Amiri"/>
          <w:color w:val="111111"/>
          <w:sz w:val="28"/>
          <w:sz w:val="28"/>
          <w:szCs w:val="28"/>
          <w:rtl w:val="true"/>
          <w:lang w:bidi="ar-SA"/>
        </w:rPr>
        <w:t>بل المتعارف هو قصّ البعض، ولو سُلّم انصراف النص إلى قصّ ما يتعارف قصّه كي لا يشمل قصّ أقلّ منه، فهو بدوي يزول مع التوجّه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 في دفعاتٍ ظفر إصبع واحدة، لا تتعدّد الفدية، وإنْ كان مع اختلاف المجلس، لأنّ النصوص تدلّ على ثبوت فديةٍ واحدة في قصّ ظفر كلّ إصبع، ولم يدلّ دليلٌ على اشتراط وحدة القص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قلّم أظفار إحدى يديه وإحدى رجليه، فهل تجبُ الشاة لأنّه قلّم عشرة أظافيره‌؟ أم تجب عشرة أمداد، لأنّه لم يقلّم أظافير يديه ولا أظافير رجليه‌؟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أظهرهما الثاني، فإنّ الموضوع لوجوب الشاة في الصحيح أظافير يديه وأظافير يديه ورجليه، وهي لا تشمل الفرض قطعاً، والموضوع في خبر الحلبي أظافيره عشرتها لا عشرة أظافير، والتعبير الأوّل ظاهرٌ في العشرة من عضو واحد، ولو سُلّم شمول الخبر له يقع التعارض بينه وبين الصحيح، والترجيح مع الصحيح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إصبع زائدة في اليد أو الرّجل، فهل ثبوت الشاة يتوقّف على قصّ ظفرها أيضاً،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ذلك، فإنّ صحيح أبي بصير أُخذ فيه أظافير اليدين والرِّجلين، وانصرافه إلى المتعارف قد عرفت ما فيه، إلّاأنّ خبر الحلبي يدلّ على عدم توقّفه عليه، ولكنّه ضعيف مع أنّ النسبة بينه وبين الصحيح عموم من وجه، فيقدّم الصحيح</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أظافيره عشرتها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جميع الأصابع، والتعبير بعشرتها للغلبة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المفتي إذا قلّم المُستفتي فأدمى إصبعه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أيضاً أنّ من له يدٌ ناقصة إصبعاً، فإنّه يثبت الدّم لو قصّ ما له من الأظافير وإنْ كانت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الدّم بين ما لو تخلّل التكفير عن السابق قبل البلوغ إلى حَدّ يوجب الشاة وعدمه،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إنّه لو خلل التكفير تعدّد المُدّ خاصّة بحسب تعدّد الأصابع</w:t>
      </w:r>
      <w:r>
        <w:rPr>
          <w:rStyle w:val="FootnoteAnchor"/>
          <w:rtl w:val="true"/>
        </w:rPr>
        <w:footnoteReference w:id="1296"/>
      </w:r>
      <w:r>
        <w:rPr>
          <w:rFonts w:ascii="Amiri" w:hAnsi="Amiri" w:eastAsia="Amiri" w:cs="Amiri"/>
          <w:color w:val="111111"/>
          <w:sz w:val="28"/>
          <w:sz w:val="28"/>
          <w:szCs w:val="28"/>
          <w:rtl w:val="true"/>
          <w:lang w:bidi="ar-SA"/>
        </w:rPr>
        <w:t>، لأنّه المتبادر من النص والفتوى،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أفتى أحد بتقليم ظُفر المُحرِم،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المفتي إذا قلّم المستفتي فأدمى إصبعه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أحرم فقلّم أظفاره، وكانت له إصبع عليلة، فترك ظفرها لم يقصّه، فأتاه رجل بعدما أحرم فقصّه فأدماه‌؟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أفتى شاة</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كان ضعيفاً بزكريّا المؤمن، لكنّه ينجبر ضعفه بالعمل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موثّقه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نسى أن يُقلّم أظفاره عند إحرامه‌؟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من أصحابنا أفتاه بأن يقلّم أظفاره ويعيد إحرامه ففعل‌؟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فيحتمل عود الضمير إلى المستفتي،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يدلّ على المقام، وعلى فرض عوده إلى المفتي يقيّد إطلاقه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 عدم اعتبار إحرام المفتي، كما أنّ مقتضي التقييد في الخبر والأصل اعتبار الإدماء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أهليّة المفتي للإفتاء، أو كونه كذلك بزعم المستفتي، أم لا؟</w:t>
      </w:r>
    </w:p>
    <w:p>
      <w:pPr>
        <w:pStyle w:val="BookText"/>
        <w:rPr/>
      </w:pPr>
      <w:r>
        <w:rPr>
          <w:rFonts w:ascii="Amiri" w:hAnsi="Amiri" w:eastAsia="Amiri" w:cs="Amiri"/>
          <w:color w:val="111111"/>
          <w:sz w:val="28"/>
          <w:sz w:val="28"/>
          <w:szCs w:val="28"/>
          <w:rtl w:val="true"/>
          <w:lang w:bidi="ar-SA"/>
        </w:rPr>
        <w:t>نُسبِ إلى جماعة</w:t>
      </w:r>
      <w:r>
        <w:rPr>
          <w:rStyle w:val="FootnoteAnchor"/>
          <w:rtl w:val="true"/>
        </w:rPr>
        <w:footnoteReference w:id="1300"/>
      </w:r>
      <w:r>
        <w:rPr>
          <w:rFonts w:ascii="Amiri" w:hAnsi="Amiri" w:eastAsia="Amiri" w:cs="Amiri"/>
          <w:color w:val="111111"/>
          <w:sz w:val="28"/>
          <w:sz w:val="28"/>
          <w:szCs w:val="28"/>
          <w:rtl w:val="true"/>
          <w:lang w:bidi="ar-SA"/>
        </w:rPr>
        <w:t>اعتبار الاجتهاد فيه، بدعوى أنّه المتبادر من النص،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اعتبار كونه أهلاً للإفتاء بزعم المستفتي، إذ الظاهر من النص أنّه إنّما قصّ ظفره مستنداً إلى فتوى المفتي، وكان قد تركه قبلها، ومعلومٌ أنّه إنّما يستند إليها إذا كان بزعمه أهلاً لذلك، فما عن ثاني 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من استظهار صلاحيته للإفتاء بزعم المستفتي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يثبت الحكم لو نقل شخصٌ فتوى المفتي فقصّه فأدماه، أم لا؟</w:t>
      </w:r>
    </w:p>
    <w:p>
      <w:pPr>
        <w:pStyle w:val="BookText"/>
        <w:rPr/>
      </w:pPr>
      <w:r>
        <w:rPr>
          <w:rFonts w:ascii="Amiri" w:hAnsi="Amiri" w:eastAsia="Amiri" w:cs="Amiri"/>
          <w:color w:val="111111"/>
          <w:sz w:val="28"/>
          <w:sz w:val="28"/>
          <w:szCs w:val="28"/>
          <w:rtl w:val="true"/>
          <w:lang w:bidi="ar-SA"/>
        </w:rPr>
        <w:t>الظاهر هو الثاني، لإختصاص النص بالمفتي، والتعدّي يحتاج إلى دليلٍ مفقود، كما أنّه لا يتعدّى إلى الإفتاء بسائر المحظورات، كما لو أفتاه بحلق الرأس فحلق فأدماه، لاختصاص النصّ بالفتوى بالقص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تعدّد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المُفتي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على وجه التعاقب، كان الدّم على الأوّل خاصّة، فإنّه السبب في الإدماء، وهو الظاهر من النص</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الإفتاء دفعةً‌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على كلّ واحدٍ منهم دمٌ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 xml:space="preserve">أم على الجميع دمٌ واحدٌ يوزّع عليهم كما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وجهان، أقواهما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الموضوع في النَّص هو إفتاء رجل، وهذا العنوان لا يصدق على مجموع المفتين حتّى يُقال إنّ التقليم مستندٌ إلى فتوى الجميع، فيجبُ شاة واحدة عليهم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يصدق على كلّ واحدٍ منهم إذا كان صالحاً للفُتيا بزعمه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الموضوع هو فتوى من يكون صالحاً لذلك بزعمه، وإنْ لم يستند القصّ إليها، لزم منه وجوب الشاة على المفتي الثاني في صورة التعاقب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الفتوى مع استناد الفعل إليها، ففي فرض الإفتاء دفعةً لا يكون الفعل مستنداً إلى فتوى كلّ واحدٍ منهم، فيلزم عدم وجوب الشاة أصلاً؟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مركّب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الصلاحيّة، والإستناد، ففي فرض الدفعة وإنْ كان لا يستند الفعل إلى كلّ من الفُتيا مستقلّاً، ولكنّه يستند إليهما، ولا يعتبر الاستناد استقلالاً، بخلاف صورة التعاقب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التفصيل بين صورة التعاقب وفرض الدّفعة،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تعمّد القالم الإدماء، فالأظهر عدم شيء على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قبول قول القالم في الإدماء</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 وفيه نظر واضح</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33" w:name="pg11809_94645"/>
    </w:p>
    <w:p>
      <w:pPr>
        <w:pStyle w:val="BookText"/>
        <w:rPr/>
      </w:pPr>
      <w:bookmarkEnd w:id="233"/>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لبس المَخيط شاة</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0723945_73709187"/>
      <w:bookmarkStart w:id="235" w:name="_Toc79"/>
      <w:bookmarkEnd w:id="234"/>
      <w:r>
        <w:rPr>
          <w:rtl w:val="true"/>
        </w:rPr>
        <w:t>كفّارة لبس المخيط</w:t>
      </w:r>
      <w:bookmarkEnd w:id="23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لَبس المخيط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1304"/>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العلماء</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نتف إبطه، أو قلّم ظفره، أو حلق رأسه، أو لبس ثوباً لا ينبغي له لبسه، أو أكل طعاماً لا ينبغي له أكله، وهو مُحرم، ففعل ذلك ناسياً أو جاهلاً فليس عليه شيء، ومن فعله متعمّداً فعليه دم شاة</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سليمان بن العيص،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يلبس القميص متعمّداً؟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لضرورة</w:t>
      </w:r>
    </w:p>
    <w:p>
      <w:pPr>
        <w:pStyle w:val="BookText"/>
        <w:rPr/>
      </w:pPr>
      <w:r>
        <w:rPr>
          <w:rFonts w:ascii="Amiri" w:hAnsi="Amiri" w:eastAsia="Amiri" w:cs="Amiri"/>
          <w:color w:val="111111"/>
          <w:sz w:val="28"/>
          <w:sz w:val="28"/>
          <w:szCs w:val="28"/>
          <w:rtl w:val="true"/>
          <w:lang w:bidi="ar-SA"/>
        </w:rPr>
        <w:t xml:space="preserve">وعليه، فلا إشكال في الحكم، بل لا كلامٍ في أنّه تجبُ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صحيح زرارة، وخبر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مولانا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احتاج إلى ضروبٍ من الثياب يلبسها،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لكلّ صنفٍ منها فداء</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الضرورة يكون اللّباس ممّا ينبغي لبسه لا ممّا 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الضرورة إلى لبس ثيابٍ متعدّدة، ولا يشمل الاضطرار إلى لبس ثوبٍ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فإنّ صحيح زرارة تضمّن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ففعل ذلك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يُعلم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له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له لبسه في حال العمد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ثبوت الكفّارة هو الثوب الذي يكون موضوعاً للحرمة، ولو في بعض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الثياب المختلفة، إلّاأنّ من الضروري عدم الفرق بينها وبين ثوبٍ واحد، بل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صنفٍ منها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للكفّارة هو كلّ ثوبٍ وحده من حيث هو</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 فَفِدْيَةٌ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صِيامٍ أَوْ صَدَقَةٍ أَوْ نُسُكٍ‌</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استدلّ بها في المقام، بدعوى أنّ المراد منها من كان منكم فلبس أو تطيّب أو حَلق، فهي أجنبيّة عن المقام، بل مختصّة بحلق الرأس خاصّة،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تفريعها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تَحْلِقُوا رُؤُسَكُمْ‌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بِهِ أَذىً مِنْ رَأْسِهِ‌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يلزم من شمولها اللّبس، كون فديته مخيّرة،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اللّبس كابتدائه، فلو لبس المُحرِم قميصاً ناسياً ثمّ ذكر، وجب عليه خلعه كما تقدّم، ولو لم ينزعه وجب الفداء، كما صرّح به بعضٌ‌</w:t>
      </w:r>
      <w:r>
        <w:rPr>
          <w:rStyle w:val="FootnoteAnchor"/>
          <w:rtl w:val="true"/>
        </w:rPr>
        <w:footnoteReference w:id="1313"/>
      </w:r>
      <w:r>
        <w:rPr>
          <w:rFonts w:ascii="Amiri" w:hAnsi="Amiri" w:eastAsia="Amiri" w:cs="Amiri"/>
          <w:color w:val="111111"/>
          <w:sz w:val="28"/>
          <w:sz w:val="28"/>
          <w:szCs w:val="28"/>
          <w:rtl w:val="true"/>
          <w:lang w:bidi="ar-SA"/>
        </w:rPr>
        <w:t>، لأنّ الموضوع هو اللّبس دون المعنى الحَدَثي، وهو يصدق على الاستدامة كصدقة على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تروك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بجواز لبس السراويل إذا لم يجد إزاراً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اتّفق العلماء على أنّه لا فدية عليه في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31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3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1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استدلّ له بخلوّ النصوص والفتاوي عن ذكرها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في النص موضوعاً لذلك هو الثياب وهي تشملها، وعليه فإنْ كان هناك إجماعٌ فهو المعتمد، وإلّا فمقتضى الإطلاق ثبوتها للبسها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لبس الخُفّين عند الضرورة، كما مرّ في الباب السابق، إنّما البحث عن أنّه هل في لبسهما فدية أم لا؟</w:t>
      </w:r>
    </w:p>
    <w:p>
      <w:pPr>
        <w:pStyle w:val="BookText"/>
        <w:rPr/>
      </w:pPr>
      <w:r>
        <w:rPr>
          <w:rFonts w:ascii="Amiri" w:hAnsi="Amiri" w:eastAsia="Amiri" w:cs="Amiri"/>
          <w:color w:val="111111"/>
          <w:sz w:val="28"/>
          <w:sz w:val="28"/>
          <w:szCs w:val="28"/>
          <w:rtl w:val="true"/>
          <w:lang w:bidi="ar-SA"/>
        </w:rPr>
        <w:t>قد يقال بالثبوت، لأنّه الأصل في تروك الإحرام، وعموم خبر الفداءفي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المزبور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النص هو الثوب، وهو لا يشمل الخفّين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ثبوتها في لبسهما، بل لا دليل على ثبوت الفدية في لبسهما اختياراً وإنْ حرم</w:t>
      </w:r>
      <w:r>
        <w:rPr>
          <w:rFonts w:eastAsia="Amiri" w:cs="Amiri" w:ascii="Amiri" w:hAnsi="Amiri"/>
          <w:color w:val="111111"/>
          <w:sz w:val="28"/>
          <w:szCs w:val="28"/>
          <w:rtl w:val="true"/>
          <w:lang w:bidi="ar-SA"/>
        </w:rPr>
        <w:t>.</w:t>
      </w:r>
      <w:bookmarkStart w:id="236" w:name="pg11809_94649"/>
    </w:p>
    <w:p>
      <w:pPr>
        <w:pStyle w:val="BookText"/>
        <w:rPr/>
      </w:pPr>
      <w:bookmarkEnd w:id="236"/>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حَلق الشعر شاة، أو إطعام عشرة مساكين، لكلّ مسكينٍ مُدّ، أو صيام ثلاثة أيّام وإنْ كان مضطرّاً</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0723947_73709187"/>
      <w:bookmarkStart w:id="238" w:name="_Toc80"/>
      <w:bookmarkEnd w:id="237"/>
      <w:r>
        <w:rPr>
          <w:rtl w:val="true"/>
        </w:rPr>
        <w:t>كفّارة إزالة الشعر</w:t>
      </w:r>
      <w:bookmarkEnd w:id="23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حَلْق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إجماعاً</w:t>
      </w:r>
      <w:r>
        <w:rPr>
          <w:rStyle w:val="FootnoteAnchor"/>
          <w:rtl w:val="true"/>
        </w:rPr>
        <w:footnoteReference w:id="1319"/>
      </w:r>
      <w:r>
        <w:rPr>
          <w:rFonts w:ascii="Amiri" w:hAnsi="Amiri" w:eastAsia="Amiri" w:cs="Amiri"/>
          <w:color w:val="111111"/>
          <w:sz w:val="28"/>
          <w:sz w:val="28"/>
          <w:szCs w:val="28"/>
          <w:rtl w:val="true"/>
          <w:lang w:bidi="ar-SA"/>
        </w:rPr>
        <w:t>ونصّاً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يقع في 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Style w:val="FootnoteAnchor"/>
          <w:rtl w:val="true"/>
        </w:rPr>
        <w:footnoteReference w:id="1320"/>
      </w:r>
      <w:r>
        <w:rPr>
          <w:rFonts w:ascii="Amiri" w:hAnsi="Amiri" w:eastAsia="Amiri" w:cs="Amiri"/>
          <w:color w:val="111111"/>
          <w:sz w:val="28"/>
          <w:sz w:val="28"/>
          <w:szCs w:val="28"/>
          <w:rtl w:val="true"/>
          <w:lang w:bidi="ar-SA"/>
        </w:rPr>
        <w:t xml:space="preserve">بين الأصحاب أنّ الكفّارة مخيّرة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 أو إطعام عشرة مساكين، لكلّ مسكينٍ مُدّ، أو صيام ثلاثة أيّام وإنْ كان مضطرّاً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بينهم خلافٌ في الثاني،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الديلمي</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الاقتصار على الدّم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سعيد الحِلّي</w:t>
      </w:r>
      <w:r>
        <w:rPr>
          <w:rStyle w:val="FootnoteAnchor"/>
          <w:rtl w:val="true"/>
        </w:rPr>
        <w:footnoteReference w:id="1322"/>
      </w:r>
      <w:r>
        <w:rPr>
          <w:rFonts w:ascii="Amiri" w:hAnsi="Amiri" w:eastAsia="Amiri" w:cs="Amiri"/>
          <w:color w:val="111111"/>
          <w:sz w:val="28"/>
          <w:sz w:val="28"/>
          <w:szCs w:val="28"/>
          <w:rtl w:val="true"/>
          <w:lang w:bidi="ar-SA"/>
        </w:rPr>
        <w:t>وجمعٍ من متأخّري المتأخّرين</w:t>
      </w:r>
      <w:r>
        <w:rPr>
          <w:rStyle w:val="FootnoteAnchor"/>
          <w:rtl w:val="true"/>
        </w:rPr>
        <w:footnoteReference w:id="1323"/>
      </w:r>
      <w:r>
        <w:rPr>
          <w:rFonts w:ascii="Amiri" w:hAnsi="Amiri" w:eastAsia="Amiri" w:cs="Amiri"/>
          <w:color w:val="111111"/>
          <w:sz w:val="28"/>
          <w:sz w:val="28"/>
          <w:szCs w:val="28"/>
          <w:rtl w:val="true"/>
          <w:lang w:bidi="ar-SA"/>
        </w:rPr>
        <w:t>، التفصيل بين الحَلق لا لضرورة فالدم خاصّة، وبين الحَلق لضرورة فالتخيّير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الاختلاف اختلاف النصوص والآية الكريمة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فتدلّ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فطائفة منها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رسول اللّه صلى الله عليه و آله على كعب بن عجرة الأنصاري والقُمّل يتناثر من رأسه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أتؤذيك هوامّك‌؟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فاُنزلت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رسول اللّه صلى الله عليه و آله بحلق رأسه، وجعل عليه الصيام ثلاثة أيّام، والصدقة على ستّة مساكين لكلّ مسكينٍ مُدّان، والنسك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بالخيار يختار ما شاء، وكلّ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كذا، فالأوّل بالخيار</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مرسله</w:t>
      </w:r>
      <w:r>
        <w:rPr>
          <w:rStyle w:val="FootnoteAnchor"/>
          <w:rtl w:val="true"/>
        </w:rPr>
        <w:footnoteReference w:id="1326"/>
      </w:r>
      <w:r>
        <w:rPr>
          <w:rFonts w:ascii="Amiri" w:hAnsi="Amiri" w:eastAsia="Amiri" w:cs="Amiri"/>
          <w:color w:val="111111"/>
          <w:sz w:val="28"/>
          <w:sz w:val="28"/>
          <w:szCs w:val="28"/>
          <w:rtl w:val="true"/>
          <w:lang w:bidi="ar-SA"/>
        </w:rPr>
        <w:t xml:space="preserve">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مسكينٍ صاع من 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من تمر</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 بن يزيد، عن أبي عبد اللّه عليه السلام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عَرَض له أذى أو وجع، فتعاطى ما لا ينبغي للمُحرِم إذا كان صحيحاً، فصيام ثلاثة أيّام، والصدقة على عشرة مساكين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يُشبعهم من الطعام، والنسك شاة يذبحهافيأكل ويطعم، وإنّما عليه واحد من ذلك</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خبر زرارة في المحصور الذي بعث بهديه، فأذاه رأسه قبل أن ينحر هديه</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وطائفة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النصوص ظاهرة في تعيّن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سيّدنا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نتف إبطه، أو قلّم ظفره، أو حلق رأسه، أو لبس ثوباً لا ينبغي له لبسه، أو أكل طعاماً لا ينبغي له أكله، وهو مُحرِم، ففعل ذلك ناسياً أو جاهلاً فليس عليه شيء، ومن فعله متعمّداً فعليه دم شاة</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صحيحة الآخر</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والنصوص الأوّل، بضميمة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من دعوى الإجماع على عدم الفرق في التخيّير بين أنْ يكون الحلق لعذر أو لغير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والنصوص الأول موردها ذو العذر، والطائفة الثانية عامّة له ولغيره، فالجمع بين الطائفتين يقتضي البناء على التفصيل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لزوم حمل قوله في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دمُ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إرادة أحد الأفراد، أمّا بالنسبة إلى حلق الرأس مطلقاً، أو بالنسبة إلى حلق الرأس في حال الضرورة، وعلى الأوّل يثبت القول الأوّل، وعلى الثاني القول الثالث، وحيثُ لا مرجّح، فالمرجّح هو النصوص الأول بضميمة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الضرورات تتقدّر بقدرها، فبمقدار ما لابدّ منه يرفع اليد عن الظهور، فبالنسبة إلى الزائد لا وجه لرفع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بحسب الأخبار هو القول الثالث، ولكن من جهة الإجماع المنقول عن المصنّف رحمه الله وغيره يُبني على الأوّل،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وأكثر النصوص مختصّة بالرأس وبالحلق، ولكن ادّعى الإجماع غير واحدٍ</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المصنّف</w:t>
      </w:r>
      <w:r>
        <w:rPr>
          <w:rStyle w:val="FootnoteAnchor"/>
          <w:rtl w:val="true"/>
        </w:rPr>
        <w:footnoteReference w:id="1334"/>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الاختصاص بالرأس، كما أنّه صرّح غير واحدٍ</w:t>
      </w:r>
      <w:r>
        <w:rPr>
          <w:rStyle w:val="FootnoteAnchor"/>
          <w:rtl w:val="true"/>
        </w:rPr>
        <w:footnoteReference w:id="1335"/>
      </w:r>
      <w:r>
        <w:rPr>
          <w:rFonts w:ascii="Amiri" w:hAnsi="Amiri" w:eastAsia="Amiri" w:cs="Amiri"/>
          <w:color w:val="111111"/>
          <w:sz w:val="28"/>
          <w:sz w:val="28"/>
          <w:szCs w:val="28"/>
          <w:rtl w:val="true"/>
          <w:lang w:bidi="ar-SA"/>
        </w:rPr>
        <w:t>بأنّ المراد من الحلق مطلق الإزالة، وقد عنون المسألة بها بعضهم</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يستدلّ للتعميم من الجهتين بخبر عمر بن يزيد المتقدّم، فإنّه وإنْ ورد في تفسير الآية، وهي مختصّة بحلق الرأس، لكن ما ذكره عليه السلام مطلقٌ من الجهتين، ويؤيّده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خَرَجت من حجّك فعليك فيه دمٌ تُهريقه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والاعتبار وهو عدم التنظيف والرفاهية الحاصلة بمطلق الإزالة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الصدقة المذكورة خلافاً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الأشهر، إنّما على ستّة مساكين، لكلّ مسكينٍ مُدّان</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ستّة مساكين من غير ذكر المُدّ أو المُدّين، وقد نُفي عنه الخلاف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3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3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ستّة مساكين، لكلّ مسكينٍ 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ابن حمزة</w:t>
      </w:r>
      <w:r>
        <w:rPr>
          <w:rStyle w:val="FootnoteAnchor"/>
          <w:rtl w:val="true"/>
        </w:rPr>
        <w:footnoteReference w:id="13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343"/>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والكتاب</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على عشرة مساكين، لكلّ مسكينٍ مُدّ،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46"/>
      </w:r>
      <w:r>
        <w:rPr>
          <w:rFonts w:ascii="IRNazanin" w:hAnsi="IRNazanin" w:eastAsia="IRNazanin"/>
          <w:color w:val="111111"/>
          <w:sz w:val="28"/>
          <w:sz w:val="28"/>
          <w:szCs w:val="28"/>
          <w:rtl w:val="true"/>
          <w:lang w:bidi="fa-IR"/>
        </w:rPr>
        <w:t>نسبته إلى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3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13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3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التخيّير بين الستّة والمُدّين، أو العشرة، والإشباع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عشرة أمداد لعشرة، وإثنى عشرة لستّة، ونُفى عنه البُعد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خبري حَريز دالّان عليه، ومعارضهما هو خبر ابن يزيد 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 ضعيفُ السند، والمتن لتجويز الأكل فيه من الفداء، والثاني مرسلٌ ومتنه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ابن يزيد قويٌّ سنداً، سيّما بعد عمل الأساطين به، واشتماله على ما لابدّ من طرحه لعدم التزام أحدٍ به لا يوجبُ طرحه في غيره، والثاني لم يُعلم كونه مخالفاً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يظهر وجه ترجيحه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نصّ العشرة، مع كون الغالب في الشبع المُدّ، وكلاهما قابلان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الطائفتين، مع كون الغالب في الشبع المُدّ،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ذكرناه أظهريّة الوجه الخامس، وهو التخيّير بين الستّة والمُدّين والعشرة والإشباع، فإنّ ذلك مقتضى الجمع بين الطائفتين، وأمّا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يعمل به على كلا نقليه إلّاشاذّ، مضافاً إلى إرساله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ترتّب الفدية على الحلق، بين فعله بنفسه، أو بغيره مع الإذن له الذي هو المتعارف في حلق الرأس، سواءٌ كان الحالق مُحرِماً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مُحِلّاً، أمّا إذا لم يأذن له فحلق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حَلَقه وهو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الفدية على أحدٍ منهما، للأصل بعد عدم الدليل، كما أنّه لا كفّارة على المُحرِم الحالق للمُحِلّ‌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 ترتّب الفدية على كلّ ما هو حرام من إزالة الشعر، ولو كان بحلق ثلاث شعرات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3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الكفّارة عندنا تتعلّق بحلق جميع الرأس أو بعضه، قليلاً كان أو كثيراً، لكن يختلف، ففي حلق الرأس دمٌ‌، وكذا فيما سُمّي حلق الرأس، وفي حلق ثلاث شعرات صدقة بمهما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نظره إلى ما سيأتي من الأخبار في من مسّ لحيته أو رأسه فوقع منهما شيء، ولكنّها في غير الحلق كما سيمرّ عليك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9" w:name="pg11809_94656"/>
    </w:p>
    <w:p>
      <w:pPr>
        <w:pStyle w:val="BookText"/>
        <w:rPr/>
      </w:pPr>
      <w:bookmarkEnd w:id="239"/>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نتف الإبطين شاة، وفي إحداهما إطعام ثلاثة مساكين</w:t>
      </w:r>
    </w:p>
    <w:p>
      <w:pPr>
        <w:pStyle w:val="Heading3"/>
        <w:numPr>
          <w:ilvl w:val="2"/>
          <w:numId w:val="1"/>
        </w:numPr>
        <w:rPr/>
      </w:pPr>
      <w:bookmarkStart w:id="240" w:name="__RefHeading___Toc10723949_73709187"/>
      <w:bookmarkStart w:id="241" w:name="_Toc81"/>
      <w:bookmarkEnd w:id="240"/>
      <w:r>
        <w:rPr>
          <w:rtl w:val="true"/>
        </w:rPr>
        <w:t>كفّارة نتف الإبطين</w:t>
      </w:r>
      <w:bookmarkEnd w:id="24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نتف الإبطين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إحداهما إطعام ثلاثة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المشهور بين الأصحاب</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نتف الرّجل إبطيه بعد الإحرام فعليه دم</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بإسناده عن حريز مثله،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تثنية</w:t>
      </w:r>
      <w:r>
        <w:rPr>
          <w:rStyle w:val="FootnoteAnchor"/>
          <w:rtl w:val="true"/>
        </w:rPr>
        <w:footnoteReference w:id="1356"/>
      </w:r>
      <w:r>
        <w:rPr>
          <w:rFonts w:ascii="Amiri" w:hAnsi="Amiri" w:eastAsia="Amiri" w:cs="Amiri"/>
          <w:color w:val="111111"/>
          <w:sz w:val="28"/>
          <w:sz w:val="28"/>
          <w:szCs w:val="28"/>
          <w:rtl w:val="true"/>
          <w:lang w:bidi="ar-SA"/>
        </w:rPr>
        <w:t>، وعليه فينطبق مع صحيح زرارة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نتف إبطه، أو قلّم ظفره، أو حلق رأسه ناسياً أو جاهلاً فليس عليه شيء، ومن فعله متعمّداً فعليه دم شاة</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 محمولٌ على الشاة، بقرينة صحيح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بوجوه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صحيح حريز، فإنّه يدلّ على أنّ لزوم الدّم منوطٌ بنتف الإبطين، ومقتضاه عدم لزومه مع نتف أحدهما، وحيثُ أنّ الإجماع قائم على لزوم </w:t>
      </w:r>
    </w:p>
    <w:p>
      <w:pPr>
        <w:pStyle w:val="BookText"/>
        <w:rPr/>
      </w:pPr>
      <w:r>
        <w:rPr>
          <w:rFonts w:ascii="Amiri" w:hAnsi="Amiri" w:eastAsia="Amiri" w:cs="Amiri"/>
          <w:color w:val="111111"/>
          <w:sz w:val="28"/>
          <w:sz w:val="28"/>
          <w:szCs w:val="28"/>
          <w:rtl w:val="true"/>
          <w:lang w:bidi="ar-SA"/>
        </w:rPr>
        <w:t>شيء، أمّا الدّم أو إطعام ثلاثة مساكين، فيتعيّن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عليه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3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الشرط لوروده موردالغالب لا مفهوم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لا يمنع عن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لم يظهر كونه نتف الإبطين أو نتف الإبط مطلقاً، الشامل لنتف إحداهما، لاختلاف النقل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الدالّة على لزوم الدّم في الإبط منصرفة إلى ما هو الغالب، وهو نتفهما معاً، فلا دليل على لزوم الدّم في نتف إحداهما، فبضميمة الإجماع المتقدّم يُحكم بثبوت الحكم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أنّ الانصراف الناشيء عن غلبة وجود فرد، لا يصلح أنْ يكون مقيّداً للإطلاق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بحجّة مع معلوميّة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جبلة،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نتف إبطه‌؟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ثلاثة مساكين</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لأنّ الراوي عن عبد اللّه هو محمّد بن عبد اللّه بن هلال، وهو مهمل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ضعفه منجبرٌ بالعمل، فقد عمل به الأصحاب حتّى مثل الحِلّي وابن زهرة اللّذين لا يعملان حتّى بالأخبار الآحاد الصحيحة فضلاً عن الضعيفة، الا بعد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احتفافها بالقرائن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يعارضه صحيح زرارة المتقدّم، بل وصحيح حريز على أحد نقليه، فلابدّ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الجمع بينهما بالالتزام بثبوتهما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حمل صحيح زرارة على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حمل الخبر على 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الالتزام بالتخيّير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الرجوع إلى المرجّحات، والترجيح مع الخبر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مخالفٌ للإجماع، وهو والثاني والثالث متوقّفة على عدم التنافي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ثبوته لكون كلّ منهما في مقام بيان الكفّارة الواجبة، فكلّ منهما يعيّنها في أحد الأمرين، فلا محالة يقع التنافي بينهما، والرابع غير بعيد، ولكن لم أرَ من التزم به الا بعض المتأخّرين</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فالأحوط هو البناء على لزوم إطعام ثلاثه مساكين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نتف بعض الإبط، حكم نتف الكلّ‌، لصدق ذلك، كما أنّ حكم حلقهما حكم نتفهما، وكذا نتف الإبط الواحدة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أبيت عن ذلك، فيجري في الحلق حكم إزالة الشعر المتقدّم، لما عرفت من عدم اختصاصه بحلق الرأس، وكذا في نتف البعض،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من عدم الكفّارة فيه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42" w:name="pg11809_94659"/>
    </w:p>
    <w:p>
      <w:pPr>
        <w:pStyle w:val="BookText"/>
        <w:rPr/>
      </w:pPr>
      <w:bookmarkEnd w:id="242"/>
      <w:r>
        <w:rPr>
          <w:rFonts w:ascii="Amiri" w:hAnsi="Amiri" w:eastAsia="Amiri" w:cs="Amiri"/>
          <w:color w:val="111111"/>
          <w:sz w:val="28"/>
          <w:sz w:val="28"/>
          <w:szCs w:val="28"/>
          <w:rtl w:val="true"/>
          <w:lang w:bidi="ar-SA"/>
        </w:rPr>
        <w:t>ولو سَقَط من رأسه أو لحيته شيءٌ بمسّه، تصدّق بكفٍّ من طعام</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0723951_73709187"/>
      <w:bookmarkStart w:id="244" w:name="_Toc82"/>
      <w:bookmarkEnd w:id="243"/>
      <w:r>
        <w:rPr>
          <w:rtl w:val="true"/>
        </w:rPr>
        <w:t>حكم سقوط شعر الرأس واللّحية</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سقط من رأسه أو لحيته شيء بمسّه، تصدقّ بكفٍّ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Style w:val="FootnoteAnchor"/>
          <w:rtl w:val="true"/>
        </w:rPr>
        <w:footnoteReference w:id="1362"/>
      </w:r>
      <w:r>
        <w:rPr>
          <w:rFonts w:ascii="Amiri" w:hAnsi="Amiri" w:eastAsia="Amiri" w:cs="Amiri"/>
          <w:color w:val="111111"/>
          <w:sz w:val="28"/>
          <w:sz w:val="28"/>
          <w:szCs w:val="28"/>
          <w:rtl w:val="true"/>
          <w:lang w:bidi="ar-SA"/>
        </w:rPr>
        <w:t>، بل اُدّعي عليه الإجماع</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1364"/>
      </w:r>
      <w:r>
        <w:rPr>
          <w:rFonts w:ascii="Amiri" w:hAnsi="Amiri" w:eastAsia="Amiri" w:cs="Amiri"/>
          <w:color w:val="111111"/>
          <w:sz w:val="28"/>
          <w:sz w:val="28"/>
          <w:szCs w:val="28"/>
          <w:rtl w:val="true"/>
          <w:lang w:bidi="ar-SA"/>
        </w:rPr>
        <w:t>وسلّار</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في غير الرأس واللّحية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أو كفّان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 احتياطاً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استحباب ذلك دون الحكم بالوجوب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النصوص</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فليتصدّق بكفٍّ من طعام، أو كفٍّ من سويق</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صحيحة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بكفٍّ من طعام أو كفٍّ أو سويق</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أن يُطعم مسكيناً في يده</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الحسن بن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فاشتر بدرهم تمراً وتصدّق به</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هذه النصوص يقتضي البناء على التخيّير، بين أن يتصدّق بكفٍّ من طعام أو سويق، أو يشتري تمراً بدرهم ويتصدّق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منصور المتضمّن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يُطعم كفّاً من طعامٍ أو كفّين</w:t>
      </w:r>
      <w:r>
        <w:rPr>
          <w:rFonts w:eastAsia="Amiri" w:cs="Amiri" w:ascii="Amiri" w:hAnsi="Amiri"/>
          <w:color w:val="111111"/>
          <w:sz w:val="28"/>
          <w:szCs w:val="28"/>
          <w:rtl w:val="true"/>
          <w:lang w:bidi="ar-SA"/>
        </w:rPr>
        <w:t>)</w:t>
      </w:r>
      <w:r>
        <w:rPr>
          <w:rStyle w:val="FootnoteAnchor"/>
          <w:rtl w:val="true"/>
        </w:rPr>
        <w:footnoteReference w:id="1376"/>
      </w:r>
      <w:r>
        <w:rPr>
          <w:rFonts w:ascii="Amiri" w:hAnsi="Amiri" w:eastAsia="Amiri" w:cs="Amiri"/>
          <w:color w:val="111111"/>
          <w:sz w:val="28"/>
          <w:sz w:val="28"/>
          <w:szCs w:val="28"/>
          <w:rtl w:val="true"/>
          <w:lang w:bidi="ar-SA"/>
        </w:rPr>
        <w:t>، فمحمولٌ على الندب بالإضافة إلى كفّين، كما هو الحال في سائر موارد التخيّير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مطلق الإطعام، كصحيح ابن عمّار</w:t>
      </w:r>
      <w:r>
        <w:rPr>
          <w:rStyle w:val="FootnoteAnchor"/>
          <w:rtl w:val="true"/>
        </w:rPr>
        <w:footnoteReference w:id="13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فيحمل على ما تقدّم، حملا للمطلق على المقيّد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تضمّن نفي الشيء أو الضرر عليه، كخبري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ليث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فبقرينة ما تقدّم يحمل على إرادة نفي العقاب والمؤاخذة والإثم، وليس صريحاً في نفي الكفّارة، كي يصلح قرينةً على حمل نصوص الكفّارة على الندب،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78"/>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كان في الوضوء فلا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فالمشهور</w:t>
      </w:r>
      <w:r>
        <w:rPr>
          <w:rStyle w:val="FootnoteAnchor"/>
          <w:rtl w:val="true"/>
        </w:rPr>
        <w:footnoteReference w:id="1379"/>
      </w:r>
      <w:r>
        <w:rPr>
          <w:rFonts w:ascii="Amiri" w:hAnsi="Amiri" w:eastAsia="Amiri" w:cs="Amiri"/>
          <w:color w:val="111111"/>
          <w:sz w:val="28"/>
          <w:sz w:val="28"/>
          <w:szCs w:val="28"/>
          <w:rtl w:val="true"/>
          <w:lang w:bidi="ar-SA"/>
        </w:rPr>
        <w:t xml:space="preserve">بين الأصحاب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الوضوء 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واستدلّ له بصحيح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عن المُحرِم يريد إسباغ الوضوء فتسقط من لحيته شعرةً أو شعرتان‌؟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لا يدلّ على نفي الكفّارة، فإنّه متضمّنٌ لعدم كونه بشيء لا عدم شيء عليه، فالصحيح يدلّ على عدم الحرمة لا عدم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الصدوق</w:t>
      </w:r>
      <w:r>
        <w:rPr>
          <w:rStyle w:val="FootnoteAnchor"/>
          <w:rtl w:val="true"/>
        </w:rPr>
        <w:footnoteReference w:id="1381"/>
      </w:r>
      <w:r>
        <w:rPr>
          <w:rFonts w:ascii="Amiri" w:hAnsi="Amiri" w:eastAsia="Amiri" w:cs="Amiri"/>
          <w:color w:val="111111"/>
          <w:sz w:val="28"/>
          <w:sz w:val="28"/>
          <w:szCs w:val="28"/>
          <w:rtl w:val="true"/>
          <w:lang w:bidi="ar-SA"/>
        </w:rPr>
        <w:t>والمفيد</w:t>
      </w:r>
      <w:r>
        <w:rPr>
          <w:rStyle w:val="FootnoteAnchor"/>
          <w:rtl w:val="true"/>
        </w:rPr>
        <w:footnoteReference w:id="1382"/>
      </w:r>
      <w:r>
        <w:rPr>
          <w:rFonts w:ascii="Amiri" w:hAnsi="Amiri" w:eastAsia="Amiri" w:cs="Amiri"/>
          <w:color w:val="111111"/>
          <w:sz w:val="28"/>
          <w:sz w:val="28"/>
          <w:szCs w:val="28"/>
          <w:rtl w:val="true"/>
          <w:lang w:bidi="ar-SA"/>
        </w:rPr>
        <w:t>والسيّد</w:t>
      </w:r>
      <w:r>
        <w:rPr>
          <w:rStyle w:val="FootnoteAnchor"/>
          <w:rtl w:val="true"/>
        </w:rPr>
        <w:footnoteReference w:id="1383"/>
      </w:r>
      <w:r>
        <w:rPr>
          <w:rFonts w:ascii="Amiri" w:hAnsi="Amiri" w:eastAsia="Amiri" w:cs="Amiri"/>
          <w:color w:val="111111"/>
          <w:sz w:val="28"/>
          <w:sz w:val="28"/>
          <w:szCs w:val="28"/>
          <w:rtl w:val="true"/>
          <w:lang w:bidi="ar-SA"/>
        </w:rPr>
        <w:t>وسلّار</w:t>
      </w:r>
      <w:r>
        <w:rPr>
          <w:rStyle w:val="FootnoteAnchor"/>
          <w:rtl w:val="true"/>
        </w:rPr>
        <w:footnoteReference w:id="1384"/>
      </w:r>
      <w:r>
        <w:rPr>
          <w:rFonts w:ascii="Amiri" w:hAnsi="Amiri" w:eastAsia="Amiri" w:cs="Amiri"/>
          <w:color w:val="111111"/>
          <w:sz w:val="28"/>
          <w:sz w:val="28"/>
          <w:szCs w:val="28"/>
          <w:rtl w:val="true"/>
          <w:lang w:bidi="ar-SA"/>
        </w:rPr>
        <w:t>، من أنّه يجب فيه ما يجبُ في سقوط الشعر بالمسّ في غير الوضوء،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المحكيّ عن المفيد</w:t>
      </w:r>
      <w:r>
        <w:rPr>
          <w:rStyle w:val="FootnoteAnchor"/>
          <w:rtl w:val="true"/>
        </w:rPr>
        <w:footnoteReference w:id="1385"/>
      </w:r>
      <w:r>
        <w:rPr>
          <w:rFonts w:ascii="Amiri" w:hAnsi="Amiri" w:eastAsia="Amiri" w:cs="Amiri"/>
          <w:color w:val="111111"/>
          <w:sz w:val="28"/>
          <w:sz w:val="28"/>
          <w:szCs w:val="28"/>
          <w:rtl w:val="true"/>
          <w:lang w:bidi="ar-SA"/>
        </w:rPr>
        <w:t>وسلّار</w:t>
      </w:r>
      <w:r>
        <w:rPr>
          <w:rStyle w:val="FootnoteAnchor"/>
          <w:rtl w:val="true"/>
        </w:rPr>
        <w:footnoteReference w:id="1386"/>
      </w:r>
      <w:r>
        <w:rPr>
          <w:rFonts w:ascii="Amiri" w:hAnsi="Amiri" w:eastAsia="Amiri" w:cs="Amiri"/>
          <w:color w:val="111111"/>
          <w:sz w:val="28"/>
          <w:sz w:val="28"/>
          <w:szCs w:val="28"/>
          <w:rtl w:val="true"/>
          <w:lang w:bidi="ar-SA"/>
        </w:rPr>
        <w:t>أنّه إنْ كان الساقط من شعره كثيراً فعليه دم شاة، وهو متين، فإنّ نصوص الباب لا تشمله، فيدخل تحت ما دلّ على ثبوت دم شاة في إزالة الشعر مطلقاً، لما تقدّم من عدم خصوصيّة للحلق فيه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45" w:name="pg11809_94662"/>
    </w:p>
    <w:p>
      <w:pPr>
        <w:pStyle w:val="BookText"/>
        <w:rPr/>
      </w:pPr>
      <w:bookmarkEnd w:id="245"/>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التظليل سائراً شاة،</w:t>
      </w:r>
    </w:p>
    <w:p>
      <w:pPr>
        <w:pStyle w:val="Heading3"/>
        <w:numPr>
          <w:ilvl w:val="2"/>
          <w:numId w:val="1"/>
        </w:numPr>
        <w:rPr/>
      </w:pPr>
      <w:bookmarkStart w:id="246" w:name="__RefHeading___Toc10723953_73709187"/>
      <w:bookmarkStart w:id="247" w:name="_Toc83"/>
      <w:bookmarkEnd w:id="246"/>
      <w:r>
        <w:rPr>
          <w:rtl w:val="true"/>
        </w:rPr>
        <w:t>كفّارة التظليل</w:t>
      </w:r>
      <w:bookmarkEnd w:id="24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التظليل سائراً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بلا خلافٍ‌</w:t>
      </w:r>
      <w:r>
        <w:rPr>
          <w:rStyle w:val="FootnoteAnchor"/>
          <w:rtl w:val="true"/>
        </w:rPr>
        <w:footnoteReference w:id="1387"/>
      </w:r>
      <w:r>
        <w:rPr>
          <w:rFonts w:ascii="Amiri" w:hAnsi="Amiri" w:eastAsia="Amiri" w:cs="Amiri"/>
          <w:color w:val="111111"/>
          <w:sz w:val="28"/>
          <w:sz w:val="28"/>
          <w:szCs w:val="28"/>
          <w:rtl w:val="true"/>
          <w:lang w:bidi="ar-SA"/>
        </w:rPr>
        <w:t>إلّاعن الإسكافي</w:t>
      </w:r>
      <w:r>
        <w:rPr>
          <w:rStyle w:val="FootnoteAnchor"/>
          <w:rtl w:val="true"/>
        </w:rPr>
        <w:footnoteReference w:id="1388"/>
      </w:r>
      <w:r>
        <w:rPr>
          <w:rFonts w:ascii="Amiri" w:hAnsi="Amiri" w:eastAsia="Amiri" w:cs="Amiri"/>
          <w:color w:val="111111"/>
          <w:sz w:val="28"/>
          <w:sz w:val="28"/>
          <w:szCs w:val="28"/>
          <w:rtl w:val="true"/>
          <w:lang w:bidi="ar-SA"/>
        </w:rPr>
        <w:t>، ويشهد به نصوصٌ كثيرة ستمرّ عليك جملة منها، وإنّما اختلفوا في ما يكفّر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1389"/>
      </w:r>
      <w:r>
        <w:rPr>
          <w:rFonts w:ascii="Amiri" w:hAnsi="Amiri" w:eastAsia="Amiri" w:cs="Amiri"/>
          <w:color w:val="111111"/>
          <w:sz w:val="28"/>
          <w:sz w:val="28"/>
          <w:szCs w:val="28"/>
          <w:rtl w:val="true"/>
          <w:lang w:bidi="ar-SA"/>
        </w:rPr>
        <w:t xml:space="preserve">أنّه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3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w:t>
      </w:r>
      <w:r>
        <w:rPr>
          <w:rStyle w:val="FootnoteAnchor"/>
          <w:rtl w:val="true"/>
        </w:rPr>
        <w:footnoteReference w:id="13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3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3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3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395"/>
      </w:r>
      <w:r>
        <w:rPr>
          <w:rFonts w:ascii="Amiri" w:hAnsi="Amiri" w:eastAsia="Amiri" w:cs="Amiri"/>
          <w:color w:val="111111"/>
          <w:sz w:val="28"/>
          <w:sz w:val="28"/>
          <w:szCs w:val="28"/>
          <w:rtl w:val="true"/>
          <w:lang w:bidi="ar-SA"/>
        </w:rPr>
        <w:t>أنّه 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الصدوق</w:t>
      </w:r>
      <w:r>
        <w:rPr>
          <w:rStyle w:val="FootnoteAnchor"/>
          <w:rtl w:val="true"/>
        </w:rPr>
        <w:footnoteReference w:id="1396"/>
      </w:r>
      <w:r>
        <w:rPr>
          <w:rFonts w:ascii="Amiri" w:hAnsi="Amiri" w:eastAsia="Amiri" w:cs="Amiri"/>
          <w:color w:val="111111"/>
          <w:sz w:val="28"/>
          <w:sz w:val="28"/>
          <w:szCs w:val="28"/>
          <w:rtl w:val="true"/>
          <w:lang w:bidi="ar-SA"/>
        </w:rPr>
        <w:t>أنّه مُدّ لكلّ يومٍ‌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العُمّاني</w:t>
      </w:r>
      <w:r>
        <w:rPr>
          <w:rStyle w:val="FootnoteAnchor"/>
          <w:rtl w:val="true"/>
        </w:rPr>
        <w:footnoteReference w:id="1397"/>
      </w:r>
      <w:r>
        <w:rPr>
          <w:rFonts w:ascii="Amiri" w:hAnsi="Amiri" w:eastAsia="Amiri" w:cs="Amiri"/>
          <w:color w:val="111111"/>
          <w:sz w:val="28"/>
          <w:sz w:val="28"/>
          <w:szCs w:val="28"/>
          <w:rtl w:val="true"/>
          <w:lang w:bidi="ar-SA"/>
        </w:rPr>
        <w:t>أنّ كفّارته صيام أو صدقة أو نسك كالحلق للأذى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عن الظلال للمُحرِم من أذى مطرٍ أو شمس وأنا أسمع، فأمره أن يفدي شاة ويذبحها بمنى</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صحيحة الآخر</w:t>
      </w:r>
      <w:r>
        <w:rPr>
          <w:rStyle w:val="FootnoteAnchor"/>
          <w:rtl w:val="true"/>
        </w:rPr>
        <w:footnoteReference w:id="1399"/>
      </w:r>
      <w:r>
        <w:rPr>
          <w:rFonts w:ascii="Amiri" w:hAnsi="Amiri" w:eastAsia="Amiri" w:cs="Amiri"/>
          <w:color w:val="111111"/>
          <w:sz w:val="28"/>
          <w:sz w:val="28"/>
          <w:szCs w:val="28"/>
          <w:rtl w:val="true"/>
          <w:lang w:bidi="ar-SA"/>
        </w:rPr>
        <w:t>وصحيح إبراهيم بن أبي محمود</w:t>
      </w:r>
      <w:r>
        <w:rPr>
          <w:rStyle w:val="FootnoteAnchor"/>
          <w:rtl w:val="true"/>
        </w:rPr>
        <w:footnoteReference w:id="1400"/>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فيه بالفداء أو إهراق الدّم مطلقاً، وهومستندُ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علي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يشتدّ عَليَّ كشف الظلال في الإحرام، لأنّي محرور يشتدّ عَليَّ حَرّ الشمس‌؟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وارق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أو دمين‌؟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نحرم بالعُمرة، وندخلُ مكّة فنحلّ ونُحرِم بالحجّ؟</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 دمين</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خبره الآخر</w:t>
      </w:r>
      <w:r>
        <w:rPr>
          <w:rStyle w:val="FootnoteAnchor"/>
          <w:rtl w:val="true"/>
        </w:rPr>
        <w:footnoteReference w:id="1402"/>
      </w:r>
      <w:r>
        <w:rPr>
          <w:rFonts w:ascii="Amiri" w:hAnsi="Amiri" w:eastAsia="Amiri" w:cs="Amiri"/>
          <w:color w:val="111111"/>
          <w:sz w:val="28"/>
          <w:sz w:val="28"/>
          <w:szCs w:val="28"/>
          <w:rtl w:val="true"/>
          <w:lang w:bidi="ar-SA"/>
        </w:rPr>
        <w:t>، وخبر علي بن محمّد</w:t>
      </w:r>
      <w:r>
        <w:rPr>
          <w:rStyle w:val="FootnoteAnchor"/>
          <w:rtl w:val="true"/>
        </w:rPr>
        <w:footnoteReference w:id="1403"/>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ما ذهب إليه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يضرب عليها الظلال وهي مُحرِمة‌؟ قال عليه السلام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يضرب عليه الظلال وهو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به شقيقة، ويتصدّق بمد لكلّ يوم</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ما ذهب إليه العُمّاني، وهي رواية عمر بن يزيد المتقدّمة في مسألة كفّارة إزالة الشعر في تفسير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عرض له أذى أو وجع، فتعاطى ما لا ينبغي للمُحرِم إذا كان صحيحاً، فصيام ثلاثة أيّام، والصدقة على عشرة مساكين، يُشبعهم من الطعام، والنسك شاة يذبحها فيأكل ويطعم، وإنّما عليه واحدٍ من ذلك</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 فإنّ إطلاقه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ثبوت البدنة، وهي رواية علي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أخي اُظلِّل وأنا مُحرِم‌؟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وعليك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عليّاً إذا قدم مكّة ينحر بدنة لكفّارة الظلّ‌</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النصوص يقتضي اختيار ما هو المشهور، فإنّ إطلاق الطائفة الثانية يقيّد بالاُولى‌، فالدم المأمور اهراقه هو خصوص الشاة، كما أنّ إطلاق الطائفة الرابعة الشامل للتظليل وغيره يقيّد بها، فتختصّ بغير التظليل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علي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أنّ الظاهر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الراوي،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بن جعفر كما فهمه الأكثر، ومن المعلوم أنّ فعله ليس بحجّة لغيره وكذا فهمه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ينفي الدّم، فيُطرح أو يُحمل على الندب، لعدم وجوب شيء وراء الدّم إجماعاً حتّى من الصدوق، فإنّه يرى وجوب دفع المُدّ من الطعام وعدم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أنّ أكثر النصوص واردة في مورد الاضطرار، ولذلك حُكي عن ظاهر جملة من القدماء</w:t>
      </w:r>
      <w:r>
        <w:rPr>
          <w:rStyle w:val="FootnoteAnchor"/>
          <w:rtl w:val="true"/>
        </w:rPr>
        <w:footnoteReference w:id="1407"/>
      </w:r>
      <w:r>
        <w:rPr>
          <w:rFonts w:ascii="Amiri" w:hAnsi="Amiri" w:eastAsia="Amiri" w:cs="Amiri"/>
          <w:color w:val="111111"/>
          <w:sz w:val="28"/>
          <w:sz w:val="28"/>
          <w:szCs w:val="28"/>
          <w:rtl w:val="true"/>
          <w:lang w:bidi="ar-SA"/>
        </w:rPr>
        <w:t>الاختصاص به، ولكن المشهور</w:t>
      </w:r>
      <w:r>
        <w:rPr>
          <w:rStyle w:val="FootnoteAnchor"/>
          <w:rtl w:val="true"/>
        </w:rPr>
        <w:footnoteReference w:id="1408"/>
      </w:r>
      <w:r>
        <w:rPr>
          <w:rFonts w:ascii="Amiri" w:hAnsi="Amiri" w:eastAsia="Amiri" w:cs="Amiri"/>
          <w:color w:val="111111"/>
          <w:sz w:val="28"/>
          <w:sz w:val="28"/>
          <w:szCs w:val="28"/>
          <w:rtl w:val="true"/>
          <w:lang w:bidi="ar-SA"/>
        </w:rPr>
        <w:t>بين الأصحاب عدم الفرق في لزوم الفدية بين المختار والمضطرّ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Style w:val="FootnoteAnchor"/>
          <w:rtl w:val="true"/>
        </w:rPr>
        <w:footnoteReference w:id="140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دعوى ظهور الاتّفاق على عدم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عن ظاهرالمفيد</w:t>
      </w:r>
      <w:r>
        <w:rPr>
          <w:rStyle w:val="FootnoteAnchor"/>
          <w:rtl w:val="true"/>
        </w:rPr>
        <w:footnoteReference w:id="1411"/>
      </w:r>
      <w:r>
        <w:rPr>
          <w:rFonts w:ascii="Amiri" w:hAnsi="Amiri" w:eastAsia="Amiri" w:cs="Amiri"/>
          <w:color w:val="111111"/>
          <w:sz w:val="28"/>
          <w:sz w:val="28"/>
          <w:szCs w:val="28"/>
          <w:rtl w:val="true"/>
          <w:lang w:bidi="ar-SA"/>
        </w:rPr>
        <w:t>والسيّد</w:t>
      </w:r>
      <w:r>
        <w:rPr>
          <w:rStyle w:val="FootnoteAnchor"/>
          <w:rtl w:val="true"/>
        </w:rPr>
        <w:footnoteReference w:id="1412"/>
      </w:r>
      <w:r>
        <w:rPr>
          <w:rFonts w:ascii="Amiri" w:hAnsi="Amiri" w:eastAsia="Amiri" w:cs="Amiri"/>
          <w:color w:val="111111"/>
          <w:sz w:val="28"/>
          <w:sz w:val="28"/>
          <w:szCs w:val="28"/>
          <w:rtl w:val="true"/>
          <w:lang w:bidi="ar-SA"/>
        </w:rPr>
        <w:t>وسلّار</w:t>
      </w:r>
      <w:r>
        <w:rPr>
          <w:rStyle w:val="FootnoteAnchor"/>
          <w:rtl w:val="true"/>
        </w:rPr>
        <w:footnoteReference w:id="1413"/>
      </w:r>
      <w:r>
        <w:rPr>
          <w:rFonts w:ascii="Amiri" w:hAnsi="Amiri" w:eastAsia="Amiri" w:cs="Amiri"/>
          <w:color w:val="111111"/>
          <w:sz w:val="28"/>
          <w:sz w:val="28"/>
          <w:szCs w:val="28"/>
          <w:rtl w:val="true"/>
          <w:lang w:bidi="ar-SA"/>
        </w:rPr>
        <w:t>الاختصاص بالمختار وبالأولويّة، فإنّه إذا ثبتت الفدية في حال الاضطرار، مع جواز التظليل، ففي حال الاختيار أولى بالثبوت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إجماعاً تعبديّاً، مع أنّه غير ثابتٍ‌، كيف وقد أفتى جمعٌ من القدماء بالاختصاص</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الأولويّة، فإنّ الكفّارة لعلّها لجبر النقصان الحاصل بالاضطرار، ومن الممكن أنّ الشارع الأقدس لا يطلب الجبر مع الاختيار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يستدلّ له بخبر أبي علي المتقدّم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مُحرِمٍ ظلّل في عمرته‌؟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 إلى مكّة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48" w:name="pg11809_94666"/>
    </w:p>
    <w:p>
      <w:pPr>
        <w:pStyle w:val="BookText"/>
        <w:rPr/>
      </w:pPr>
      <w:bookmarkEnd w:id="248"/>
      <w:r>
        <w:rPr>
          <w:rFonts w:ascii="Amiri" w:hAnsi="Amiri" w:eastAsia="Amiri" w:cs="Amiri"/>
          <w:color w:val="111111"/>
          <w:sz w:val="28"/>
          <w:sz w:val="28"/>
          <w:szCs w:val="28"/>
          <w:rtl w:val="true"/>
          <w:lang w:bidi="ar-SA"/>
        </w:rPr>
        <w:t>وكذا في تغطية الرأس،</w:t>
      </w:r>
    </w:p>
    <w:p>
      <w:pPr>
        <w:pStyle w:val="BookText"/>
        <w:rPr/>
      </w:pPr>
      <w:r>
        <w:rPr>
          <w:rFonts w:ascii="Amiri" w:hAnsi="Amiri" w:eastAsia="Amiri" w:cs="Amiri"/>
          <w:color w:val="111111"/>
          <w:sz w:val="28"/>
          <w:sz w:val="28"/>
          <w:szCs w:val="28"/>
          <w:rtl w:val="true"/>
          <w:lang w:bidi="ar-SA"/>
        </w:rPr>
        <w:t>وظَلّل، وجب أيضاً عليه دمٌ لعمرته ودم لحجّته</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بعمومه الحاصل من ترك الاستفصال، يدلّ على ثبوت الفدية في حال الاختيار أيضاً، وضعف سنده 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الإطلاقات، بل صريح صحيح أبي علي بن راشد وخبره، عدم تكرّر الكفّارة بتكرّر التظليل في النسك الواحدة، كما صرّح به غير واحد</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قيل</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 مع الاضطرار، نعم تتكرّر بالتكرّر في النسكين كما صرّح به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بعضٍ‌</w:t>
      </w:r>
      <w:r>
        <w:rPr>
          <w:rStyle w:val="FootnoteAnchor"/>
          <w:rtl w:val="true"/>
        </w:rPr>
        <w:footnoteReference w:id="1418"/>
      </w:r>
      <w:r>
        <w:rPr>
          <w:rFonts w:ascii="Amiri" w:hAnsi="Amiri" w:eastAsia="Amiri" w:cs="Amiri"/>
          <w:color w:val="111111"/>
          <w:sz w:val="28"/>
          <w:sz w:val="28"/>
          <w:szCs w:val="28"/>
          <w:rtl w:val="true"/>
          <w:lang w:bidi="ar-SA"/>
        </w:rPr>
        <w:t xml:space="preserve">من القول بوجوب شاة لكلّ يوم للمختار، فلم أظفر بدليله، بل دليل ثبوت الفدية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أبي علي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خلافه</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0723955_73709187"/>
      <w:bookmarkStart w:id="250" w:name="_Toc84"/>
      <w:bookmarkEnd w:id="249"/>
      <w:r>
        <w:rPr>
          <w:rtl w:val="true"/>
        </w:rPr>
        <w:t>كفّارة تغطية الرأس</w:t>
      </w:r>
      <w:bookmarkEnd w:id="25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تغطية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كما هنا</w:t>
      </w:r>
      <w:r>
        <w:rPr>
          <w:rStyle w:val="FootnoteAnchor"/>
          <w:rtl w:val="true"/>
        </w:rPr>
        <w:footnoteReference w:id="1419"/>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4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4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مقطوعٌ به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4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غَطّى رأسه وهو مُحرِم، وجبَ عليه دم شاة، ولا نعلم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غَطّى رأسه وجب عليه دم شاة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من أنّه قد تَرفّه بمحظورٍ، فلزمه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يدلّ دليلٌ عليهذه الكليّة، إلّا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 xml:space="preserve">دليلاً،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 xml:space="preserve">ذكره من باب الاعتضاد، من أنّ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ما لا ينبغي له لبسه متعمّداً فعليه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ثبوت الشاة مع لبس الثوب الساتر للرأس، ويلحق به غيره لعدم القائل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عن الثوب الساتر للرأس، وثبوت الكفّارة، إنّما هو من جهة اللّبس، وهي غير جهة التغطية، والفرق واضح</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4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حمل مكتلاً أو غيره لزمه الفداء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لضرورة،</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ما روى في من غَطّى رأسه أنّ عليه الفداء، وضعفه 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استناد الأصحاب إليه غير ثابت، مع أنّه نقلٌ لمضمون الخبر، فمن الممكن أنّ النص الواصل إليه لا يكون ظاهراً في اللّزوم، أو كان من قبيل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عن أخيه موسى 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خرجتَ من حَجّك فعليك فيه دم تهريقه</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وانجباره بالعمل غير ثابت، وإنْ كان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بضميمة الإجماع، وتسالم الأصحاب، يكفي في الحكم،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اختصاص الفداء بالتغطية المُحرّمة، وقد مرّ بيان ما هو محرّم منها في مبحث تروك الإحرام</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اضطرّ إلى التغطية فغَطّى، هل يجبُ عليه الفداء كما في المتن،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الحكم بثبوت الشاة في التغطية، أم لا يجب‌؟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أظهرهما الثاني، لأنّ مدرك ثبوته فيها 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والخبر غير شامل لصورة الاضطرار، والمتيقّن من الإجماع صورة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النصوص المجوزة إيّاها في حال الضرورة عن ذكر الكفّارة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صحيح الحلبي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غَطّى رأسه، فليطعم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51" w:name="pg11809_94669"/>
    </w:p>
    <w:p>
      <w:pPr>
        <w:pStyle w:val="BookText"/>
        <w:rPr/>
      </w:pPr>
      <w:bookmarkEnd w:id="251"/>
      <w:r>
        <w:rPr>
          <w:rFonts w:ascii="Amiri" w:hAnsi="Amiri" w:eastAsia="Amiri" w:cs="Amiri"/>
          <w:color w:val="111111"/>
          <w:sz w:val="28"/>
          <w:sz w:val="28"/>
          <w:szCs w:val="28"/>
          <w:rtl w:val="true"/>
          <w:lang w:bidi="ar-SA"/>
        </w:rPr>
        <w:t>مسكيناً في يده</w:t>
      </w:r>
      <w:r>
        <w:rPr>
          <w:rFonts w:eastAsia="Amiri" w:cs="Amiri" w:ascii="Amiri" w:hAnsi="Amiri"/>
          <w:color w:val="111111"/>
          <w:sz w:val="28"/>
          <w:szCs w:val="28"/>
          <w:rtl w:val="true"/>
          <w:lang w:bidi="ar-SA"/>
        </w:rPr>
        <w:t>»</w:t>
      </w:r>
      <w:r>
        <w:rPr>
          <w:rStyle w:val="FootnoteAnchor"/>
          <w:rtl w:val="true"/>
        </w:rPr>
        <w:footnoteReference w:id="1430"/>
      </w:r>
      <w:r>
        <w:rPr>
          <w:rFonts w:ascii="Amiri" w:hAnsi="Amiri" w:eastAsia="Amiri" w:cs="Amiri"/>
          <w:color w:val="111111"/>
          <w:sz w:val="28"/>
          <w:sz w:val="28"/>
          <w:szCs w:val="28"/>
          <w:rtl w:val="true"/>
          <w:lang w:bidi="ar-SA"/>
        </w:rPr>
        <w:t>، ظاهرٌ في وجوب ما تضمّنه، ولكن لعدم إفتاء أحدٍ من الأصحاب بلزوم ذلك يحمل على الندب</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0723957_73709187"/>
      <w:bookmarkStart w:id="253" w:name="_Toc85"/>
      <w:bookmarkEnd w:id="252"/>
      <w:r>
        <w:rPr>
          <w:rtl w:val="true"/>
        </w:rPr>
        <w:t>فروع</w:t>
      </w:r>
      <w:r>
        <w:rPr>
          <w:rtl w:val="true"/>
        </w:rPr>
        <w:t>:</w:t>
      </w:r>
      <w:bookmarkEnd w:id="253"/>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ولا خلاف في أنّه لو غَطّى رأسه ناسياً لا شيء عليه، ويشهد به 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مُحرِمٍ غَطّى رأسه ناسياً؟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القناع عن رأسه ويُلبّي ولا شيء عليه</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غَطّى المُحرِم وجهه لا شيء عليه، لعدم الدليل على وجوب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رواه الحلبي في صحيحه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غَطّى وجهه فليطعم مسكيناً في يده</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 ظاهرٌ في وجوب ذلك، لكن الأصحاب</w:t>
      </w:r>
      <w:r>
        <w:rPr>
          <w:rStyle w:val="FootnoteAnchor"/>
          <w:rtl w:val="true"/>
        </w:rPr>
        <w:footnoteReference w:id="1433"/>
      </w:r>
      <w:r>
        <w:rPr>
          <w:rFonts w:ascii="IRNazanin" w:hAnsi="IRNazanin" w:eastAsia="IRNazanin"/>
          <w:color w:val="111111"/>
          <w:sz w:val="28"/>
          <w:sz w:val="28"/>
          <w:szCs w:val="28"/>
          <w:rtl w:val="true"/>
          <w:lang w:bidi="fa-IR"/>
        </w:rPr>
        <w:t>حملوه على 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غَطّت المرأة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على وجهٍ جائزٍ، فلا إشكال في أنّه لا شيء عليها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على وجه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تنقّبت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النصوص ما يدلّ على وجوب شيء عليها، بل النصوص المتضمّنة للمنع الخالية عن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بعدم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رأس الرّجل ووجه المرأة جميعاً، وذكر أنّ على المختار لكلّ يومٍ شاة، مدّعياً الإجماع، ونحوه عن الحلبي</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الإجماع، وإلّا فالأصل يقتضي العدم، ولكن الظاهر عدمه، فإنّ الأصحاب لم يفتوا بالتكرار لكلّ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مقتضى عموم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ثبوت الدّم فيها، ولكن انجبار ضعفه غير مسلّم، والإحتياط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تكرّرت التغطية، فإنْ تخلّل التكفير، تكرّرت الفدية، لصدق الجرح في الحَجّ‌، وإلّا فلا للتداخل، والإجماع المُدّعى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حاله، ولا تتكرّر بتكرّر الغطاء كما هو واضح</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54" w:name="pg11809_94671"/>
    </w:p>
    <w:p>
      <w:pPr>
        <w:pStyle w:val="BookText"/>
        <w:rPr/>
      </w:pPr>
      <w:bookmarkEnd w:id="254"/>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الجدال صادقاً ثلاثاً شاةٌ‌، وكذا في الكاذب مرّة، ولو ثَنّى فبقرة، ولو ثَلّث فبدنة،</w:t>
      </w:r>
    </w:p>
    <w:p>
      <w:pPr>
        <w:pStyle w:val="Heading3"/>
        <w:numPr>
          <w:ilvl w:val="2"/>
          <w:numId w:val="1"/>
        </w:numPr>
        <w:rPr/>
      </w:pPr>
      <w:bookmarkStart w:id="255" w:name="__RefHeading___Toc10723959_73709187"/>
      <w:bookmarkStart w:id="256" w:name="_Toc86"/>
      <w:bookmarkEnd w:id="255"/>
      <w:r>
        <w:rPr>
          <w:rtl w:val="true"/>
        </w:rPr>
        <w:t>كفّارة الجِدال</w:t>
      </w:r>
      <w:bookmarkEnd w:id="25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الجدال صادقاً ثلاثاً شاةٌ‌،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ولو ثَنّى فبقرة، ولو ثَلّث فبدنة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المشهور</w:t>
      </w:r>
      <w:r>
        <w:rPr>
          <w:rStyle w:val="FootnoteAnchor"/>
          <w:rtl w:val="true"/>
        </w:rPr>
        <w:footnoteReference w:id="1435"/>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قيل لا خلاف فيه يعتدّ به</w:t>
      </w:r>
      <w:r>
        <w:rPr>
          <w:rFonts w:eastAsia="Amiri" w:cs="Amiri" w:ascii="Amiri" w:hAnsi="Amiri"/>
          <w:color w:val="111111"/>
          <w:sz w:val="28"/>
          <w:szCs w:val="28"/>
          <w:rtl w:val="true"/>
          <w:lang w:bidi="ar-SA"/>
        </w:rPr>
        <w:t>)</w:t>
      </w:r>
      <w:r>
        <w:rPr>
          <w:rStyle w:val="FootnoteAnchor"/>
          <w:rtl w:val="true"/>
        </w:rPr>
        <w:footnoteReference w:id="14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أحكام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الشاة في الصادق منه ثلاثاً، وعدم وجوب شيء فيما دونها،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والجدال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واعلم أنّ الرّجل إذا حلف بثلاثة أيمان ولاءً في مقام واحد، وهو مُحرِم، فقد جادل، فعليه دم شاة يهريقه ويتصدّق به، وإذا حلف يميناً واحدة كاذبة، فقد جادل، وعليه دم يهريقه ويتصدّق به</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غيره من النصوص الكثيرة</w:t>
      </w:r>
      <w:r>
        <w:rPr>
          <w:rStyle w:val="FootnoteAnchor"/>
          <w:rtl w:val="true"/>
        </w:rPr>
        <w:footnoteReference w:id="1438"/>
      </w:r>
      <w:r>
        <w:rPr>
          <w:rFonts w:ascii="Amiri" w:hAnsi="Amiri" w:eastAsia="Amiri" w:cs="Amiri"/>
          <w:color w:val="111111"/>
          <w:sz w:val="28"/>
          <w:sz w:val="28"/>
          <w:szCs w:val="28"/>
          <w:rtl w:val="true"/>
          <w:lang w:bidi="ar-SA"/>
        </w:rPr>
        <w:t xml:space="preserve">، وما تضمّن من النصوص أنّ عليه دماً </w:t>
      </w:r>
    </w:p>
    <w:p>
      <w:pPr>
        <w:pStyle w:val="BookText"/>
        <w:rPr/>
      </w:pPr>
      <w:r>
        <w:rPr>
          <w:rFonts w:ascii="Amiri" w:hAnsi="Amiri" w:eastAsia="Amiri" w:cs="Amiri"/>
          <w:color w:val="111111"/>
          <w:sz w:val="28"/>
          <w:sz w:val="28"/>
          <w:szCs w:val="28"/>
          <w:rtl w:val="true"/>
          <w:lang w:bidi="ar-SA"/>
        </w:rPr>
        <w:t>يقيّد إطلاقه بما تقدّم، إنْ لم نقل بظهور الدّم في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الجدال شاة</w:t>
      </w:r>
      <w:r>
        <w:rPr>
          <w:rFonts w:eastAsia="Amiri" w:cs="Amiri" w:ascii="Amiri" w:hAnsi="Amiri"/>
          <w:color w:val="111111"/>
          <w:sz w:val="28"/>
          <w:szCs w:val="28"/>
          <w:rtl w:val="true"/>
          <w:lang w:bidi="ar-SA"/>
        </w:rPr>
        <w:t>»</w:t>
      </w:r>
      <w:r>
        <w:rPr>
          <w:rStyle w:val="FootnoteAnchor"/>
          <w:rtl w:val="true"/>
        </w:rPr>
        <w:footnoteReference w:id="1439"/>
      </w:r>
      <w:r>
        <w:rPr>
          <w:rFonts w:ascii="Amiri" w:hAnsi="Amiri" w:eastAsia="Amiri" w:cs="Amiri"/>
          <w:color w:val="111111"/>
          <w:sz w:val="28"/>
          <w:sz w:val="28"/>
          <w:szCs w:val="28"/>
          <w:rtl w:val="true"/>
          <w:lang w:bidi="ar-SA"/>
        </w:rPr>
        <w:t>فهو أيضاً دالٌّ على ذلك، لما تقدّم في مبحث تروك الإحرام أنّ الجدال لا يتحقّق إلّا باليمين صادقة ثلاث مرّات، أو كاذبة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يونس بن يعقوب،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 وهو صادقٌ عليه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إمّا ظاهرٌ في القول مرّة واحدة، أو محمولٌ على ما دون الثلاث، بقرينة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في الكاذب منه مرّة دمُ شاةٍ‌، جملةٌ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الرّجل ثلاثة أيمان وهو صادق وهو مُحرِم، فعليه دم يهريقة، وإذا حلف يمينا واحدة كاذبة، فقد جادل فعليه دم يهريقة</w:t>
      </w:r>
      <w:r>
        <w:rPr>
          <w:rFonts w:eastAsia="Amiri" w:cs="Amiri" w:ascii="Amiri" w:hAnsi="Amiri"/>
          <w:color w:val="111111"/>
          <w:sz w:val="28"/>
          <w:szCs w:val="28"/>
          <w:rtl w:val="true"/>
          <w:lang w:bidi="ar-SA"/>
        </w:rPr>
        <w:t>»</w:t>
      </w:r>
      <w:r>
        <w:rPr>
          <w:rStyle w:val="FootnoteAnchor"/>
          <w:rtl w:val="true"/>
        </w:rPr>
        <w:footnoteReference w:id="1441"/>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في شيء من هذه النصوص التصريح بدم الشاة، إلّاأنّ ما يمكن قوله هو تسالم الأصحاب عليه، ووحدة السياق، إذ لا ريب في أنّ الدّم في ثلاثة أيمان وهو صادق هو الشاة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الكفّارات إذا أطلق يراد به الشاة، تكفي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البناء على إرادة الشاة من الدّم المطلق، وبها يقيّد حينئذٍ إطلاق خبره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جادل الرّجل، وهو مُحرِم، فكذب متعمّداً، فعليه جزور</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ويختصّ بما إذا 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في الكاذب منه مرّتين بقرة، فقد استدلّ له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443"/>
      </w:r>
      <w:r>
        <w:rPr>
          <w:rFonts w:ascii="Amiri" w:hAnsi="Amiri" w:eastAsia="Amiri" w:cs="Amiri"/>
          <w:color w:val="111111"/>
          <w:sz w:val="28"/>
          <w:sz w:val="28"/>
          <w:szCs w:val="28"/>
          <w:rtl w:val="true"/>
          <w:lang w:bidi="ar-SA"/>
        </w:rPr>
        <w:t>بصحيح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الجدال في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على مرّتين فقد وقع عليه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يجادل وهو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والكاذب عليه بقرة</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في المضمون صحيح الحلبي ومحمّد</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النصوص تدلّ على ثبوت البقرة في ما فوق مرّتين، وقد استدلّ بها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4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ثبوت البقرة في الثلاث،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حسن إن وجد القائل به، وإلّا فيجب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 بخبر إبراهيم بن عبدالحميد، عن أبي الحسن موسى عليه السلام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جادل في الحَجّ‌، فعليه إطعام ستّة مساكين، لكلّ مسكينٍ نصف صاع إنْ كان صادقاً أو كاذباً، فإنْ عاد مرّتين، فعلى الصادق شاة، وعلى الكاذب بقرة، لأنّ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انجبار ضعفه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استناد الأصحاب إليه غير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وأغمض عن عدم عمل الأصحاب بصدره، أنّه أيضاً فيما فوق مرّتين، فإنّ العود هو الوجود الثاني، فالعود مرّتين يسلتزم وجود الثالث، وهو مضافاً إلى ظهوره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الصادق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الرضوي المصرّح بذلك، فحيث لم يثبت لنا كونه رواية، فلا يستند إليه، وعليه فلم يبق إلّاتسالم الأصحاب وإجماعهم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 البدنة لو جادل ثلاثاً وهو كاذب، فيشهد به خبر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وصفه المصنّف رحمه الله</w:t>
      </w:r>
      <w:r>
        <w:rPr>
          <w:rStyle w:val="FootnoteAnchor"/>
          <w:rtl w:val="true"/>
        </w:rPr>
        <w:footnoteReference w:id="1450"/>
      </w:r>
      <w:r>
        <w:rPr>
          <w:rFonts w:ascii="Amiri" w:hAnsi="Amiri" w:eastAsia="Amiri" w:cs="Amiri"/>
          <w:color w:val="111111"/>
          <w:sz w:val="28"/>
          <w:sz w:val="28"/>
          <w:szCs w:val="28"/>
          <w:rtl w:val="true"/>
          <w:lang w:bidi="ar-SA"/>
        </w:rPr>
        <w:t xml:space="preserve">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جادل الرّجل وهو مُحرِمٌ فكذب متعمّداً فعليه جزور</w:t>
      </w:r>
      <w:r>
        <w:rPr>
          <w:rFonts w:eastAsia="Amiri" w:cs="Amiri" w:ascii="Amiri" w:hAnsi="Amiri"/>
          <w:color w:val="111111"/>
          <w:sz w:val="28"/>
          <w:szCs w:val="28"/>
          <w:rtl w:val="true"/>
          <w:lang w:bidi="ar-SA"/>
        </w:rPr>
        <w:t>»</w:t>
      </w:r>
      <w:r>
        <w:rPr>
          <w:rStyle w:val="FootnoteAnchor"/>
          <w:rtl w:val="true"/>
        </w:rPr>
        <w:footnoteReference w:id="1451"/>
      </w:r>
      <w:r>
        <w:rPr>
          <w:rFonts w:ascii="Amiri" w:hAnsi="Amiri" w:eastAsia="Amiri" w:cs="Amiri"/>
          <w:color w:val="111111"/>
          <w:sz w:val="28"/>
          <w:sz w:val="28"/>
          <w:szCs w:val="28"/>
          <w:rtl w:val="true"/>
          <w:lang w:bidi="ar-SA"/>
        </w:rPr>
        <w:t>بناءً على إرادة البدنة من الجزور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جملةٍ من النصوص، عدم اعتبار التوالي والتتابع في مقام واحد، كما هو المشهور بين الأصحاب، بل قيل</w:t>
      </w:r>
      <w:r>
        <w:rPr>
          <w:rStyle w:val="FootnoteAnchor"/>
          <w:rtl w:val="true"/>
        </w:rPr>
        <w:footnoteReference w:id="1452"/>
      </w:r>
      <w:r>
        <w:rPr>
          <w:rFonts w:ascii="Amiri" w:hAnsi="Amiri" w:eastAsia="Amiri" w:cs="Amiri"/>
          <w:color w:val="111111"/>
          <w:sz w:val="28"/>
          <w:sz w:val="28"/>
          <w:szCs w:val="28"/>
          <w:rtl w:val="true"/>
          <w:lang w:bidi="ar-SA"/>
        </w:rPr>
        <w:t>لا خلاف فيه بين الأصحاب، إلّاأنّ صحيح معاوية وموثّق أبي بصير بمفهوم الشرط يدلّان على اعتباره، ومقتضى حمل المطلق على المقيّد الالتزام بذلك، كما عن العُمّاني</w:t>
      </w:r>
      <w:r>
        <w:rPr>
          <w:rStyle w:val="FootnoteAnchor"/>
          <w:rtl w:val="true"/>
        </w:rPr>
        <w:footnoteReference w:id="14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4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455"/>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انعقاد الإجماع على خلافه، فالنصوص المقيّدة لا قائل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استنفاذ الحق أو دفع الدعوى الباطلة على الجدال، أو كان اليمين في طاعة اللّه وإكرام الأخ المؤمن، كان ذلك جائزاً كما مرّ في مبحث تروك الإحرام، ولا كفّارة فيه، لصحيح أبي بصير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يريد أن يعمل العمل، فيقول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تعمله،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لأعملنّه، فيحالفه مراراً، يلزمه ما يلزم الجدال‌؟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أراد بهذا إكرام أخيه، إنّما كان ذلك ما كان للّه عزّ وجلّ فيه معصية</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في ذلك المبحث تقريب دلالته على الجواز في الموارد المذكورة، ودلالته على نفي الكفّارة فيها حينئذٍ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الشيخين</w:t>
      </w:r>
      <w:r>
        <w:rPr>
          <w:rStyle w:val="FootnoteAnchor"/>
          <w:rtl w:val="true"/>
        </w:rPr>
        <w:footnoteReference w:id="1459"/>
      </w:r>
      <w:r>
        <w:rPr>
          <w:rFonts w:ascii="Amiri" w:hAnsi="Amiri" w:eastAsia="Amiri" w:cs="Amiri"/>
          <w:color w:val="111111"/>
          <w:sz w:val="28"/>
          <w:sz w:val="28"/>
          <w:szCs w:val="28"/>
          <w:rtl w:val="true"/>
          <w:lang w:bidi="ar-SA"/>
        </w:rPr>
        <w:t>وجماعة</w:t>
      </w:r>
      <w:r>
        <w:rPr>
          <w:rStyle w:val="FootnoteAnchor"/>
          <w:rtl w:val="true"/>
        </w:rPr>
        <w:footnoteReference w:id="1460"/>
      </w:r>
      <w:r>
        <w:rPr>
          <w:rFonts w:ascii="Amiri" w:hAnsi="Amiri" w:eastAsia="Amiri" w:cs="Amiri"/>
          <w:color w:val="111111"/>
          <w:sz w:val="28"/>
          <w:sz w:val="28"/>
          <w:szCs w:val="28"/>
          <w:rtl w:val="true"/>
          <w:lang w:bidi="ar-SA"/>
        </w:rPr>
        <w:t>أنّه يجب التوبة والإستغفار في المرّة والمرّتين مع الصدق، واستدلّ له بصدق الجدال المنهيّ عنه كتاباً وسُنّةً‌، فلابدّ فيه من الاستغفار والتوبة، وقد تقدّم في مبحث تروك الإحرام أنّه لا يصدق الجدال على الحلف مرّة أو مرّتين مع الصدق،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الجدال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يذكروا له كفّارة،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461"/>
      </w:r>
      <w:r>
        <w:rPr>
          <w:rFonts w:ascii="Amiri" w:hAnsi="Amiri" w:eastAsia="Amiri" w:cs="Amiri"/>
          <w:color w:val="111111"/>
          <w:sz w:val="28"/>
          <w:sz w:val="28"/>
          <w:szCs w:val="28"/>
          <w:rtl w:val="true"/>
          <w:lang w:bidi="ar-SA"/>
        </w:rPr>
        <w:t>التصريح بأنّه لا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وهو المنسوب إلى ظاهر الأصحاب</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فيه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أنّه لا شيء فيه، كصحيح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ابتلى بالفسوق ما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له حَدّاً، يستغفر اللّه ويُلبّي</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يجب فيه بقرة، كصحيح سليمان بن خالد، عن مولاناالصادق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السباب والفسوق بقرة، والرفث فساد الحَجّ‌</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وجوب البقرة في الفسوق، ويؤيّده صحيح علي بن جعفر، عن أخيه موسى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الفسوق يتصدّق به إذا فعله وهو مُحرِم</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في مقام الجمع بين الطائفتين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المحدِّث الكاشاني رحمه الله</w:t>
      </w:r>
      <w:r>
        <w:rPr>
          <w:rStyle w:val="FootnoteAnchor"/>
          <w:rtl w:val="true"/>
        </w:rPr>
        <w:footnoteReference w:id="1466"/>
      </w:r>
      <w:r>
        <w:rPr>
          <w:rFonts w:ascii="Amiri" w:hAnsi="Amiri" w:eastAsia="Amiri" w:cs="Amiri"/>
          <w:color w:val="111111"/>
          <w:sz w:val="28"/>
          <w:sz w:val="28"/>
          <w:szCs w:val="28"/>
          <w:rtl w:val="true"/>
          <w:lang w:bidi="ar-SA"/>
        </w:rPr>
        <w:t>، من حمل الأولى على ما إذا لم يتضمّن الكذب يميناً، والثانية على تكرّر ذلك منه مرّتين مع اليمين، فهو يحمل الثانية على إرادة بيان حكم الجدال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تبرّعي لا شاهد له، مع أنّ اليمين غير معتبرة في معنى الفسوق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467"/>
      </w:r>
      <w:r>
        <w:rPr>
          <w:rFonts w:ascii="Amiri" w:hAnsi="Amiri" w:eastAsia="Amiri" w:cs="Amiri"/>
          <w:color w:val="111111"/>
          <w:sz w:val="28"/>
          <w:sz w:val="28"/>
          <w:szCs w:val="28"/>
          <w:rtl w:val="true"/>
          <w:lang w:bidi="ar-SA"/>
        </w:rPr>
        <w:t>، من حمل الأُولى على غير المتعمّد، لما مرّ من عدم وجوب الكفّارة على غير العامد في غير الصيد، والثانية على المتعمّد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جمعٌ لا شاهد له، يشهد بخلافه أنّ ظاهر الأُولى صورة التعمّد للأمر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الأُولى على الفسوق بمعنى الكذب خاصّة، والثانية على ما إذا انضمّ إلى الكذب السِّباب، على ما هو موردها،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468"/>
      </w:r>
      <w:r>
        <w:rPr>
          <w:rFonts w:ascii="Amiri" w:hAnsi="Amiri" w:eastAsia="Amiri" w:cs="Amiri"/>
          <w:color w:val="111111"/>
          <w:sz w:val="28"/>
          <w:sz w:val="28"/>
          <w:szCs w:val="28"/>
          <w:rtl w:val="true"/>
          <w:lang w:bidi="ar-SA"/>
        </w:rPr>
        <w:t>، ولكن قد مرّ أنّ الفسوق أعمّ من الكذب والسّباب والمفاخرة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الجمع بين الطائفتين بحمل الثانية على الاستحباب،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7" w:name="pg11809_94678"/>
    </w:p>
    <w:p>
      <w:pPr>
        <w:pStyle w:val="BookText"/>
        <w:rPr/>
      </w:pPr>
      <w:bookmarkEnd w:id="257"/>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الدّهن الطيّب وقلع الضرس شاة،</w:t>
      </w:r>
    </w:p>
    <w:p>
      <w:pPr>
        <w:pStyle w:val="Heading3"/>
        <w:numPr>
          <w:ilvl w:val="2"/>
          <w:numId w:val="1"/>
        </w:numPr>
        <w:rPr/>
      </w:pPr>
      <w:bookmarkStart w:id="258" w:name="__RefHeading___Toc10723961_73709187"/>
      <w:bookmarkStart w:id="259" w:name="_Toc87"/>
      <w:bookmarkEnd w:id="258"/>
      <w:r>
        <w:rPr>
          <w:rtl w:val="true"/>
        </w:rPr>
        <w:t>حكم التدهين وقلع الضرس</w:t>
      </w:r>
      <w:bookmarkEnd w:id="25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التدهين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كما مرّ في كفّارة الطيب، فراجع</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 الضّرس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به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47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472"/>
      </w:r>
      <w:r>
        <w:rPr>
          <w:rFonts w:ascii="Amiri" w:hAnsi="Amiri" w:eastAsia="Amiri" w:cs="Amiri"/>
          <w:color w:val="111111"/>
          <w:sz w:val="28"/>
          <w:sz w:val="28"/>
          <w:szCs w:val="28"/>
          <w:rtl w:val="true"/>
          <w:lang w:bidi="ar-SA"/>
        </w:rPr>
        <w:t>والقاضي</w:t>
      </w:r>
      <w:r>
        <w:rPr>
          <w:rStyle w:val="FootnoteAnchor"/>
          <w:rtl w:val="true"/>
        </w:rPr>
        <w:footnoteReference w:id="14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474"/>
      </w:r>
      <w:r>
        <w:rPr>
          <w:rFonts w:ascii="Amiri" w:hAnsi="Amiri" w:eastAsia="Amiri" w:cs="Amiri"/>
          <w:color w:val="111111"/>
          <w:sz w:val="28"/>
          <w:sz w:val="28"/>
          <w:szCs w:val="28"/>
          <w:rtl w:val="true"/>
          <w:lang w:bidi="ar-SA"/>
        </w:rPr>
        <w:t>، والحلبي</w:t>
      </w:r>
      <w:r>
        <w:rPr>
          <w:rStyle w:val="FootnoteAnchor"/>
          <w:rtl w:val="true"/>
        </w:rPr>
        <w:footnoteReference w:id="147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لكن الأخير</w:t>
      </w:r>
      <w:r>
        <w:rPr>
          <w:rStyle w:val="FootnoteAnchor"/>
          <w:rtl w:val="true"/>
        </w:rPr>
        <w:footnoteReference w:id="1476"/>
      </w:r>
      <w:r>
        <w:rPr>
          <w:rFonts w:ascii="Amiri" w:hAnsi="Amiri" w:eastAsia="Amiri" w:cs="Amiri"/>
          <w:color w:val="111111"/>
          <w:sz w:val="28"/>
          <w:sz w:val="28"/>
          <w:szCs w:val="28"/>
          <w:rtl w:val="true"/>
          <w:lang w:bidi="ar-SA"/>
        </w:rPr>
        <w:t xml:space="preserve">خصّه بالمختار،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بمرسلةٍ مضمرةٍ مكاتبة</w:t>
      </w:r>
      <w:r>
        <w:rPr>
          <w:rStyle w:val="FootnoteAnchor"/>
          <w:rtl w:val="true"/>
        </w:rPr>
        <w:footnoteReference w:id="1478"/>
      </w:r>
      <w:r>
        <w:rPr>
          <w:rFonts w:ascii="Amiri" w:hAnsi="Amiri" w:eastAsia="Amiri" w:cs="Amiri"/>
          <w:color w:val="111111"/>
          <w:sz w:val="28"/>
          <w:sz w:val="28"/>
          <w:szCs w:val="28"/>
          <w:rtl w:val="true"/>
          <w:lang w:bidi="ar-SA"/>
        </w:rPr>
        <w:t>، وهي لضعف سندها، وعدم انجباره بالعمل، لعدم كفاية عمل من عرفت في الانجبار، تُحمل على الاستحباب</w:t>
      </w:r>
      <w:r>
        <w:rPr>
          <w:rFonts w:eastAsia="Amiri" w:cs="Amiri" w:ascii="Amiri" w:hAnsi="Amiri"/>
          <w:color w:val="111111"/>
          <w:sz w:val="28"/>
          <w:szCs w:val="28"/>
          <w:rtl w:val="true"/>
          <w:lang w:bidi="ar-SA"/>
        </w:rPr>
        <w:t>.</w:t>
      </w:r>
      <w:bookmarkStart w:id="260" w:name="pg11809_94679"/>
    </w:p>
    <w:p>
      <w:pPr>
        <w:pStyle w:val="BookText"/>
        <w:rPr/>
      </w:pPr>
      <w:bookmarkEnd w:id="260"/>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0723963_73709187"/>
      <w:bookmarkStart w:id="262" w:name="_Toc88"/>
      <w:bookmarkEnd w:id="261"/>
      <w:r>
        <w:rPr>
          <w:rtl w:val="true"/>
        </w:rPr>
        <w:t>كفّارة قطع الشجرة</w:t>
      </w:r>
      <w:bookmarkEnd w:id="26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قلع شَجرة الحرم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فالمشهور</w:t>
      </w:r>
      <w:r>
        <w:rPr>
          <w:rStyle w:val="FootnoteAnchor"/>
          <w:rtl w:val="true"/>
        </w:rPr>
        <w:footnoteReference w:id="1479"/>
      </w:r>
      <w:r>
        <w:rPr>
          <w:rFonts w:ascii="Amiri" w:hAnsi="Amiri" w:eastAsia="Amiri" w:cs="Amiri"/>
          <w:color w:val="111111"/>
          <w:sz w:val="28"/>
          <w:sz w:val="28"/>
          <w:szCs w:val="28"/>
          <w:rtl w:val="true"/>
          <w:lang w:bidi="ar-SA"/>
        </w:rPr>
        <w:t>بين الأصحاب ثبوت الكفّارة فيه، بل الظاهر عدم الخلاف فيه، هكذا قيل</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صرّح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481"/>
      </w:r>
      <w:r>
        <w:rPr>
          <w:rFonts w:ascii="Amiri" w:hAnsi="Amiri" w:eastAsia="Amiri" w:cs="Amiri"/>
          <w:color w:val="111111"/>
          <w:sz w:val="28"/>
          <w:sz w:val="28"/>
          <w:szCs w:val="28"/>
          <w:rtl w:val="true"/>
          <w:lang w:bidi="ar-SA"/>
        </w:rPr>
        <w:t xml:space="preserve">بعدم الكفّارة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دليل الوجوب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في ذلك توقّف، والرواية منقطعة السند، والأصل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482"/>
      </w:r>
      <w:r>
        <w:rPr>
          <w:rFonts w:ascii="Amiri" w:hAnsi="Amiri" w:eastAsia="Amiri" w:cs="Amiri"/>
          <w:color w:val="111111"/>
          <w:sz w:val="28"/>
          <w:sz w:val="28"/>
          <w:szCs w:val="28"/>
          <w:rtl w:val="true"/>
          <w:lang w:bidi="ar-SA"/>
        </w:rPr>
        <w:t>توقّفه في الحكم، حيث اكتفى فيها بذكر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ظاهر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483"/>
      </w:r>
      <w:r>
        <w:rPr>
          <w:rFonts w:ascii="IRNazanin" w:hAnsi="IRNazanin" w:eastAsia="IRNazanin"/>
          <w:color w:val="111111"/>
          <w:sz w:val="28"/>
          <w:sz w:val="28"/>
          <w:szCs w:val="28"/>
          <w:rtl w:val="true"/>
          <w:lang w:bidi="fa-IR"/>
        </w:rPr>
        <w:t>عدم ثبوتها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فإنّه يشهد لثبوتها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عن أحدهما عليهما السلام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الشّجرة الكبيرة بقرة، وفي الصغيرة شاة، وفي أبعاضها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دار الرّجل شجرة الحرم لم تُنزع، فإنْ أراد نزعها كفّر بذبح بقرة، يتصدّق بلحمها على المساكين</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وضعفه منجبرٌ بالعمل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منصور بن حازم،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الأراك يكون في الحرم فاقطعه‌؟ قال عليه السلام عليك فداؤه</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سليمان بن خالد،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يقطع من الأراك الذي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ثمنه يتصدّق به</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الصحيح يبيّن المراد من الفداء في سابقه</w:t>
      </w:r>
      <w:r>
        <w:rPr>
          <w:rStyle w:val="FootnoteAnchor"/>
          <w:rtl w:val="true"/>
        </w:rPr>
        <w:footnoteReference w:id="1487"/>
      </w:r>
      <w:r>
        <w:rPr>
          <w:rFonts w:ascii="Amiri" w:hAnsi="Amiri" w:eastAsia="Amiri" w:cs="Amiri"/>
          <w:color w:val="111111"/>
          <w:sz w:val="28"/>
          <w:sz w:val="28"/>
          <w:szCs w:val="28"/>
          <w:rtl w:val="true"/>
          <w:lang w:bidi="ar-SA"/>
        </w:rPr>
        <w:t>، إلّاأنّ الأوّل في قطع الأراك نفسه، والثاني في القطع منه، الظاهر في قطع بعض أغصانه، وعلى أيّ حال فإنّ الفداء أعمّ‌، وقابلٌ للحمل على إرادة الثمن، فلا ينبغي التوقّف في ثبوت الكفّارة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فيما يكفّر به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فالمشهور بين الأصحاب</w:t>
      </w:r>
      <w:r>
        <w:rPr>
          <w:rStyle w:val="FootnoteAnchor"/>
          <w:rtl w:val="true"/>
        </w:rPr>
        <w:footnoteReference w:id="1488"/>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الشجرة الكبيرة بقرة، وفي الصغيرة شاة، وفي أبعاضها قيمتها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القاضي</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490"/>
      </w:r>
      <w:r>
        <w:rPr>
          <w:rFonts w:ascii="Amiri" w:hAnsi="Amiri" w:eastAsia="Amiri" w:cs="Amiri"/>
          <w:color w:val="111111"/>
          <w:sz w:val="28"/>
          <w:sz w:val="28"/>
          <w:szCs w:val="28"/>
          <w:rtl w:val="true"/>
          <w:lang w:bidi="ar-SA"/>
        </w:rPr>
        <w:t>والمصنّف</w:t>
      </w:r>
      <w:r>
        <w:rPr>
          <w:rStyle w:val="FootnoteAnchor"/>
          <w:rtl w:val="true"/>
        </w:rPr>
        <w:footnoteReference w:id="1491"/>
      </w:r>
      <w:r>
        <w:rPr>
          <w:rFonts w:ascii="Amiri" w:hAnsi="Amiri" w:eastAsia="Amiri" w:cs="Amiri"/>
          <w:color w:val="111111"/>
          <w:sz w:val="28"/>
          <w:sz w:val="28"/>
          <w:szCs w:val="28"/>
          <w:rtl w:val="true"/>
          <w:lang w:bidi="ar-SA"/>
        </w:rPr>
        <w:t xml:space="preserve">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القيمة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الحلبيّين</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تيسّر من القيمة في قطع الأبعاض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لثبوت القيمة في قطع الأبعاض صحيح سليمان، بل صحيح منصور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ولثبوت البقرة في قطع الشجرة الكبيرة خبر موسى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 الشاة في قلع الصغيرة، فلم يرد به رواية معتبرة، ولا غير معتبرة، فإنّه المنقول عن ابن العبّاس</w:t>
      </w:r>
      <w:r>
        <w:rPr>
          <w:rStyle w:val="FootnoteAnchor"/>
          <w:rtl w:val="true"/>
        </w:rPr>
        <w:footnoteReference w:id="1493"/>
      </w:r>
      <w:r>
        <w:rPr>
          <w:rFonts w:ascii="Amiri" w:hAnsi="Amiri" w:eastAsia="Amiri" w:cs="Amiri"/>
          <w:color w:val="111111"/>
          <w:sz w:val="28"/>
          <w:sz w:val="28"/>
          <w:szCs w:val="28"/>
          <w:rtl w:val="true"/>
          <w:lang w:bidi="ar-SA"/>
        </w:rPr>
        <w:t>من طريقٍ لم يثبت كونه رواية أو 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فالشهرة الفتوائيّة التي كادت تبلغ الإجماع في مثل ذلك في مقابل النصوص، توجبُ القطع بالحكم، أو بورود رواية معتبرة واصلة إلى قدماء الأصحاب لم تصل إلينا، فلا ينبغي التوقّف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المرجع في حَدّ الكبيرة والصغيرة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غير ما ذكر من تروك الإحرام، للأصل، وعدم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ضعيف لا يُعتمد عليه، ومن الغريب أنّ الفاضل النراقي</w:t>
      </w:r>
      <w:r>
        <w:rPr>
          <w:rStyle w:val="FootnoteAnchor"/>
          <w:rtl w:val="true"/>
        </w:rPr>
        <w:footnoteReference w:id="1494"/>
      </w:r>
      <w:r>
        <w:rPr>
          <w:rFonts w:ascii="Amiri" w:hAnsi="Amiri" w:eastAsia="Amiri" w:cs="Amiri"/>
          <w:color w:val="111111"/>
          <w:sz w:val="28"/>
          <w:sz w:val="28"/>
          <w:szCs w:val="28"/>
          <w:rtl w:val="true"/>
          <w:lang w:bidi="ar-SA"/>
        </w:rPr>
        <w:t>قد استدلّ به في جملةٍ من المسائل السابقة، مدّعياً أنّ ضعف سنده منجبرٌ بالعمل، ولكن في المقام يعترف بأنّه ضعيف غير منجبر بالعمل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63" w:name="pg11809_94682"/>
    </w:p>
    <w:p>
      <w:pPr>
        <w:pStyle w:val="BookText"/>
        <w:rPr/>
      </w:pPr>
      <w:bookmarkEnd w:id="263"/>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0723965_73709187"/>
      <w:bookmarkStart w:id="265" w:name="_Toc89"/>
      <w:bookmarkEnd w:id="264"/>
      <w:r>
        <w:rPr>
          <w:rtl w:val="true"/>
        </w:rPr>
        <w:t>حكم تعدّد اسباب التكفير</w:t>
      </w:r>
      <w:bookmarkEnd w:id="26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تعدّدت أسباب التكفير المختلفة، كما لو صاد، وجامع، ولبس المخيط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فالمشهور</w:t>
      </w:r>
      <w:r>
        <w:rPr>
          <w:rStyle w:val="FootnoteAnchor"/>
          <w:rtl w:val="true"/>
        </w:rPr>
        <w:footnoteReference w:id="1495"/>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عن كلّ واحدٍ كفّارة، سواءٌ فعل ذلك في وقتٍ واحد أو في وقتين، وسواءٌ كفّر عن الأوّل أو لم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مقطوع به في كلام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موضع 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واحدٍ من تلك الاُمور سببٌ مستقلٌّ لوجوب الكفّارة، والحقيقة باقية عند الاجتماع، فيجب وجود الأثر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4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خفاء في تعدّد الكفّارة مع تخلّل التكفير، أمّا بدونه ففيه 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501"/>
      </w:r>
      <w:r>
        <w:rPr>
          <w:rFonts w:ascii="Amiri" w:hAnsi="Amiri" w:eastAsia="Amiri" w:cs="Amiri"/>
          <w:color w:val="111111"/>
          <w:sz w:val="28"/>
          <w:sz w:val="28"/>
          <w:szCs w:val="28"/>
          <w:rtl w:val="true"/>
          <w:lang w:bidi="ar-SA"/>
        </w:rPr>
        <w:t>التردّد مع عدم سبق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التعدّد مع تخلّل التكفير لإطلاق الأدلّة، وكذا لا ريب في التعدّد مع اختلاف المسبّبات كالبقرة والصوم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فيما إذا اتّحدت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تخلّل التكفير، فالأظهر عدم التعدّد، وذلك لأنّه إذا دلّ دليلٌ على سببيّة شيء لحكمٍ كالصيد لوجوب الكفّارة، ودلّ دليلٌ آخر على سببيّة شيء آخر كالجماع له، فصاد المُحرِم وجامع من غير أن يتخلّل بينهما التكفير، تكون المحتملات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بحدوث الأثر عند وجود كلّ سببٍ‌، إلّاأنّه هو الحكم عند السبب الأوّل، وتأكّده عند تحقّق السبب الثاني، فيكون المتحقّق عند تحقّق الصيد وجوب الكفّارة، وعند الجماع بعده تأكّد ذلك الوجوب، فتكون النتيجة مع التداخل، وإنْ لم يكن ذلك تداخلاً اصطلاحيّاً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إطلاق المادّة في كلّ من القضيّتين بفردٍ غير الفرد الذي اُريد من المادّة الواقعة في حيّز الخطاب الآخر، فتكون النتيجة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بعدم دلالة شيء منهما على الحدوث عند الحدوث، بل على مجرّد الثبوت، فتكون النتيجة التداخل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بان متعلّق الحكم وإنْ كان واحداً صورةً‌، إلّاأنّها حقائق متعدّدة متصادقة علي واحد، فتكون النتيجة عدم التداخل من حيث الأسباب، والتداخل من حيث المسبّبات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من هذه المحتملات هو الأوّل، لأنّه لا يستلزم منه التصرّف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شيء من الظهورات، إذ غاية ما توهم هو استلزام ذلك للتصرّف في ظهور الحكم في كونه تأسيسيّاً، وهو توهم فاسد، فإنّ ذلك لا يستلزم كون شيء من القضيّتين في غير مقام إنشاء الطلب وجعل الحكم،</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المجعول في كلٍّ منهما إنْ حدث في محلّ فارغ عن مثله يكون تأسيسيّاً، وإنْ حدث في محلّ مشغولٍ بمثله فهو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المحتملات الاُخر، فكلها تتوقّف على رفع اليد عن الظهورات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يتوقّف على تقيّيد إطلاق المادّة في كلّ من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يتوقّف على رفع اليد عن ظهور القضيّتين في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والالتزام بكون كلّ منهما في مقام الإخبار وإلّا لم يتمّ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مستلزمٌ للتصرّف في المادّة بإرادة حقيقة خاصّة منطبقة عليها لا هي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فيتعيّن الالتزام بالأوّل، فتكون النتيجة هو التداخل من حيث الأسباب، لكن التداخل غير المصطلح، وهو الالتزام بوجوب أكيد عند تحقّق السببين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عمّا ذكرناه، وسلّمنا توقّف ما اخترناه على رفع اليد عن ظهور الحكم في كونه تأسيسيّاً، ودار الأمر بين التصرّف في أحد تلك الظهورات المشار إليها،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الخراساني</w:t>
      </w:r>
      <w:r>
        <w:rPr>
          <w:rStyle w:val="FootnoteAnchor"/>
          <w:rtl w:val="true"/>
        </w:rPr>
        <w:footnoteReference w:id="1502"/>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النائيني</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يتعيّن الالتزام بالثاني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واستند الأوّل منهما إلى أنّ ظهور الجملتين في عدم تعدّد الفرد ووحدة المتعلّق،ا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يكون بالإطلاق، وهو يتوقّف على عدم البيان، وظهور الجملة في كون ما تضمّنته سبباً أو كاشفاً عن السبب المقتضي لتعدّد الفرد، يصلح بياناً لما هو المراد من الإطلاق، ومعه لا ينعقد ذلك الإطلاق، فلا يلزم على ذلك تصرّفٌ في ظهور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ذلك، فإنّما هو بالنسبة إلى ظهور الحكم في التأسيس، ولا يكفي ظهور الجملة في الحدوث عند الحدوث وحده، لذلك فإنّه يلائم مع الالتزام بالتأكّد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فاثبات ذلك يتوقّف على إثبات أنّ ظهور الحكم في التأسيس، كظهور الجملة في الحدوث عند الحدوث بالوضع لا بالإطلاق، وإلّا وقع التعارض بين الإطلاقين فيتساقطان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كون ذلك بالوضع، لكان ذلك موجباً لتقييد الإطلاق لا عدم انعقاده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المحقّق النائيني رحمه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تعلّق الطلب بشيءٍ لا يقتضي كون المتعلّق صرف وجود الطبيعة وأوّل الوجودات، بل إنّ ذلك إنّما يكون من جهة حكم العقل بالإكتفاء بوجود واحد عند تعلّق طلب واحد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أنّ المستفاد من القضيّتين تعدّد الحكم، لظهور كلّ منهما في أنّ ما تضمّنته من السبب سببٌ مستقلّ لترتّب الحكم، سبقه الآخر أو قارنه أم لا، فظهور الجملتين في تعدّد الطلب يكون رافعاً لحكم العقل بالاكتفاء بوجودٍ واحد، لارتفاع موضوعه، وهو الطلب الواحد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المتعلّقة للطلب لابدّ وأن تلاحظ على نهج الوحدة أو التعدّد، لعدم تعقّل تعلّق الحكم بالمهمل، وعليه فالاكتفاء بالواحد إنّما يكون بمقتضى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تتكرّر الكفّارة بتكرّر الوطئ</w:t>
      </w:r>
    </w:p>
    <w:p>
      <w:pPr>
        <w:pStyle w:val="BookText"/>
        <w:rPr/>
      </w:pPr>
      <w:r>
        <w:rPr>
          <w:rFonts w:ascii="Amiri" w:hAnsi="Amiri" w:eastAsia="Amiri" w:cs="Amiri"/>
          <w:color w:val="111111"/>
          <w:sz w:val="28"/>
          <w:sz w:val="28"/>
          <w:szCs w:val="28"/>
          <w:rtl w:val="true"/>
          <w:lang w:bidi="ar-SA"/>
        </w:rPr>
        <w:t>فالمتحصّل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الأوّلي في جميع الموارد هو ما أفاده المصنّف رحمه الله، من أنّه في صورة تكرّر السبب قبل وجود الجزاء، يُبنى على التداخل، ففي المقام يبنى على عدم وجوب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اختلاف الأسباب جنساً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تعدّد أفراد الجنس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جامع مرّات، أو لبس كذلك، فقد تقدّم في كفّارة الصيد أنّها تتكرّر بتكرّره خطأً، ولا تتكرّر بتكرّره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كلام في التكرّر مع تخلّل التكفير لما تقدّم، أو كون السبب الواحد المتكرّر إتلافاً متضمّناً للمثل أو القيمة، فإنّ امتثال الأمر بالمثل أو القيمة لا يحصل إلّا بالإتيان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ذلك،، فمقتضى الأصل الذي أسّسناه عدم التكرّر، إلّاما خرج بالدليل، وقد ذكر لذلك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المتن</w:t>
      </w:r>
      <w:r>
        <w:rPr>
          <w:rStyle w:val="FootnoteAnchor"/>
          <w:rtl w:val="true"/>
        </w:rPr>
        <w:footnoteReference w:id="150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تتكرّر الكفّارة بتكرّر الوطئ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50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بين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انفردت به الإماميّة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استدلّ به على أنّ الأصل عدم التداخل الذي عرفت مافيه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المنقول</w:t>
      </w:r>
      <w:r>
        <w:rPr>
          <w:rStyle w:val="FootnoteAnchor"/>
          <w:rtl w:val="true"/>
        </w:rPr>
        <w:footnoteReference w:id="1508"/>
      </w:r>
      <w:r>
        <w:rPr>
          <w:rFonts w:ascii="Amiri" w:hAnsi="Amiri" w:eastAsia="Amiri" w:cs="Amiri"/>
          <w:color w:val="111111"/>
          <w:sz w:val="28"/>
          <w:sz w:val="28"/>
          <w:szCs w:val="28"/>
          <w:rtl w:val="true"/>
          <w:lang w:bidi="ar-SA"/>
        </w:rPr>
        <w:t>، والشهرة العظيمة المحقّقة، وعموم نصّ الكفّارة</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الإجماع المنقول ليس بحجّة، مع معلوميّة المدرك، ولا أقلّ من المحتمل، وكذا الشهرة، وعموم النص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التكرّر الا مع تخلّل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على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نصّ الكفّارة إمّا يختصّ بالجماع الأوّل، أو يشمل كلّ جماع، فعلى الأوّل لابدَّ من البناء على عدم الكفّارة حتّى مع تخلّل التكفير، وعلى الثاني لابدّ من البناء على التعدّد حتّى مع عدم التخلّل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النّص للأفراد اللّاحقة غير قابل للإنكار، لكن قد عرفت أنّه مع عدم تخلّل التكفير، فإنّ نتيجة الحكمين هي حكمٌ واحد مؤكد، بخلاف ما لو تخلّل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يظهر أنّ ما أفاده المصنّف</w:t>
      </w:r>
      <w:r>
        <w:rPr>
          <w:rStyle w:val="FootnoteAnchor"/>
          <w:rtl w:val="true"/>
        </w:rPr>
        <w:footnoteReference w:id="1511"/>
      </w:r>
      <w:r>
        <w:rPr>
          <w:rFonts w:ascii="Amiri" w:hAnsi="Amiri" w:eastAsia="Amiri" w:cs="Amiri"/>
          <w:color w:val="111111"/>
          <w:sz w:val="28"/>
          <w:sz w:val="28"/>
          <w:szCs w:val="28"/>
          <w:rtl w:val="true"/>
          <w:lang w:bidi="ar-SA"/>
        </w:rPr>
        <w:t xml:space="preserve">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عدم التكرّر، بأنّ النصوص إنّما أفادت على المُجامع بدنةً وهو أعمّ من المجامع مرّة ومرّات، وأيّده بأنّها أفادت أنّ الجماع قبل الوقوف يوجبُ البدنة والإتمام والحَجّ من قابل، وبيّن أنّ الاُمور الثلاثة إنّما تترتّب على الجماع الأوّل، فالقول بترتّب البدنة خاصّة على كلّ جماعٍ دون الباقين تحكّمٌ‌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تامّ‌، لأنّ هذه النصوص كسائر أدلّة الأحكام من قبيل القضايا الحقيقيّة،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واللّبس مع إختلاف المجلس، والطيب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المتضمّنة لترتّب الحكم على كلّ فردٍ من الأفراد، فالموضوع هو كل فرد لا الطبيعة الصادقة على المرّة والمرّات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التأييد الذي ذكره، فيردّه أنّ الفرق بينهما أنّ الحكمين الأخيرين لا يقبلان التكرّر، بخلاف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ما ذكرناه، والمرجع في التكرّر على القول به، هو الصدق العرفي، وهو يصدق على تكرّر الإيلاج والنزع ولو في مجلسٍ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نصوص الكفّارة بما أنّها واردة في من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الغلبة في الجماع هو تكرّر الإيلاج، ومع ذلك حكم عليه السلام بأنّ عليه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دالّة بالدلالة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المقامي على أنّ الميزان ما هو المتعارف في الجماع، فلو كرّر الأمرين بإمرأة واحدة في حالة واحدة، لا يصدق عليه في العرف أنّه جامعها مراراً، بل يُقال إنّه جامعها مرّة واحدة، ولو تعدّدت الموطوءة أو الحالات أمكن فيه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اللّبس مع اختلاف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الكلام في ذلك عند بيان كفّارة اللّبس</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له بالخصوص، ومقتضى القاعدة عدم التكرّر كما مرّ</w:t>
      </w:r>
      <w:r>
        <w:rPr>
          <w:rFonts w:eastAsia="Amiri" w:cs="Amiri" w:ascii="Amiri" w:hAnsi="Amiri"/>
          <w:color w:val="111111"/>
          <w:sz w:val="28"/>
          <w:szCs w:val="28"/>
          <w:rtl w:val="true"/>
          <w:lang w:bidi="ar-SA"/>
        </w:rPr>
        <w:t>.</w:t>
      </w:r>
      <w:bookmarkStart w:id="266" w:name="pg11809_94689"/>
    </w:p>
    <w:p>
      <w:pPr>
        <w:pStyle w:val="BookText"/>
        <w:rPr/>
      </w:pPr>
      <w:bookmarkEnd w:id="266"/>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على الجاهل والناسي إلّافي الصيد</w:t>
      </w:r>
    </w:p>
    <w:p>
      <w:pPr>
        <w:pStyle w:val="Heading3"/>
        <w:numPr>
          <w:ilvl w:val="2"/>
          <w:numId w:val="1"/>
        </w:numPr>
        <w:rPr/>
      </w:pPr>
      <w:bookmarkStart w:id="267" w:name="__RefHeading___Toc10723967_73709187"/>
      <w:bookmarkStart w:id="268" w:name="_Toc90"/>
      <w:bookmarkEnd w:id="267"/>
      <w:r>
        <w:rPr>
          <w:rtl w:val="true"/>
        </w:rPr>
        <w:t>في حكم الجاهل والناسي</w:t>
      </w:r>
      <w:bookmarkEnd w:id="26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على الجاهل والناسي إلّافي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w:t>
      </w:r>
      <w:r>
        <w:rPr>
          <w:rStyle w:val="FootnoteAnchor"/>
          <w:rtl w:val="true"/>
        </w:rPr>
        <w:footnoteReference w:id="1512"/>
      </w:r>
      <w:r>
        <w:rPr>
          <w:rFonts w:ascii="Amiri" w:hAnsi="Amiri" w:eastAsia="Amiri" w:cs="Amiri"/>
          <w:color w:val="111111"/>
          <w:sz w:val="28"/>
          <w:sz w:val="28"/>
          <w:szCs w:val="28"/>
          <w:rtl w:val="true"/>
          <w:lang w:bidi="ar-SA"/>
        </w:rPr>
        <w:t>في المستثنى والمستثنى منه، وعن غير واحدٍ</w:t>
      </w:r>
      <w:r>
        <w:rPr>
          <w:rStyle w:val="FootnoteAnchor"/>
          <w:rtl w:val="true"/>
        </w:rPr>
        <w:footnoteReference w:id="1513"/>
      </w:r>
      <w:r>
        <w:rPr>
          <w:rFonts w:ascii="Amiri" w:hAnsi="Amiri" w:eastAsia="Amiri" w:cs="Amiri"/>
          <w:color w:val="111111"/>
          <w:sz w:val="28"/>
          <w:sz w:val="28"/>
          <w:szCs w:val="28"/>
          <w:rtl w:val="true"/>
          <w:lang w:bidi="ar-SA"/>
        </w:rPr>
        <w:t>دعوى الإجماع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فيه في كفّارة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به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المسائل المتقدّمة من النصوص الخاصّة الواردة في تلك الموارد، وقد تضمّن بعضها الكبرى الكليّة أشرنا إليها في تلك المسائل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الجزء السادس عشر من هذه الطبعة المحقّقة، ويتلوه الجزء السابع عشر في ما يتعلّق ببقيّة مباحث الحَجّ‌، والحمد للّه أوّلاً وآخراً، وصلّى اللّه على سيّدنا محمّد وآله الطيّبين الطاهرين</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1809_94691"/>
      <w:bookmarkStart w:id="270" w:name="pg11809_94691"/>
      <w:bookmarkEnd w:id="270"/>
    </w:p>
    <w:p>
      <w:pPr>
        <w:pStyle w:val="Heading2"/>
        <w:numPr>
          <w:ilvl w:val="1"/>
          <w:numId w:val="1"/>
        </w:numPr>
        <w:rPr/>
      </w:pPr>
      <w:bookmarkStart w:id="271" w:name="pg11809_94691"/>
      <w:bookmarkStart w:id="272" w:name="__RefHeading___Toc10723969_73709187"/>
      <w:bookmarkStart w:id="273" w:name="_Toc91"/>
      <w:bookmarkEnd w:id="271"/>
      <w:bookmarkEnd w:id="272"/>
      <w:r>
        <w:rPr>
          <w:rtl w:val="true"/>
        </w:rPr>
        <w:t>فهرس الموضوعات</w:t>
      </w:r>
      <w:bookmarkEnd w:id="273"/>
    </w:p>
    <w:p>
      <w:pPr>
        <w:pStyle w:val="BookText"/>
        <w:rPr/>
      </w:pPr>
      <w:r>
        <w:rPr>
          <w:rFonts w:ascii="Amiri" w:hAnsi="Amiri" w:eastAsia="Amiri" w:cs="Amiri"/>
          <w:color w:val="111111"/>
          <w:sz w:val="28"/>
          <w:sz w:val="28"/>
          <w:szCs w:val="28"/>
          <w:rtl w:val="true"/>
          <w:lang w:bidi="ar-SA"/>
        </w:rPr>
        <w:t>حرمة إزالة الشعر على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جواز إزالة الشعر للمُحرِم عند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استعمال الدُّهن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حرمة تغطية الرأس على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الستر باليد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المستثنيات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تغطية المُحرِم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ارتماس المُحرِم في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حرمة التظليل على المُحرِم سائراً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التظليل في حال النزول والوقوف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اختصاص حرمة التظليل بحال الركوب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التظليل بما لا يكون فوق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حرمة التظليل ولو لم تكن الشمس موجودة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جواز تظليل النساء والصبيان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التظليل في حال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الاضطرار إلى التظليل من أوّل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قصَّ الأظفار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الشجر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وجوب إعادة المقطوع من الشَّجر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ما يجوز قطعه في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حكم أشجار الفاكهة والنخل والإذخر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جواز ترك المُحرِم إبله تَرعى في حشيش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جواز تصرف الإنسان فيما أنبته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تذييلٌ حول تصرّف الإنسان فيما أنبته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مكروهات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النظر في المرآة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لبس الخاتم للزِّينة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لبس المرأة الحُليّ للزِّينة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كراهة الحجامة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حَكّ الجَسد المفضيّ إلى ادمائة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السّواك المُفضي إلى الإدماء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لبس السّلاح اختياراً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النقاب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بقيّة مكروهات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استعمال الحناء للزِّينة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كفّارات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كفّارة قتل النعامة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العاجز عن دفع البدنة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العجز عن إطعام الستّين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العجز عن صوم الستّين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كفّارة فرخ النعامة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كفّارة قتل بقرة الوحش وحمار الوحش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حكم العجز عن دفع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كفّارة قتل الظبي والأرنب والثعلب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كفّارة كسر بيض النعام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كفّارة بيض القطاة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كفّارة الحمامة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الضّب والقُنفذ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كفّارة قتل الجرادة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وجوب الكفّارة على من أكل الصيد وإنْ صاد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لو اشترك جماعة في قتل صيد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فروع الصيد الجماعي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حكم من أحرم ومعه صيدٌ مملوك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كفّارة صيد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حكم الصيد سهواً أو جهلاً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فداءُ الصيد المملوك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محل ذبح الفداء ونحره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كفّارة الإستمتاع بالنساء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التفريق بين الرّجل والمرأة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موضوع الأحكام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حكم المُكرَهة والمكرِه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الجماع بعد الموقفين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حكم العاجز عن دفع البدنة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كفّارة الاستمناء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الجماع في إحرام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كفّارة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كفّارة المسّ بشهوة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كفّارة عقد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كفّارة التطيّب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كفّارة قصّ الأظفار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كفّارة لبس المخيط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كفّارة إزالة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كفّارة نتف الإبطين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حكم سقوط شعر الرأس واللّحية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كفّارة التظليل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كفّارة تغطية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كفّارة الجِدال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حكم التدهين وقلع الضرس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كفّارة قطع الشجرة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حكم تعدّد اسباب التكفير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في حكم الجاهل والناسي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البيت عليهم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البيت عليهم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الجزء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17472</w:t>
      </w:r>
      <w:r>
        <w:rPr>
          <w:rFonts w:ascii="IRNazanin" w:hAnsi="IRNazanin" w:eastAsia="IRNazanin"/>
          <w:b w:val="false"/>
          <w:b w:val="false"/>
          <w:bCs w:val="false"/>
          <w:i w:val="false"/>
          <w:i w:val="false"/>
          <w:iCs w:val="false"/>
          <w:color w:val="333333"/>
          <w:sz w:val="20"/>
          <w:sz w:val="20"/>
          <w:szCs w:val="20"/>
          <w:rtl w:val="true"/>
        </w:rPr>
        <w:t xml:space="preserve">، وأيضاً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الجزء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بعض روايات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16/170</w:t>
      </w:r>
      <w:r>
        <w:rPr>
          <w:rFonts w:ascii="IRNazanin" w:hAnsi="IRNazanin" w:eastAsia="IRNazanin"/>
          <w:b w:val="false"/>
          <w:b w:val="false"/>
          <w:bCs w:val="false"/>
          <w:i w:val="false"/>
          <w:i w:val="false"/>
          <w:iCs w:val="false"/>
          <w:color w:val="333333"/>
          <w:sz w:val="20"/>
          <w:sz w:val="20"/>
          <w:szCs w:val="20"/>
          <w:rtl w:val="true"/>
        </w:rPr>
        <w:t>، كرواية منصور ومعاوية بن عمّار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جواز إزالته مع الضرورة فموضع وفاق بين العلماء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قلع جلده عليها شعر قيل لا يضمن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للمُحرِم حلق رأس المُحرِم إجماعاً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للمُحرِم أن يحلق رأس المحلّ‌، ولا شيء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للمُحرِم أن يحلق رأس المحلّ‌، ولا يجوز له أن يحلق رأس المُحرِم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17004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جمع من الأصحاب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ستر بعض رأسه فعليه الفدية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غير واحد كمصباح الهدى للميرزا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أنّه لا خلاف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ويجوز له غسل رأسه بغير الارتماس وإفاضة الماء عليه إجماعاً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يظهر من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يظهر من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ذيل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ابن عقيل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ويفهم منه الجواز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والتفصيل قاطع الشركة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صاحب الحدائق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تغطية الرأس والوجه والظلال والاختباء والارتمارس للمُحرِم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الوافي، راجع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يغرز في المحمل أو الرحل ويلقى عليه ثوب يستظلّ به الراكب ويستتر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الجنيد ترك التظليل مستحبّ‌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18/304</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منع واضح</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7/364</w:t>
      </w:r>
      <w:r>
        <w:rPr>
          <w:rFonts w:ascii="IRNazanin" w:hAnsi="IRNazanin" w:eastAsia="IRNazanin"/>
          <w:b w:val="false"/>
          <w:b w:val="false"/>
          <w:bCs w:val="false"/>
          <w:i w:val="false"/>
          <w:i w:val="false"/>
          <w:iCs w:val="false"/>
          <w:color w:val="333333"/>
          <w:sz w:val="20"/>
          <w:sz w:val="20"/>
          <w:szCs w:val="20"/>
          <w:rtl w:val="true"/>
        </w:rPr>
        <w:t>، والنراقي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عنها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وتضلّل الرّجل المُحرِم عليه سائراً بأن يجلس في محمل أو قبة أو كنيسة أو عمارية مظلّلة أو نحو ذلك على المشهور، نقلاً في الدروس وغيرها وتحصيلاً، بل عن الانتصار والخلاف والمنتهى والتذكرة الإجماع عليه، بل لعلّه كذلك إذ لم يحك الخلاف فيه إلّاعن الإسكافي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غيبة الطوسي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قبل صفحتين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فيهم المحقّق الثاني في جامع القاصد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وفي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واختصاص العليل والمرأة بالظلّ دون الصحيح هو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يعرف فيه خلافاً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والمفاتيح وشرحه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في المقنعة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يخاف على الضرر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والشيخ الطوسي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والحِلّي في السرائر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إلّاإذا خاف الضرر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16963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ص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وأيضاً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حكاه عنه المحقّق 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ويحرم قلع الشجر على المُحرِم والمحلّ‌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ميّت فلم يبق له 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قد تلف، فهو بمنزلة الميّت والظفر المنكسر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غير أنّ ما أفاده ظاهره خلاف ما ذكره المصنّف فقال 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الخلي 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 من الحشيش أو النبات واحدته خلاة وجمعه أخلاء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2/798</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الحِلّي،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العلّامة الحِلّي،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فهد الحِلّي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للشرايع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ابن سعيد الحِلّي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استثناء عصا الراعي فلم أجده في نصّ ولافتوى إلّافي خبر الدعائم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لو قيل بجواز نزع الحشيش للإبل لم يكن بعيداً للأصل وصحيحه جميل ومحمّد بن حمران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ولكما فيه أنّهما منافيان لما سمعت من إطلاق النصّ والفتوى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يكون هو الذي غرس ذلك في ملكه أو في داره بعد أن بناها فإنّه إن كان كذلك جاز له قطعه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هامش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بأس أن تقلع ما أنبتّه أنت في الحَرَم من الأشجار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هامش مستند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في كتاب الحَجّ للسيِّد محمود الشاهرودي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الحَجّ للسيّد الشاهرودي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تذييل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هامش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الإحرام وكيفيّته وشروطه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فيما يجتنبه المُحرِم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ونكتها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يكره على الأقوى وفاقاً للخلاف والغنية والمهذّب والوسيلة والنافع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18/249</w:t>
      </w:r>
      <w:r>
        <w:rPr>
          <w:rFonts w:ascii="IRNazanin" w:hAnsi="IRNazanin" w:eastAsia="IRNazanin"/>
          <w:b w:val="false"/>
          <w:b w:val="false"/>
          <w:bCs w:val="false"/>
          <w:i w:val="false"/>
          <w:i w:val="false"/>
          <w:iCs w:val="false"/>
          <w:color w:val="333333"/>
          <w:sz w:val="20"/>
          <w:sz w:val="20"/>
          <w:szCs w:val="20"/>
          <w:rtl w:val="true"/>
        </w:rPr>
        <w:t>، وفي هامش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5/355</w:t>
      </w:r>
      <w:r>
        <w:rPr>
          <w:rFonts w:ascii="IRNazanin" w:hAnsi="IRNazanin" w:eastAsia="IRNazanin"/>
          <w:b w:val="false"/>
          <w:b w:val="false"/>
          <w:bCs w:val="false"/>
          <w:i w:val="false"/>
          <w:i w:val="false"/>
          <w:iCs w:val="false"/>
          <w:color w:val="333333"/>
          <w:sz w:val="20"/>
          <w:sz w:val="20"/>
          <w:szCs w:val="20"/>
          <w:rtl w:val="true"/>
        </w:rPr>
        <w:t xml:space="preserve">، الجمل والعقود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لابن حمزة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شرايع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النظر في المرآة على الأشهر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للمُحرِم النظر في المرآة لأنّه زينة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لا يجوز لهما في حال الإحرام النظر في المرآة على الأشهر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بأس بالنظر في المرآة في غير المعتاد فعله للزِّينة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وصاحب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18/349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 ليحيى بن سعيد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السبزواري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أعرف خلافاً بين الأصحاب في الحكمين المذكورين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التروك المكروهة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ولبس الحُليّ الذي لم تجر العادة المرأة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هامش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شرايع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ويحرم لبس الخاتم للزِّينة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للحُليّ للزِّينة وما لم يعتد لبسه منه الأولى، ولا بأس بما كان معتاداً لها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الشهيد الثاني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16889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16894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16886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16886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للمُحرِم أن يحتجم إلّاعند الضرورة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والطباطبائي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وقال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نقله القول بالكراهة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لا يخلو من وجه الشهرة المزبورة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 لسلّار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 لابن سعيد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16950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الطوسي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جمع من الأصحاب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والعلّامة الحِلّي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الشيخ في النهاية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الجمل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والشهيد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17005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17004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الحِلّي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العلّامة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والمحقّق في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إلى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إليه العاملي في المدارك ونسبه إلى جمع من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والمحقّق 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وكذلك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17006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17001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17008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الأقرب عندي كراهة لبس 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بعد ذكره حرمة لبسه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 يُكره للأصل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6/313</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ابن إدريس 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العلّامة الحِلّي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تحريم لبس السّلاح لغير ضرورة، قاله الشيخ في المبسوط والنهاية، وبه قال أبو الصلاح وابن البرّاج وابن حمزة وابن إدريس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صاحب المدارك في مداركه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لهما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17683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17684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والعلّامة الحِلّي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الحِليّ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سعيد الحِلّي في الجامع للشرايع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في تحريم النقاب للمرأة مذهب الأصحاب لانعلم فيه مخالفاً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7/337</w:t>
      </w:r>
      <w:r>
        <w:rPr>
          <w:rFonts w:ascii="IRNazanin" w:hAnsi="IRNazanin" w:eastAsia="IRNazanin"/>
          <w:b w:val="false"/>
          <w:b w:val="false"/>
          <w:bCs w:val="false"/>
          <w:i w:val="false"/>
          <w:i w:val="false"/>
          <w:iCs w:val="false"/>
          <w:color w:val="333333"/>
          <w:sz w:val="20"/>
          <w:sz w:val="20"/>
          <w:szCs w:val="20"/>
          <w:rtl w:val="true"/>
        </w:rPr>
        <w:t>،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الراء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16881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المشتمل على علم وهو لونٌ يخالف لونه ليُعرف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يجب على المُحرِم اجتنابه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والزّينة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بتزيّن بزينة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واستعمال الحناء للزِّينة والنقاب للمرأة على إشكال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الحِلّي في 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العلّامة الحِلّي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كراهة استعمال الحناء للزِّينة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18/430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17085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الصفحة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يجد بهذا اللّفظ والموجود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أن يُلبّي الجنب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تصحيف عنه، والمراد بالتلبية فيه إنّما هي التلبية الموظفة بعد الإحرام لا تلبية المنادي، والمراد التنبيه على أنّ الجنابة لاتمنع من الإيتان بالتلبية، ومن هنا فقد أورد كلّ من الوافي والوسائل هذا الخبر في أخبار تلبية الحجّ‌، كما قد أورده العاملي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20/173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17281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20/190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بشمول البدنة للذّكر والاُنثى عن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والنهاية الأثيريّة وتهذيب الاسماء للنووي وفي التحرير والمغرب، والقول باختصاصها بالناقة عن كلّ من الصحاح والديوان والمحيط وشمس العلوم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البدنة تقع على الجمل والناقة والبقرة وهي الإبل أشبه وسمّيت بدنة لعظمها وسمنها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هامش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الباء مع الدالّ‌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هامش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والبدنة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والبقر، كالاُضحية من الغنم تُهدى إلى مكّة للذّكر والاُنثى‌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شمس 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والبدنة الناقة والبقرة تنحر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وتقع على الجمل والناقة والبقرة عند جمهور أهل اللّغة وبعض الفقهاء</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القاموس الفقهي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شافية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بعض ائمة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حكاه عن بعض أئمة اللّغة 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18690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20/190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20/193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20/193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الحِلّى فى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3/604</w:t>
      </w:r>
      <w:r>
        <w:rPr>
          <w:rFonts w:ascii="IRNazanin" w:hAnsi="IRNazanin" w:eastAsia="IRNazanin"/>
          <w:b w:val="false"/>
          <w:b w:val="false"/>
          <w:bCs w:val="false"/>
          <w:i w:val="false"/>
          <w:i w:val="false"/>
          <w:iCs w:val="false"/>
          <w:color w:val="333333"/>
          <w:sz w:val="20"/>
          <w:sz w:val="20"/>
          <w:szCs w:val="20"/>
          <w:rtl w:val="true"/>
        </w:rPr>
        <w:t xml:space="preserve">، وكتاب فتاوى ابن الجُنيد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المختصر النافع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والجامع للشرايع لابن سعيد الحِلّي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والمهذّب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طباطبائي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وأطعم ستّين مسكيناً لكلّ مسكين مُدّين على الأشهر كما في كلام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17103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17104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الصوم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17105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20/196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17104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17106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20/197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مجمع البحرين، والظاهر أنّ مراده مجمع البيان للشيخ الطبرسي وقد ورد ذلك فى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20/197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20/197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33228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المُحرِم يصيب الصيد في الحرم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17107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20/203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عنه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بالمشهور بين الأصحاب، وكذا غيره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6/366</w:t>
      </w:r>
      <w:r>
        <w:rPr>
          <w:rFonts w:ascii="IRNazanin" w:hAnsi="IRNazanin" w:eastAsia="IRNazanin"/>
          <w:b w:val="false"/>
          <w:b w:val="false"/>
          <w:bCs w:val="false"/>
          <w:i w:val="false"/>
          <w:i w:val="false"/>
          <w:iCs w:val="false"/>
          <w:color w:val="333333"/>
          <w:sz w:val="20"/>
          <w:sz w:val="20"/>
          <w:szCs w:val="20"/>
          <w:rtl w:val="true"/>
        </w:rPr>
        <w:t>، وصاحب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صاحب الحدائق عن القاموس وشمس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وانظر في 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كلّ من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الجامع للشرايع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الحِلّي في المختصرالنافع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كالصدوق والعُمّاني، 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وصاحب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إليه علماؤنا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وابن فهد الحِلّي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15/195</w:t>
      </w:r>
      <w:r>
        <w:rPr>
          <w:rFonts w:ascii="IRNazanin" w:hAnsi="IRNazanin" w:eastAsia="IRNazanin"/>
          <w:b w:val="false"/>
          <w:b w:val="false"/>
          <w:bCs w:val="false"/>
          <w:i w:val="false"/>
          <w:i w:val="false"/>
          <w:iCs w:val="false"/>
          <w:color w:val="333333"/>
          <w:sz w:val="20"/>
          <w:sz w:val="20"/>
          <w:szCs w:val="20"/>
          <w:rtl w:val="true"/>
        </w:rPr>
        <w:t xml:space="preserve">، وابن حمزة في الغنية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17105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17103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المرتضى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والفيد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وابن سعيد الحِلّي في الجامع للشرايع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شرايع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البكرة في الإبل هي التي لم يقربها فحل، أو التي ولدت بطناً واحداً، كما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والبكر بالفتح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الفتى من الإبل، والاُنثى البكرة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أبو الصلاح الحلبي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والشيخ الطوسي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وابن زُهرة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والمحقّق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وابن سعيد الحِلّي في 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زهرة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في المختلف عن 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شدخ الشيء المجوّف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في المجلّد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منشورات مكتبة آية اللّه النجفى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17226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17219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17218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17217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17220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17224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17216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2730</w:t>
      </w:r>
      <w:r>
        <w:rPr>
          <w:rFonts w:ascii="IRNazanin" w:hAnsi="IRNazanin" w:eastAsia="IRNazanin"/>
          <w:b w:val="false"/>
          <w:b w:val="false"/>
          <w:bCs w:val="false"/>
          <w:i w:val="false"/>
          <w:i w:val="false"/>
          <w:iCs w:val="false"/>
          <w:color w:val="333333"/>
          <w:sz w:val="20"/>
          <w:sz w:val="20"/>
          <w:szCs w:val="20"/>
          <w:rtl w:val="true"/>
        </w:rPr>
        <w:t>، وحكاه في المختلف عن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الإرسال إذا تحرّك الفرخ وبدونه فكلّ بيضة شاة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شدخ الشيء المجوّف،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الفيض الكاشاني وقد مرّ تفصيله سابقاً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17218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للقاضي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للشرايع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17221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الإرسال مطلقاً كما عن الصدوق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والمفيد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والحلبيّان الكافي في الفقه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وقيّده عليّ بن بابويه بتحرّك الفرخ وبالمعز، وأوجب القيمة إنْ لم يتحرّك، 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17222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17228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20/226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صاحب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20/225</w:t>
      </w:r>
      <w:r>
        <w:rPr>
          <w:rFonts w:ascii="IRNazanin" w:hAnsi="IRNazanin" w:eastAsia="IRNazanin"/>
          <w:b w:val="false"/>
          <w:b w:val="false"/>
          <w:bCs w:val="false"/>
          <w:i w:val="false"/>
          <w:i w:val="false"/>
          <w:iCs w:val="false"/>
          <w:color w:val="333333"/>
          <w:sz w:val="20"/>
          <w:sz w:val="20"/>
          <w:szCs w:val="20"/>
          <w:rtl w:val="true"/>
        </w:rPr>
        <w:t>، وأيضاً حكى بقيّة الأقوال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وابن سعيد الحِلّي في 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زهرة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والعلّامة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والشيخ الطوسي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والسيّد 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17135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17139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17137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20/228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الشيخ 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نقله وحكاه الشيخ الجواهري عن كلّ من التذكرة والمنتهى والتحرير والسرائر وفقه اللّغة للثعالبي وابن قتيبة في أدب الكاتب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الشيخ الجواهري عن ظاهر العُمّاني وجوب الشاة خاصّة، والمحكيّ عن المرتضى في أحد قوليه من وجوب الفداء والقيمة مضاعفة، ومحكي الإسكافي بوجوب تضاعف الفداء، ومحكي الشيخ في النهاية والمبسوط والتهذيب عن وجوب تضاعف الفدية فيه للمُحرِم في الحَرَم ما لم يبلغ 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الأقوال،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20/225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ألزمته عن كلّ بيضة شاة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وعبّر عنه بالشاة،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والمحقّق الحِلّي في شرايع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17192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وابن زهرة في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17150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17152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17151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السيّد المرتضى في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والشيخ 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وابن زهرة في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والصدوق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8/339</w:t>
      </w:r>
      <w:r>
        <w:rPr>
          <w:rFonts w:ascii="IRNazanin" w:hAnsi="IRNazanin" w:eastAsia="IRNazanin"/>
          <w:b w:val="false"/>
          <w:b w:val="false"/>
          <w:bCs w:val="false"/>
          <w:i w:val="false"/>
          <w:i w:val="false"/>
          <w:iCs w:val="false"/>
          <w:color w:val="333333"/>
          <w:sz w:val="20"/>
          <w:sz w:val="20"/>
          <w:szCs w:val="20"/>
          <w:rtl w:val="true"/>
        </w:rPr>
        <w:t>،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وسلّار في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الأحوط وجوب الزائد في الأمرين من القيمة والدرهم، لكن الإشكال في 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إطلاق الأصحاب وجوب الدرهم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جملة من قال به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والمحقّق الحِلّي في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والصدوق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الجواهر عن شرح الجمل للقاضي،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17158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عنهم الشيخ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والسيّد المرتضى في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وسلّار في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والشيخ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صاحب الجواهر،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20/224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20/244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20/244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من الحمام ذوات أطواق يشبه الفاختة والقماري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القَبْج طيرٌ معروف على قدر الحمام أحمر المنقار يُسمّى دجاج البرّ الواحدة حجلة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طائر أسود باطن الجناحين، وظاهرهما أغبر على خلقة القطا إلّاأنّه ألطف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المرتضى في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وسلّار في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والمحقّق في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ابن سعيد في 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والفاضل الآبي في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والفقه الرضوي لابن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20/242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في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وابن سعيدالحِلّي في الجامع للشرايع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والشيخ المفيد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وابن البرّاج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والعلّامة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عن ابن بابويه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17269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20/245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17500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17502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17503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17504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17501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والمرتضى في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وابن زهرة في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20/248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المرتضى في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وابن فهد الحِلّي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السيّد علي الطباطبائي إلى الأكثر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20/256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17197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17203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17344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17198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17196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17186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زهرة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خلاف أنّ الجماعة إذا اشتركت في القتل كان على كلّ واحدٍ منهم كفّارة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ادّعى الإجماع عليه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وحكم المشارك في قتل الصيد حكم المنفرد، بدليل الإجماع الماضي ذكره، وطريقة 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ذهب إلى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والمفيد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وسلّار في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والمرتضى في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والعلّامة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20/268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17201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17202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العلّامة الخلاف عن كلّ من الشافعي وعمر وابن عبّاس وابن عمر وعطاء والزهري والنخعي والشعبي وإسحاق وأحمد في إحدى روايته حيث ذهبوا إلى وجوب جزاء واحد،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17207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أفتى به الشيخ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 خلافٍ فيه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17205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17206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17241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17236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العلّامة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13/200</w:t>
      </w:r>
      <w:r>
        <w:rPr>
          <w:rFonts w:ascii="IRNazanin" w:hAnsi="IRNazanin" w:eastAsia="IRNazanin"/>
          <w:b w:val="false"/>
          <w:b w:val="false"/>
          <w:bCs w:val="false"/>
          <w:i w:val="false"/>
          <w:i w:val="false"/>
          <w:iCs w:val="false"/>
          <w:color w:val="333333"/>
          <w:sz w:val="20"/>
          <w:sz w:val="20"/>
          <w:szCs w:val="20"/>
          <w:rtl w:val="true"/>
        </w:rPr>
        <w:t>، ادّعى الإجماع وحكاه عن كلّ من المنتهى والانتصار وشرح الجمل للقاضي وغيرها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17238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17239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ادّعى الإجماع السيّد الطباطبائي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عن ظاهر المنتهى المحكيّ عن الانتصار والخلاف وشرح الجمل للقاضي وابن فهد الحِلّي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وعليه الأصحاب</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جواهرالفقه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8/363</w:t>
      </w:r>
      <w:r>
        <w:rPr>
          <w:rFonts w:ascii="IRNazanin" w:hAnsi="IRNazanin" w:eastAsia="IRNazanin"/>
          <w:b w:val="false"/>
          <w:b w:val="false"/>
          <w:bCs w:val="false"/>
          <w:i w:val="false"/>
          <w:i w:val="false"/>
          <w:iCs w:val="false"/>
          <w:color w:val="333333"/>
          <w:sz w:val="20"/>
          <w:sz w:val="20"/>
          <w:szCs w:val="20"/>
          <w:rtl w:val="true"/>
        </w:rPr>
        <w:t>، والمحقّق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17263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المحقّق الحِلّي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العلّامة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17268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القاضي في جواهر الفقه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والمحقّق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والعلّامة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8/364</w:t>
      </w:r>
      <w:r>
        <w:rPr>
          <w:rFonts w:ascii="IRNazanin" w:hAnsi="IRNazanin" w:eastAsia="IRNazanin"/>
          <w:b w:val="false"/>
          <w:b w:val="false"/>
          <w:bCs w:val="false"/>
          <w:i w:val="false"/>
          <w:i w:val="false"/>
          <w:iCs w:val="false"/>
          <w:color w:val="333333"/>
          <w:sz w:val="20"/>
          <w:sz w:val="20"/>
          <w:szCs w:val="20"/>
          <w:rtl w:val="true"/>
        </w:rPr>
        <w:t>، وذخيرة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ورياض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17261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17264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والعلّامة الحِلّي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17200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كفّارة الحمامة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17254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17252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ضمن الكفّارة إجماعاً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13/211</w:t>
      </w:r>
      <w:r>
        <w:rPr>
          <w:rFonts w:ascii="IRNazanin" w:hAnsi="IRNazanin" w:eastAsia="IRNazanin"/>
          <w:b w:val="false"/>
          <w:b w:val="false"/>
          <w:bCs w:val="false"/>
          <w:i w:val="false"/>
          <w:i w:val="false"/>
          <w:iCs w:val="false"/>
          <w:color w:val="333333"/>
          <w:sz w:val="20"/>
          <w:sz w:val="20"/>
          <w:szCs w:val="20"/>
          <w:rtl w:val="true"/>
        </w:rPr>
        <w:t>، وممّن قال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والعلّامة الحِلّي، وادّعى عليه الإجماع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والعاملي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موضع وفاق بين العلماء</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20/322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جعل التكرار أحوط</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الثاني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والمحقّق 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6/419</w:t>
      </w:r>
      <w:r>
        <w:rPr>
          <w:rFonts w:ascii="IRNazanin" w:hAnsi="IRNazanin" w:eastAsia="IRNazanin"/>
          <w:b w:val="false"/>
          <w:b w:val="false"/>
          <w:bCs w:val="false"/>
          <w:i w:val="false"/>
          <w:i w:val="false"/>
          <w:iCs w:val="false"/>
          <w:color w:val="333333"/>
          <w:sz w:val="20"/>
          <w:sz w:val="20"/>
          <w:szCs w:val="20"/>
          <w:rtl w:val="true"/>
        </w:rPr>
        <w:t>، والسيّد 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8/393</w:t>
      </w:r>
      <w:r>
        <w:rPr>
          <w:rFonts w:ascii="IRNazanin" w:hAnsi="IRNazanin" w:eastAsia="IRNazanin"/>
          <w:b w:val="false"/>
          <w:b w:val="false"/>
          <w:bCs w:val="false"/>
          <w:i w:val="false"/>
          <w:i w:val="false"/>
          <w:iCs w:val="false"/>
          <w:color w:val="333333"/>
          <w:sz w:val="20"/>
          <w:sz w:val="20"/>
          <w:szCs w:val="20"/>
          <w:rtl w:val="true"/>
        </w:rPr>
        <w:t>، والبحراني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هامش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ابن عبّاس وشريح والحسن البصري وسعيد بن جبير ومجاهد والنخعي وقتادة وأحمد في إحدى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والشرح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7/323</w:t>
      </w:r>
      <w:r>
        <w:rPr>
          <w:rFonts w:ascii="IRNazanin" w:hAnsi="IRNazanin" w:eastAsia="IRNazanin"/>
          <w:b w:val="false"/>
          <w:b w:val="false"/>
          <w:bCs w:val="false"/>
          <w:i w:val="false"/>
          <w:i w:val="false"/>
          <w:iCs w:val="false"/>
          <w:color w:val="333333"/>
          <w:sz w:val="20"/>
          <w:sz w:val="20"/>
          <w:szCs w:val="20"/>
          <w:rtl w:val="true"/>
        </w:rPr>
        <w:t>، بدائع الضائع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أحكام القرآن 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تذكرة الفقهاء وهامشه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ما تكرّر من المُحرِم الصيد كان عليه الكفّارة إذا كان ذلك منه نسياناً، فإن فعله متعمّداً مرّة كان عليه الكفّارة، وإنْ فعله مرّتين فهو ممّن ينتقم اللّه منه وليس عليه 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وعبارة القاضي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من تكرّر منه الصيد ناسياً تكرّرت عليه الكفّارة، فإنْ تعمد ذلك مرّة لزمته الكفّارة مرّة واحدة، فإنْ تعمّد مرّتين لم يلزمه كفّارة بل ينتقم اللّه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للقاضي ابن البرّاج</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تمكّن من الفداء أكل الصيد وفداه وإلّا الميتة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لم يتمكّن من الفداء جاز له أن يأكل الميتة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لم يكن قادراً على ذلك جاز له أكل الميتة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الصيد حرام على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المجلّد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على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كما عن هامش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8/403</w:t>
      </w:r>
      <w:r>
        <w:rPr>
          <w:rFonts w:ascii="IRNazanin" w:hAnsi="IRNazanin" w:eastAsia="IRNazanin"/>
          <w:b w:val="false"/>
          <w:b w:val="false"/>
          <w:bCs w:val="false"/>
          <w:i w:val="false"/>
          <w:i w:val="false"/>
          <w:iCs w:val="false"/>
          <w:color w:val="333333"/>
          <w:sz w:val="20"/>
          <w:sz w:val="20"/>
          <w:szCs w:val="20"/>
          <w:rtl w:val="true"/>
        </w:rPr>
        <w:t>، والمحقّق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15/326</w:t>
      </w:r>
      <w:r>
        <w:rPr>
          <w:rFonts w:ascii="IRNazanin" w:hAnsi="IRNazanin" w:eastAsia="IRNazanin"/>
          <w:b w:val="false"/>
          <w:b w:val="false"/>
          <w:bCs w:val="false"/>
          <w:i w:val="false"/>
          <w:i w:val="false"/>
          <w:iCs w:val="false"/>
          <w:color w:val="333333"/>
          <w:sz w:val="20"/>
          <w:sz w:val="20"/>
          <w:szCs w:val="20"/>
          <w:rtl w:val="true"/>
        </w:rPr>
        <w:t>، والطباطبائي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17159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18879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17181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17211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17212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13/222</w:t>
      </w:r>
      <w:r>
        <w:rPr>
          <w:rFonts w:ascii="IRNazanin" w:hAnsi="IRNazanin" w:eastAsia="IRNazanin"/>
          <w:b w:val="false"/>
          <w:b w:val="false"/>
          <w:bCs w:val="false"/>
          <w:i w:val="false"/>
          <w:i w:val="false"/>
          <w:iCs w:val="false"/>
          <w:color w:val="333333"/>
          <w:sz w:val="20"/>
          <w:sz w:val="20"/>
          <w:szCs w:val="20"/>
          <w:rtl w:val="true"/>
        </w:rPr>
        <w:t>، والشيخ في الخلاف مدّعياً عليه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17335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يفدي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17334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17103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18669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18666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3/616</w:t>
      </w:r>
      <w:r>
        <w:rPr>
          <w:rFonts w:ascii="IRNazanin" w:hAnsi="IRNazanin" w:eastAsia="IRNazanin"/>
          <w:b w:val="false"/>
          <w:b w:val="false"/>
          <w:bCs w:val="false"/>
          <w:i w:val="false"/>
          <w:i w:val="false"/>
          <w:iCs w:val="false"/>
          <w:color w:val="333333"/>
          <w:sz w:val="20"/>
          <w:sz w:val="20"/>
          <w:szCs w:val="20"/>
          <w:rtl w:val="true"/>
        </w:rPr>
        <w:t>، والعلّامة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18669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17337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وادّعى عليه الإجماع،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والشيخ 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17258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17249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13/229</w:t>
      </w:r>
      <w:r>
        <w:rPr>
          <w:rFonts w:ascii="IRNazanin" w:hAnsi="IRNazanin" w:eastAsia="IRNazanin"/>
          <w:b w:val="false"/>
          <w:b w:val="false"/>
          <w:bCs w:val="false"/>
          <w:i w:val="false"/>
          <w:i w:val="false"/>
          <w:iCs w:val="false"/>
          <w:color w:val="333333"/>
          <w:sz w:val="20"/>
          <w:sz w:val="20"/>
          <w:szCs w:val="20"/>
          <w:rtl w:val="true"/>
        </w:rPr>
        <w:t>، السيّد المرتضى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والقاضي في جواهر الفقه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ادّعاه القاضي ابن البرّاج في 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 التنقيح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سعيد الحِلّي في 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المحقّق السبزواري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15/361</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96/172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للشرايع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الإجماع ابن زهرة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الجواهري في 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حكايته الإجماع عليه الخلاف والغنية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ولعلّه كذلك إذ لا أجد فيه خلافاً محقّقاً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الرياض ادّعى عدم الخلاف فيه، وحكى الإجماع عن الخلاف والغنية والمدارك، انظر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الوجوب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فاذا بلغا إلى الموضع الذي واقعا فيه فرّق بينهما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قلنا الأمر للوجوب كان واجباً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التفريق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فلا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 الافتراق إذا وصلا موضع الخطيئة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ابنه في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17382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وَالدُّبُرُ الْفَرْجُ وَالْجَمْعُ الْأَدْبَارُ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17383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وحكاه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13/241</w:t>
      </w:r>
      <w:r>
        <w:rPr>
          <w:rFonts w:ascii="IRNazanin" w:hAnsi="IRNazanin" w:eastAsia="IRNazanin"/>
          <w:b w:val="false"/>
          <w:b w:val="false"/>
          <w:bCs w:val="false"/>
          <w:i w:val="false"/>
          <w:i w:val="false"/>
          <w:iCs w:val="false"/>
          <w:color w:val="333333"/>
          <w:sz w:val="20"/>
          <w:sz w:val="20"/>
          <w:szCs w:val="20"/>
          <w:rtl w:val="true"/>
        </w:rPr>
        <w:t>، ومدارك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 به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سيّد المرتضى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عليه الإجماع، والمحقّق في المختصر النافع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20/363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يفسد به الحَجّ ولا يلزمه الحَجّ من قابل، ولكن جبره ببدنة بلا خلافٍ بل على الحكمين الإجماع في الغنية والمنتهى وغيرهما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17359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17381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قال الحُرّ العاملي قدس سره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أوّل حديث رواه علي بن جعفر في كتابه الذي وصل إلينا، والكتاب يشتمل على أربعمائة ونيف وعشرين حديثاً وأكثرها مرويّ في قرب الإسناد وفي الكتب الأربعة وغيرها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مبحث كفّارة قتل النعامة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الوطن بعد الوقوف بعرفة قبل الوقوف بمزدلفة فسد حجّه أيضاً، قاله أكثر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منهم الشيخ الطوسي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تحرير الأحكام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5/116</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هامش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السمينة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الهندي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الجماع بعد طواف خمسة أشواط فلا شيء وأتمّ طوافه وفاقاً للمشهور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العلّامة الحِلّي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المحقّق في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طاف المُحرِم من طواف النساء خمسة أشواط ثمّ واقع لم يلزمه الكفّارة وبنى على طوافه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18085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كالفاضل الهندي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المختصر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في 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14/371</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شرايع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الفاضل الآبي في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17383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شرائع الإسلام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17387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لأبي الصلاح الحلبي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وغنية النزوع لابن زهرة الحلبي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النهاية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17387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8/425</w:t>
      </w:r>
      <w:r>
        <w:rPr>
          <w:rFonts w:ascii="IRNazanin" w:hAnsi="IRNazanin" w:eastAsia="IRNazanin"/>
          <w:b w:val="false"/>
          <w:b w:val="false"/>
          <w:bCs w:val="false"/>
          <w:i w:val="false"/>
          <w:i w:val="false"/>
          <w:iCs w:val="false"/>
          <w:color w:val="333333"/>
          <w:sz w:val="20"/>
          <w:sz w:val="20"/>
          <w:szCs w:val="20"/>
          <w:rtl w:val="true"/>
        </w:rPr>
        <w:t xml:space="preserve">، ذخيرة المعاد ج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المدارك عن ظاهر المنتهى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8/426</w:t>
      </w:r>
      <w:r>
        <w:rPr>
          <w:rFonts w:ascii="IRNazanin" w:hAnsi="IRNazanin" w:eastAsia="IRNazanin"/>
          <w:b w:val="false"/>
          <w:b w:val="false"/>
          <w:bCs w:val="false"/>
          <w:i w:val="false"/>
          <w:i w:val="false"/>
          <w:iCs w:val="false"/>
          <w:color w:val="333333"/>
          <w:sz w:val="20"/>
          <w:sz w:val="20"/>
          <w:szCs w:val="20"/>
          <w:rtl w:val="true"/>
        </w:rPr>
        <w:t>، انظر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16703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الجامع للشرايع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تحريرالأحكام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20/390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17432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17433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17434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في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كفّارة الاستمتاع بالنساء</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أيضاً يدلّ على المطلوب كالمسألة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17451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17455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17456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16769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17458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17459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15/305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جماعة منهم 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15/540</w:t>
      </w:r>
      <w:r>
        <w:rPr>
          <w:rFonts w:ascii="IRNazanin" w:hAnsi="IRNazanin" w:eastAsia="IRNazanin"/>
          <w:b w:val="false"/>
          <w:b w:val="false"/>
          <w:bCs w:val="false"/>
          <w:i w:val="false"/>
          <w:i w:val="false"/>
          <w:iCs w:val="false"/>
          <w:color w:val="333333"/>
          <w:sz w:val="20"/>
          <w:sz w:val="20"/>
          <w:szCs w:val="20"/>
          <w:rtl w:val="true"/>
        </w:rPr>
        <w:t>، ونسبه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إلى الشيخين والسيّد المرتضى والصدوق وابن البرّاج وسلّار والحِلّي، بل حكي الإجماع عليه عن الخلاف والغُنية أيضاً، انظر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20/399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قال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يدلّ على قول ابن الجُنيدفي الجملة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13/272</w:t>
      </w:r>
      <w:r>
        <w:rPr>
          <w:rFonts w:ascii="IRNazanin" w:hAnsi="IRNazanin" w:eastAsia="IRNazanin"/>
          <w:b w:val="false"/>
          <w:b w:val="false"/>
          <w:bCs w:val="false"/>
          <w:i w:val="false"/>
          <w:i w:val="false"/>
          <w:iCs w:val="false"/>
          <w:color w:val="333333"/>
          <w:sz w:val="20"/>
          <w:sz w:val="20"/>
          <w:szCs w:val="20"/>
          <w:rtl w:val="true"/>
        </w:rPr>
        <w:t>، والجواهر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20/400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20/400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إلى ذلك جملة من الأصحاب، انظر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15/542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8/435</w:t>
      </w:r>
      <w:r>
        <w:rPr>
          <w:rFonts w:ascii="IRNazanin" w:hAnsi="IRNazanin" w:eastAsia="IRNazanin"/>
          <w:b w:val="false"/>
          <w:b w:val="false"/>
          <w:bCs w:val="false"/>
          <w:i w:val="false"/>
          <w:i w:val="false"/>
          <w:iCs w:val="false"/>
          <w:color w:val="333333"/>
          <w:sz w:val="20"/>
          <w:sz w:val="20"/>
          <w:szCs w:val="20"/>
          <w:rtl w:val="true"/>
        </w:rPr>
        <w:t>،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20/402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20/404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20/404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13/278</w:t>
      </w:r>
      <w:r>
        <w:rPr>
          <w:rFonts w:ascii="IRNazanin" w:hAnsi="IRNazanin" w:eastAsia="IRNazanin"/>
          <w:b w:val="false"/>
          <w:b w:val="false"/>
          <w:bCs w:val="false"/>
          <w:i w:val="false"/>
          <w:i w:val="false"/>
          <w:iCs w:val="false"/>
          <w:color w:val="333333"/>
          <w:sz w:val="20"/>
          <w:sz w:val="20"/>
          <w:szCs w:val="20"/>
          <w:rtl w:val="true"/>
        </w:rPr>
        <w:t xml:space="preserve">، وحكاه ابن زُهرة في الغُنية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إرشاد الأذهان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تبصرة المتعلّمين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نفى عنه البُعد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8/439</w:t>
      </w:r>
      <w:r>
        <w:rPr>
          <w:rFonts w:ascii="IRNazanin" w:hAnsi="IRNazanin" w:eastAsia="IRNazanin"/>
          <w:b w:val="false"/>
          <w:b w:val="false"/>
          <w:bCs w:val="false"/>
          <w:i w:val="false"/>
          <w:i w:val="false"/>
          <w:iCs w:val="false"/>
          <w:color w:val="333333"/>
          <w:sz w:val="20"/>
          <w:sz w:val="20"/>
          <w:szCs w:val="20"/>
          <w:rtl w:val="true"/>
        </w:rPr>
        <w:t>، وقوّاه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7/413</w:t>
      </w:r>
      <w:r>
        <w:rPr>
          <w:rFonts w:ascii="IRNazanin" w:hAnsi="IRNazanin" w:eastAsia="IRNazanin"/>
          <w:b w:val="false"/>
          <w:b w:val="false"/>
          <w:bCs w:val="false"/>
          <w:i w:val="false"/>
          <w:i w:val="false"/>
          <w:iCs w:val="false"/>
          <w:color w:val="333333"/>
          <w:sz w:val="20"/>
          <w:sz w:val="20"/>
          <w:szCs w:val="20"/>
          <w:rtl w:val="true"/>
        </w:rPr>
        <w:t>، وظاهر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13/280</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المنتهى وتذكرة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كالصدوق في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والمدارك نسبها إلى أكثر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وذهب بعضهم إلى وجوب إطعام عشرة لكلّ مسكين مُدّ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 شاة أو إطعام عشرة لكلّ واحد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الحسن وابن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يُطعم ستّة اثنى عشرة مُدّاً وهو في صحيح حريز والتخيّير بين هذا وجه قويّ‌</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صاحب المدارك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قيل بوجوب الدّم في نتف الإبط الواحد بصحيحة زرارة المتقدّمة لم يكن بعيداً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8/442</w:t>
      </w:r>
      <w:r>
        <w:rPr>
          <w:rFonts w:ascii="IRNazanin" w:hAnsi="IRNazanin" w:eastAsia="IRNazanin"/>
          <w:b w:val="false"/>
          <w:b w:val="false"/>
          <w:bCs w:val="false"/>
          <w:i w:val="false"/>
          <w:i w:val="false"/>
          <w:iCs w:val="false"/>
          <w:color w:val="333333"/>
          <w:sz w:val="20"/>
          <w:sz w:val="20"/>
          <w:szCs w:val="20"/>
          <w:rtl w:val="true"/>
        </w:rPr>
        <w:t>، المحقّق 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20/414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إشارة السبق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الرياض والجواهر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ظاهر المنتهى والتذكرة،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17507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17508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ووفاقاً للأكثر كما عن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ادّعى عليه الإجماع كالسيِّد المرتضى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المرتضى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المحقّق الحِلّي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والعلّامة الحِلّي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20/417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ظاهر السيّد المرتضى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17471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مستند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20/418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15/189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هو المشهور بين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17438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في أبواب بقيّة الكفّارات</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17436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17437</w:t>
      </w:r>
      <w:r>
        <w:rPr>
          <w:rFonts w:ascii="IRNazanin" w:hAnsi="IRNazanin" w:eastAsia="IRNazanin"/>
          <w:b w:val="false"/>
          <w:b w:val="false"/>
          <w:bCs w:val="false"/>
          <w:i w:val="false"/>
          <w:i w:val="false"/>
          <w:iCs w:val="false"/>
          <w:color w:val="333333"/>
          <w:sz w:val="20"/>
          <w:sz w:val="20"/>
          <w:szCs w:val="20"/>
          <w:rtl w:val="true"/>
        </w:rPr>
        <w:t>، ورواه الصدوق عن محمّد بن مسلم والحلبي جميعاً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20/423</w:t>
      </w:r>
      <w:r>
        <w:rPr>
          <w:rFonts w:ascii="IRNazanin" w:hAnsi="IRNazanin" w:eastAsia="IRNazanin"/>
          <w:b w:val="false"/>
          <w:b w:val="false"/>
          <w:bCs w:val="false"/>
          <w:i w:val="false"/>
          <w:i w:val="false"/>
          <w:iCs w:val="false"/>
          <w:color w:val="333333"/>
          <w:sz w:val="20"/>
          <w:sz w:val="20"/>
          <w:szCs w:val="20"/>
          <w:rtl w:val="true"/>
        </w:rPr>
        <w:t>، والرياض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7/424</w:t>
      </w:r>
      <w:r>
        <w:rPr>
          <w:rFonts w:ascii="IRNazanin" w:hAnsi="IRNazanin" w:eastAsia="IRNazanin"/>
          <w:b w:val="false"/>
          <w:b w:val="false"/>
          <w:bCs w:val="false"/>
          <w:i w:val="false"/>
          <w:i w:val="false"/>
          <w:iCs w:val="false"/>
          <w:color w:val="333333"/>
          <w:sz w:val="20"/>
          <w:sz w:val="20"/>
          <w:szCs w:val="20"/>
          <w:rtl w:val="true"/>
        </w:rPr>
        <w:t>، ونقله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يذكر للفسوق كفّارة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ظاهر الأصحاب</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اللِّسان 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17447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إلى الشيخ والعلّامة ولم يختره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المشهور الذي كاد أنْ يكون إجماعاً بثبوتها في الجملة وإن اختلفوا في بيانها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وممّن ذهب إليه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وادّعى عليه الإجماع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عليه الإجماع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ونسبه إلى العلماء كافّة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7/367</w:t>
      </w:r>
      <w:r>
        <w:rPr>
          <w:rFonts w:ascii="IRNazanin" w:hAnsi="IRNazanin" w:eastAsia="IRNazanin"/>
          <w:b w:val="false"/>
          <w:b w:val="false"/>
          <w:bCs w:val="false"/>
          <w:i w:val="false"/>
          <w:i w:val="false"/>
          <w:iCs w:val="false"/>
          <w:color w:val="333333"/>
          <w:sz w:val="20"/>
          <w:sz w:val="20"/>
          <w:szCs w:val="20"/>
          <w:rtl w:val="true"/>
        </w:rPr>
        <w:t>، لكنّه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والمعتمد وجوب الكفّارة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وعندي في الجميع تردّد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في التذكرة والمنتهى</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والحِلّي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وابن سعيد في نزهة الناظر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والعلّامة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التبصرة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حكاه ابن قدامة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والنوري في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هامش الخلاف</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13/299</w:t>
      </w:r>
      <w:r>
        <w:rPr>
          <w:rFonts w:ascii="IRNazanin" w:hAnsi="IRNazanin" w:eastAsia="IRNazanin"/>
          <w:b w:val="false"/>
          <w:b w:val="false"/>
          <w:bCs w:val="false"/>
          <w:i w:val="false"/>
          <w:i w:val="false"/>
          <w:iCs w:val="false"/>
          <w:color w:val="333333"/>
          <w:sz w:val="20"/>
          <w:sz w:val="20"/>
          <w:szCs w:val="20"/>
          <w:rtl w:val="true"/>
        </w:rPr>
        <w:t>، وعن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مقطوع به في كلام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وأنّه موضع وفاق كما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 وفي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المعروف في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7/433</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 به 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والعلّامة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اللّمعة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والكرفي في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الخلاف فيه، وعن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المشهور بين الأصحاب في المستثنى، بل لا خلاف أجده فيه كما اعترف في الجاهل والناسي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63246</Words>
  <Characters>282481</Characters>
  <CharactersWithSpaces>342914</CharactersWithSpaces>
  <Paragraphs>4680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2026-08-22T08:02:32Z</dcterms:created>
  <dc:creator>ghaemiyeh.com</dc:creator>
  <dc:description/>
  <dc:language>en-US</dc:language>
  <cp:lastModifiedBy/>
  <dcterms:modified xsi:type="dcterms:W3CDTF">2026-08-22T11:32:47Z</dcterms:modified>
  <cp:revision>1</cp:revision>
  <dc:subject/>
  <dc:title>فقه الصادق علیه السلام جلد 16</dc:title>
</cp:coreProperties>
</file>

<file path=docProps/custom.xml><?xml version="1.0" encoding="utf-8"?>
<Properties xmlns="http://schemas.openxmlformats.org/officeDocument/2006/custom-properties" xmlns:vt="http://schemas.openxmlformats.org/officeDocument/2006/docPropsVTypes"/>
</file>