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89455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189457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189459_73709187">
            <w:r>
              <w:rPr>
                <w:webHidden/>
                <w:rStyle w:val="IndexLink"/>
                <w:rtl w:val="true"/>
              </w:rPr>
              <w:t>مقدّمة المؤلّف</w:t>
            </w:r>
            <w:r>
              <w:rPr>
                <w:rStyle w:val="IndexLink"/>
                <w:rtl w:val="true"/>
              </w:rPr>
              <w:t>:</w:t>
              <w:tab/>
            </w:r>
            <w:r>
              <w:rPr>
                <w:rStyle w:val="IndexLink"/>
              </w:rPr>
              <w:t>16</w:t>
            </w:r>
          </w:hyperlink>
        </w:p>
        <w:p>
          <w:pPr>
            <w:pStyle w:val="Contents2"/>
            <w:tabs>
              <w:tab w:val="clear" w:pos="8743"/>
              <w:tab w:val="right" w:pos="9026" w:leader="dot"/>
            </w:tabs>
            <w:rPr/>
          </w:pPr>
          <w:hyperlink w:anchor="__RefHeading___Toc7189461_73709187">
            <w:r>
              <w:rPr>
                <w:webHidden/>
                <w:rStyle w:val="IndexLink"/>
                <w:rtl w:val="true"/>
              </w:rPr>
              <w:t>الفصل الأوّل</w:t>
            </w:r>
            <w:r>
              <w:rPr>
                <w:rStyle w:val="IndexLink"/>
                <w:rtl w:val="true"/>
              </w:rPr>
              <w:t xml:space="preserve">: </w:t>
            </w:r>
            <w:r>
              <w:rPr>
                <w:rStyle w:val="IndexLink"/>
                <w:rtl w:val="true"/>
              </w:rPr>
              <w:t>مقالات في الكلام والعقائد</w:t>
            </w:r>
            <w:r>
              <w:rPr>
                <w:rStyle w:val="IndexLink"/>
                <w:rtl w:val="true"/>
              </w:rPr>
              <w:tab/>
            </w:r>
            <w:r>
              <w:rPr>
                <w:rStyle w:val="IndexLink"/>
              </w:rPr>
              <w:t>18</w:t>
            </w:r>
          </w:hyperlink>
        </w:p>
        <w:p>
          <w:pPr>
            <w:pStyle w:val="Contents3"/>
            <w:tabs>
              <w:tab w:val="clear" w:pos="8459"/>
              <w:tab w:val="right" w:pos="9026" w:leader="dot"/>
            </w:tabs>
            <w:rPr/>
          </w:pPr>
          <w:hyperlink w:anchor="__RefHeading___Toc7189463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189465_73709187">
            <w:r>
              <w:rPr>
                <w:webHidden/>
                <w:rStyle w:val="IndexLink"/>
              </w:rPr>
              <w:t>1</w:t>
            </w:r>
            <w:r>
              <w:rPr>
                <w:rStyle w:val="IndexLink"/>
                <w:rtl w:val="true"/>
              </w:rPr>
              <w:t xml:space="preserve"> </w:t>
            </w:r>
            <w:r>
              <w:rPr>
                <w:rStyle w:val="IndexLink"/>
                <w:rtl w:val="true"/>
              </w:rPr>
              <w:t>مع شيخ الأزهر في محاضراته الرمضانية</w:t>
            </w:r>
            <w:r>
              <w:rPr>
                <w:rStyle w:val="IndexLink"/>
                <w:rtl w:val="true"/>
              </w:rPr>
              <w:tab/>
            </w:r>
            <w:r>
              <w:rPr>
                <w:rStyle w:val="IndexLink"/>
              </w:rPr>
              <w:t>19</w:t>
            </w:r>
          </w:hyperlink>
        </w:p>
        <w:p>
          <w:pPr>
            <w:pStyle w:val="Contents4"/>
            <w:tabs>
              <w:tab w:val="clear" w:pos="8176"/>
              <w:tab w:val="right" w:pos="9026" w:leader="dot"/>
            </w:tabs>
            <w:rPr/>
          </w:pPr>
          <w:hyperlink w:anchor="__RefHeading___Toc7189467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189469_73709187">
            <w:r>
              <w:rPr>
                <w:webHidden/>
                <w:rStyle w:val="IndexLink"/>
                <w:rtl w:val="true"/>
              </w:rPr>
              <w:t>تمهيد</w:t>
            </w:r>
            <w:r>
              <w:rPr>
                <w:rStyle w:val="IndexLink"/>
                <w:rtl w:val="true"/>
              </w:rPr>
              <w:tab/>
            </w:r>
            <w:r>
              <w:rPr>
                <w:rStyle w:val="IndexLink"/>
              </w:rPr>
              <w:t>20</w:t>
            </w:r>
          </w:hyperlink>
        </w:p>
        <w:p>
          <w:pPr>
            <w:pStyle w:val="Contents4"/>
            <w:tabs>
              <w:tab w:val="clear" w:pos="8176"/>
              <w:tab w:val="right" w:pos="9026" w:leader="dot"/>
            </w:tabs>
            <w:rPr/>
          </w:pPr>
          <w:hyperlink w:anchor="__RefHeading___Toc7189471_73709187">
            <w:r>
              <w:rPr>
                <w:webHidden/>
                <w:rStyle w:val="IndexLink"/>
                <w:rtl w:val="true"/>
              </w:rPr>
              <w:t>الحلقة الأُولى</w:t>
            </w:r>
            <w:r>
              <w:rPr>
                <w:rStyle w:val="IndexLink"/>
                <w:rtl w:val="true"/>
              </w:rPr>
              <w:t xml:space="preserve">: </w:t>
            </w:r>
            <w:r>
              <w:rPr>
                <w:rStyle w:val="IndexLink"/>
                <w:rtl w:val="true"/>
              </w:rPr>
              <w:t xml:space="preserve">اليوم الأوّل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22</w:t>
            </w:r>
          </w:hyperlink>
        </w:p>
        <w:p>
          <w:pPr>
            <w:pStyle w:val="Contents4"/>
            <w:tabs>
              <w:tab w:val="clear" w:pos="8176"/>
              <w:tab w:val="right" w:pos="9026" w:leader="dot"/>
            </w:tabs>
            <w:rPr/>
          </w:pPr>
          <w:hyperlink w:anchor="__RefHeading___Toc7189473_73709187">
            <w:r>
              <w:rPr>
                <w:webHidden/>
                <w:rStyle w:val="IndexLink"/>
                <w:rtl w:val="true"/>
              </w:rPr>
              <w:t>الحلقة الثانية</w:t>
            </w:r>
            <w:r>
              <w:rPr>
                <w:rStyle w:val="IndexLink"/>
                <w:rtl w:val="true"/>
              </w:rPr>
              <w:t xml:space="preserve">: </w:t>
            </w:r>
            <w:r>
              <w:rPr>
                <w:rStyle w:val="IndexLink"/>
                <w:rtl w:val="true"/>
              </w:rPr>
              <w:t xml:space="preserve">اليوم الثاني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24</w:t>
            </w:r>
          </w:hyperlink>
        </w:p>
        <w:p>
          <w:pPr>
            <w:pStyle w:val="Contents5"/>
            <w:tabs>
              <w:tab w:val="clear" w:pos="7892"/>
              <w:tab w:val="right" w:pos="9026" w:leader="dot"/>
            </w:tabs>
            <w:rPr/>
          </w:pPr>
          <w:hyperlink w:anchor="__RefHeading___Toc7189475_7370918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7189477_73709187">
            <w:r>
              <w:rPr>
                <w:webHidden/>
                <w:rStyle w:val="IndexLink"/>
                <w:rtl w:val="true"/>
              </w:rPr>
              <w:t>الأوّل</w:t>
            </w:r>
            <w:r>
              <w:rPr>
                <w:rStyle w:val="IndexLink"/>
                <w:rtl w:val="true"/>
              </w:rPr>
              <w:t xml:space="preserve">: </w:t>
            </w:r>
            <w:r>
              <w:rPr>
                <w:rStyle w:val="IndexLink"/>
                <w:rtl w:val="true"/>
              </w:rPr>
              <w:t>ادّعاء الإجماع على موضوع غير محدّد</w:t>
            </w:r>
            <w:r>
              <w:rPr>
                <w:rStyle w:val="IndexLink"/>
                <w:rtl w:val="true"/>
              </w:rPr>
              <w:tab/>
            </w:r>
            <w:r>
              <w:rPr>
                <w:rStyle w:val="IndexLink"/>
              </w:rPr>
              <w:t>26</w:t>
            </w:r>
          </w:hyperlink>
        </w:p>
        <w:p>
          <w:pPr>
            <w:pStyle w:val="Contents5"/>
            <w:tabs>
              <w:tab w:val="clear" w:pos="7892"/>
              <w:tab w:val="right" w:pos="9026" w:leader="dot"/>
            </w:tabs>
            <w:rPr/>
          </w:pPr>
          <w:hyperlink w:anchor="__RefHeading___Toc7189479_73709187">
            <w:r>
              <w:rPr>
                <w:webHidden/>
                <w:rStyle w:val="IndexLink"/>
                <w:rtl w:val="true"/>
              </w:rPr>
              <w:t>الثاني</w:t>
            </w:r>
            <w:r>
              <w:rPr>
                <w:rStyle w:val="IndexLink"/>
                <w:rtl w:val="true"/>
              </w:rPr>
              <w:t xml:space="preserve">: </w:t>
            </w:r>
            <w:r>
              <w:rPr>
                <w:rStyle w:val="IndexLink"/>
                <w:rtl w:val="true"/>
              </w:rPr>
              <w:t>التوسّع لحفظ كرامة بعض الصحابة</w:t>
            </w:r>
            <w:r>
              <w:rPr>
                <w:rStyle w:val="IndexLink"/>
                <w:rtl w:val="true"/>
              </w:rPr>
              <w:tab/>
            </w:r>
            <w:r>
              <w:rPr>
                <w:rStyle w:val="IndexLink"/>
              </w:rPr>
              <w:t>26</w:t>
            </w:r>
          </w:hyperlink>
        </w:p>
        <w:p>
          <w:pPr>
            <w:pStyle w:val="Contents4"/>
            <w:tabs>
              <w:tab w:val="clear" w:pos="8176"/>
              <w:tab w:val="right" w:pos="9026" w:leader="dot"/>
            </w:tabs>
            <w:rPr/>
          </w:pPr>
          <w:hyperlink w:anchor="__RefHeading___Toc7189481_73709187">
            <w:r>
              <w:rPr>
                <w:webHidden/>
                <w:rStyle w:val="IndexLink"/>
                <w:rtl w:val="true"/>
              </w:rPr>
              <w:t>الحلقة الثالثة</w:t>
            </w:r>
            <w:r>
              <w:rPr>
                <w:rStyle w:val="IndexLink"/>
                <w:rtl w:val="true"/>
              </w:rPr>
              <w:t xml:space="preserve">: </w:t>
            </w:r>
            <w:r>
              <w:rPr>
                <w:rStyle w:val="IndexLink"/>
                <w:rtl w:val="true"/>
              </w:rPr>
              <w:t xml:space="preserve">اليوم الثالث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27</w:t>
            </w:r>
          </w:hyperlink>
        </w:p>
        <w:p>
          <w:pPr>
            <w:pStyle w:val="Contents4"/>
            <w:tabs>
              <w:tab w:val="clear" w:pos="8176"/>
              <w:tab w:val="right" w:pos="9026" w:leader="dot"/>
            </w:tabs>
            <w:rPr/>
          </w:pPr>
          <w:hyperlink w:anchor="__RefHeading___Toc7189483_73709187">
            <w:r>
              <w:rPr>
                <w:webHidden/>
                <w:rStyle w:val="IndexLink"/>
                <w:rtl w:val="true"/>
              </w:rPr>
              <w:t>الحلقة الرابعة</w:t>
            </w:r>
            <w:r>
              <w:rPr>
                <w:rStyle w:val="IndexLink"/>
                <w:rtl w:val="true"/>
              </w:rPr>
              <w:t xml:space="preserve">: </w:t>
            </w:r>
            <w:r>
              <w:rPr>
                <w:rStyle w:val="IndexLink"/>
                <w:rtl w:val="true"/>
              </w:rPr>
              <w:t xml:space="preserve">اليوم الرابع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33</w:t>
            </w:r>
          </w:hyperlink>
        </w:p>
        <w:p>
          <w:pPr>
            <w:pStyle w:val="Contents4"/>
            <w:tabs>
              <w:tab w:val="clear" w:pos="8176"/>
              <w:tab w:val="right" w:pos="9026" w:leader="dot"/>
            </w:tabs>
            <w:rPr/>
          </w:pPr>
          <w:hyperlink w:anchor="__RefHeading___Toc7189485_73709187">
            <w:r>
              <w:rPr>
                <w:webHidden/>
                <w:rStyle w:val="IndexLink"/>
                <w:rtl w:val="true"/>
              </w:rPr>
              <w:t>الحلقة الخامسة</w:t>
            </w:r>
            <w:r>
              <w:rPr>
                <w:rStyle w:val="IndexLink"/>
                <w:rtl w:val="true"/>
              </w:rPr>
              <w:t xml:space="preserve">: </w:t>
            </w:r>
            <w:r>
              <w:rPr>
                <w:rStyle w:val="IndexLink"/>
                <w:rtl w:val="true"/>
              </w:rPr>
              <w:t xml:space="preserve">اليوم الخامس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40</w:t>
            </w:r>
          </w:hyperlink>
        </w:p>
        <w:p>
          <w:pPr>
            <w:pStyle w:val="Contents4"/>
            <w:tabs>
              <w:tab w:val="clear" w:pos="8176"/>
              <w:tab w:val="right" w:pos="9026" w:leader="dot"/>
            </w:tabs>
            <w:rPr/>
          </w:pPr>
          <w:hyperlink w:anchor="__RefHeading___Toc7189487_73709187">
            <w:r>
              <w:rPr>
                <w:webHidden/>
                <w:rStyle w:val="IndexLink"/>
                <w:rtl w:val="true"/>
              </w:rPr>
              <w:t>الحلقة السادسة</w:t>
            </w:r>
            <w:r>
              <w:rPr>
                <w:rStyle w:val="IndexLink"/>
                <w:rtl w:val="true"/>
              </w:rPr>
              <w:t xml:space="preserve">: </w:t>
            </w:r>
            <w:r>
              <w:rPr>
                <w:rStyle w:val="IndexLink"/>
                <w:rtl w:val="true"/>
              </w:rPr>
              <w:t xml:space="preserve">اليوم السادس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44</w:t>
            </w:r>
          </w:hyperlink>
        </w:p>
        <w:p>
          <w:pPr>
            <w:pStyle w:val="Contents5"/>
            <w:tabs>
              <w:tab w:val="clear" w:pos="7892"/>
              <w:tab w:val="right" w:pos="9026" w:leader="dot"/>
            </w:tabs>
            <w:rPr/>
          </w:pPr>
          <w:hyperlink w:anchor="__RefHeading___Toc7189489_7370918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7189491_73709187">
            <w:r>
              <w:rPr>
                <w:webHidden/>
                <w:rStyle w:val="IndexLink"/>
                <w:rtl w:val="true"/>
              </w:rPr>
              <w:t>الصحابة أبصر بحالهم من غيرهم</w:t>
            </w:r>
            <w:r>
              <w:rPr>
                <w:rStyle w:val="IndexLink"/>
                <w:rtl w:val="true"/>
              </w:rPr>
              <w:tab/>
            </w:r>
            <w:r>
              <w:rPr>
                <w:rStyle w:val="IndexLink"/>
              </w:rPr>
              <w:t>45</w:t>
            </w:r>
          </w:hyperlink>
        </w:p>
        <w:p>
          <w:pPr>
            <w:pStyle w:val="Contents4"/>
            <w:tabs>
              <w:tab w:val="clear" w:pos="8176"/>
              <w:tab w:val="right" w:pos="9026" w:leader="dot"/>
            </w:tabs>
            <w:rPr/>
          </w:pPr>
          <w:hyperlink w:anchor="__RefHeading___Toc7189493_73709187">
            <w:r>
              <w:rPr>
                <w:webHidden/>
                <w:rStyle w:val="IndexLink"/>
                <w:rtl w:val="true"/>
              </w:rPr>
              <w:t>الحلقة السابعة</w:t>
            </w:r>
            <w:r>
              <w:rPr>
                <w:rStyle w:val="IndexLink"/>
                <w:rtl w:val="true"/>
              </w:rPr>
              <w:t xml:space="preserve">: </w:t>
            </w:r>
            <w:r>
              <w:rPr>
                <w:rStyle w:val="IndexLink"/>
                <w:rtl w:val="true"/>
              </w:rPr>
              <w:t xml:space="preserve">اليوم السابع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48</w:t>
            </w:r>
          </w:hyperlink>
        </w:p>
        <w:p>
          <w:pPr>
            <w:pStyle w:val="Contents5"/>
            <w:tabs>
              <w:tab w:val="clear" w:pos="7892"/>
              <w:tab w:val="right" w:pos="9026" w:leader="dot"/>
            </w:tabs>
            <w:rPr/>
          </w:pPr>
          <w:hyperlink w:anchor="__RefHeading___Toc7189495_7370918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7189497_73709187">
            <w:r>
              <w:rPr>
                <w:webHidden/>
                <w:rStyle w:val="IndexLink"/>
                <w:rtl w:val="true"/>
              </w:rPr>
              <w:t>تفسير الآية</w:t>
            </w:r>
            <w:r>
              <w:rPr>
                <w:rStyle w:val="IndexLink"/>
                <w:rtl w:val="true"/>
              </w:rPr>
              <w:tab/>
            </w:r>
            <w:r>
              <w:rPr>
                <w:rStyle w:val="IndexLink"/>
              </w:rPr>
              <w:t>49</w:t>
            </w:r>
          </w:hyperlink>
        </w:p>
        <w:p>
          <w:pPr>
            <w:pStyle w:val="Contents5"/>
            <w:tabs>
              <w:tab w:val="clear" w:pos="7892"/>
              <w:tab w:val="right" w:pos="9026" w:leader="dot"/>
            </w:tabs>
            <w:rPr/>
          </w:pPr>
          <w:hyperlink w:anchor="__RefHeading___Toc7189499_73709187">
            <w:r>
              <w:rPr>
                <w:webHidden/>
                <w:rStyle w:val="IndexLink"/>
                <w:rtl w:val="true"/>
              </w:rPr>
              <w:t>الرضا مقيّد لا مطلق</w:t>
            </w:r>
            <w:r>
              <w:rPr>
                <w:rStyle w:val="IndexLink"/>
                <w:rtl w:val="true"/>
              </w:rPr>
              <w:tab/>
            </w:r>
            <w:r>
              <w:rPr>
                <w:rStyle w:val="IndexLink"/>
              </w:rPr>
              <w:t>51</w:t>
            </w:r>
          </w:hyperlink>
        </w:p>
        <w:p>
          <w:pPr>
            <w:pStyle w:val="Contents4"/>
            <w:tabs>
              <w:tab w:val="clear" w:pos="8176"/>
              <w:tab w:val="right" w:pos="9026" w:leader="dot"/>
            </w:tabs>
            <w:rPr/>
          </w:pPr>
          <w:hyperlink w:anchor="__RefHeading___Toc7189501_73709187">
            <w:r>
              <w:rPr>
                <w:webHidden/>
                <w:rStyle w:val="IndexLink"/>
                <w:rtl w:val="true"/>
              </w:rPr>
              <w:t>الحلقة الثامنة</w:t>
            </w:r>
            <w:r>
              <w:rPr>
                <w:rStyle w:val="IndexLink"/>
                <w:rtl w:val="true"/>
              </w:rPr>
              <w:t xml:space="preserve">: </w:t>
            </w:r>
            <w:r>
              <w:rPr>
                <w:rStyle w:val="IndexLink"/>
                <w:rtl w:val="true"/>
              </w:rPr>
              <w:t xml:space="preserve">اليوم الثامن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58</w:t>
            </w:r>
          </w:hyperlink>
        </w:p>
        <w:p>
          <w:pPr>
            <w:pStyle w:val="Contents5"/>
            <w:tabs>
              <w:tab w:val="clear" w:pos="7892"/>
              <w:tab w:val="right" w:pos="9026" w:leader="dot"/>
            </w:tabs>
            <w:rPr/>
          </w:pPr>
          <w:hyperlink w:anchor="__RefHeading___Toc7189503_7370918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7189505_73709187">
            <w:r>
              <w:rPr>
                <w:webHidden/>
                <w:rStyle w:val="IndexLink"/>
                <w:rtl w:val="true"/>
              </w:rPr>
              <w:t>الأُولى</w:t>
            </w:r>
            <w:r>
              <w:rPr>
                <w:rStyle w:val="IndexLink"/>
                <w:rtl w:val="true"/>
              </w:rPr>
              <w:t xml:space="preserve">: </w:t>
            </w:r>
            <w:r>
              <w:rPr>
                <w:rStyle w:val="IndexLink"/>
                <w:rtl w:val="true"/>
              </w:rPr>
              <w:t>تعريف العصمة</w:t>
            </w:r>
            <w:r>
              <w:rPr>
                <w:rStyle w:val="IndexLink"/>
                <w:rtl w:val="true"/>
              </w:rPr>
              <w:tab/>
            </w:r>
            <w:r>
              <w:rPr>
                <w:rStyle w:val="IndexLink"/>
              </w:rPr>
              <w:t>59</w:t>
            </w:r>
          </w:hyperlink>
        </w:p>
        <w:p>
          <w:pPr>
            <w:pStyle w:val="Contents5"/>
            <w:tabs>
              <w:tab w:val="clear" w:pos="7892"/>
              <w:tab w:val="right" w:pos="9026" w:leader="dot"/>
            </w:tabs>
            <w:rPr/>
          </w:pPr>
          <w:hyperlink w:anchor="__RefHeading___Toc7189507_73709187">
            <w:r>
              <w:rPr>
                <w:webHidden/>
                <w:rStyle w:val="IndexLink"/>
                <w:rtl w:val="true"/>
              </w:rPr>
              <w:t>حقيقة العصمة</w:t>
            </w:r>
            <w:r>
              <w:rPr>
                <w:rStyle w:val="IndexLink"/>
                <w:rtl w:val="true"/>
              </w:rPr>
              <w:tab/>
            </w:r>
            <w:r>
              <w:rPr>
                <w:rStyle w:val="IndexLink"/>
              </w:rPr>
              <w:t>60</w:t>
            </w:r>
          </w:hyperlink>
        </w:p>
        <w:p>
          <w:pPr>
            <w:pStyle w:val="Contents4"/>
            <w:tabs>
              <w:tab w:val="clear" w:pos="8176"/>
              <w:tab w:val="right" w:pos="9026" w:leader="dot"/>
            </w:tabs>
            <w:rPr/>
          </w:pPr>
          <w:hyperlink w:anchor="__RefHeading___Toc7189509_73709187">
            <w:r>
              <w:rPr>
                <w:webHidden/>
                <w:rStyle w:val="IndexLink"/>
                <w:rtl w:val="true"/>
              </w:rPr>
              <w:t>الحلقة التاسعة</w:t>
            </w:r>
            <w:r>
              <w:rPr>
                <w:rStyle w:val="IndexLink"/>
                <w:rtl w:val="true"/>
              </w:rPr>
              <w:t xml:space="preserve">: </w:t>
            </w:r>
            <w:r>
              <w:rPr>
                <w:rStyle w:val="IndexLink"/>
                <w:rtl w:val="true"/>
              </w:rPr>
              <w:t xml:space="preserve">اليوم التاسع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63</w:t>
            </w:r>
          </w:hyperlink>
        </w:p>
        <w:p>
          <w:pPr>
            <w:pStyle w:val="Contents5"/>
            <w:tabs>
              <w:tab w:val="clear" w:pos="7892"/>
              <w:tab w:val="right" w:pos="9026" w:leader="dot"/>
            </w:tabs>
            <w:rPr/>
          </w:pPr>
          <w:hyperlink w:anchor="__RefHeading___Toc7189511_7370918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7189513_73709187">
            <w:r>
              <w:rPr>
                <w:webHidden/>
                <w:rStyle w:val="IndexLink"/>
                <w:rtl w:val="true"/>
              </w:rPr>
              <w:t>أقول</w:t>
            </w:r>
            <w:r>
              <w:rPr>
                <w:rStyle w:val="IndexLink"/>
                <w:rtl w:val="true"/>
              </w:rPr>
              <w:t xml:space="preserve">: </w:t>
            </w:r>
            <w:r>
              <w:rPr>
                <w:rStyle w:val="IndexLink"/>
                <w:rtl w:val="true"/>
              </w:rPr>
              <w:t>وعلى كلامه حفظه اللّه ملاحظات</w:t>
            </w:r>
            <w:r>
              <w:rPr>
                <w:rStyle w:val="IndexLink"/>
                <w:rtl w:val="true"/>
              </w:rPr>
              <w:t>:</w:t>
              <w:tab/>
            </w:r>
            <w:r>
              <w:rPr>
                <w:rStyle w:val="IndexLink"/>
              </w:rPr>
              <w:t>63</w:t>
            </w:r>
          </w:hyperlink>
        </w:p>
        <w:p>
          <w:pPr>
            <w:pStyle w:val="Contents4"/>
            <w:tabs>
              <w:tab w:val="clear" w:pos="8176"/>
              <w:tab w:val="right" w:pos="9026" w:leader="dot"/>
            </w:tabs>
            <w:rPr/>
          </w:pPr>
          <w:hyperlink w:anchor="__RefHeading___Toc7189515_73709187">
            <w:r>
              <w:rPr>
                <w:webHidden/>
                <w:rStyle w:val="IndexLink"/>
                <w:rtl w:val="true"/>
              </w:rPr>
              <w:t>الحلقة العاشرة</w:t>
            </w:r>
            <w:r>
              <w:rPr>
                <w:rStyle w:val="IndexLink"/>
                <w:rtl w:val="true"/>
              </w:rPr>
              <w:t xml:space="preserve">: </w:t>
            </w:r>
            <w:r>
              <w:rPr>
                <w:rStyle w:val="IndexLink"/>
                <w:rtl w:val="true"/>
              </w:rPr>
              <w:t xml:space="preserve">اليوم العاشر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68</w:t>
            </w:r>
          </w:hyperlink>
        </w:p>
        <w:p>
          <w:pPr>
            <w:pStyle w:val="Contents4"/>
            <w:tabs>
              <w:tab w:val="clear" w:pos="8176"/>
              <w:tab w:val="right" w:pos="9026" w:leader="dot"/>
            </w:tabs>
            <w:rPr/>
          </w:pPr>
          <w:hyperlink w:anchor="__RefHeading___Toc7189517_73709187">
            <w:r>
              <w:rPr>
                <w:webHidden/>
                <w:rStyle w:val="IndexLink"/>
                <w:rtl w:val="true"/>
              </w:rPr>
              <w:t>الحلقة الحادية عشرة</w:t>
            </w:r>
            <w:r>
              <w:rPr>
                <w:rStyle w:val="IndexLink"/>
                <w:rtl w:val="true"/>
              </w:rPr>
              <w:t xml:space="preserve">: </w:t>
            </w:r>
            <w:r>
              <w:rPr>
                <w:rStyle w:val="IndexLink"/>
                <w:rtl w:val="true"/>
              </w:rPr>
              <w:t xml:space="preserve">اليوم الحادي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73</w:t>
            </w:r>
          </w:hyperlink>
        </w:p>
        <w:p>
          <w:pPr>
            <w:pStyle w:val="Contents4"/>
            <w:tabs>
              <w:tab w:val="clear" w:pos="8176"/>
              <w:tab w:val="right" w:pos="9026" w:leader="dot"/>
            </w:tabs>
            <w:rPr/>
          </w:pPr>
          <w:hyperlink w:anchor="__RefHeading___Toc7189519_73709187">
            <w:r>
              <w:rPr>
                <w:webHidden/>
                <w:rStyle w:val="IndexLink"/>
                <w:rtl w:val="true"/>
              </w:rPr>
              <w:t>الحلقة الثانية عشرة</w:t>
            </w:r>
            <w:r>
              <w:rPr>
                <w:rStyle w:val="IndexLink"/>
                <w:rtl w:val="true"/>
              </w:rPr>
              <w:t xml:space="preserve">: </w:t>
            </w:r>
            <w:r>
              <w:rPr>
                <w:rStyle w:val="IndexLink"/>
                <w:rtl w:val="true"/>
              </w:rPr>
              <w:t xml:space="preserve">اليوم الثاني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76</w:t>
            </w:r>
          </w:hyperlink>
        </w:p>
        <w:p>
          <w:pPr>
            <w:pStyle w:val="Contents4"/>
            <w:tabs>
              <w:tab w:val="clear" w:pos="8176"/>
              <w:tab w:val="right" w:pos="9026" w:leader="dot"/>
            </w:tabs>
            <w:rPr/>
          </w:pPr>
          <w:hyperlink w:anchor="__RefHeading___Toc7189521_73709187">
            <w:r>
              <w:rPr>
                <w:webHidden/>
                <w:rStyle w:val="IndexLink"/>
                <w:rtl w:val="true"/>
              </w:rPr>
              <w:t>الحلقة الثالثة عشرة</w:t>
            </w:r>
            <w:r>
              <w:rPr>
                <w:rStyle w:val="IndexLink"/>
                <w:rtl w:val="true"/>
              </w:rPr>
              <w:t xml:space="preserve">: </w:t>
            </w:r>
            <w:r>
              <w:rPr>
                <w:rStyle w:val="IndexLink"/>
                <w:rtl w:val="true"/>
              </w:rPr>
              <w:t xml:space="preserve">اليوم الثالث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81</w:t>
            </w:r>
          </w:hyperlink>
        </w:p>
        <w:p>
          <w:pPr>
            <w:pStyle w:val="Contents4"/>
            <w:tabs>
              <w:tab w:val="clear" w:pos="8176"/>
              <w:tab w:val="right" w:pos="9026" w:leader="dot"/>
            </w:tabs>
            <w:rPr/>
          </w:pPr>
          <w:hyperlink w:anchor="__RefHeading___Toc7189523_73709187">
            <w:r>
              <w:rPr>
                <w:webHidden/>
                <w:rStyle w:val="IndexLink"/>
                <w:rtl w:val="true"/>
              </w:rPr>
              <w:t>الحلقة الرابعة عشرة</w:t>
            </w:r>
            <w:r>
              <w:rPr>
                <w:rStyle w:val="IndexLink"/>
                <w:rtl w:val="true"/>
              </w:rPr>
              <w:t xml:space="preserve">: </w:t>
            </w:r>
            <w:r>
              <w:rPr>
                <w:rStyle w:val="IndexLink"/>
                <w:rtl w:val="true"/>
              </w:rPr>
              <w:t xml:space="preserve">اليوم الرابع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84</w:t>
            </w:r>
          </w:hyperlink>
        </w:p>
        <w:p>
          <w:pPr>
            <w:pStyle w:val="Contents4"/>
            <w:tabs>
              <w:tab w:val="clear" w:pos="8176"/>
              <w:tab w:val="right" w:pos="9026" w:leader="dot"/>
            </w:tabs>
            <w:rPr/>
          </w:pPr>
          <w:hyperlink w:anchor="__RefHeading___Toc7189525_73709187">
            <w:r>
              <w:rPr>
                <w:webHidden/>
                <w:rStyle w:val="IndexLink"/>
                <w:rtl w:val="true"/>
              </w:rPr>
              <w:t>الحلقة الخامسة عشرة</w:t>
            </w:r>
            <w:r>
              <w:rPr>
                <w:rStyle w:val="IndexLink"/>
                <w:rtl w:val="true"/>
              </w:rPr>
              <w:t xml:space="preserve">: </w:t>
            </w:r>
            <w:r>
              <w:rPr>
                <w:rStyle w:val="IndexLink"/>
                <w:rtl w:val="true"/>
              </w:rPr>
              <w:t xml:space="preserve">اليوم الخامس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87</w:t>
            </w:r>
          </w:hyperlink>
        </w:p>
        <w:p>
          <w:pPr>
            <w:pStyle w:val="Contents4"/>
            <w:tabs>
              <w:tab w:val="clear" w:pos="8176"/>
              <w:tab w:val="right" w:pos="9026" w:leader="dot"/>
            </w:tabs>
            <w:rPr/>
          </w:pPr>
          <w:hyperlink w:anchor="__RefHeading___Toc7189527_73709187">
            <w:r>
              <w:rPr>
                <w:webHidden/>
                <w:rStyle w:val="IndexLink"/>
                <w:rtl w:val="true"/>
              </w:rPr>
              <w:t>الحلقة السادسة عشرة</w:t>
            </w:r>
            <w:r>
              <w:rPr>
                <w:rStyle w:val="IndexLink"/>
                <w:rtl w:val="true"/>
              </w:rPr>
              <w:t xml:space="preserve">: </w:t>
            </w:r>
            <w:r>
              <w:rPr>
                <w:rStyle w:val="IndexLink"/>
                <w:rtl w:val="true"/>
              </w:rPr>
              <w:t xml:space="preserve">اليوم السادس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90</w:t>
            </w:r>
          </w:hyperlink>
        </w:p>
        <w:p>
          <w:pPr>
            <w:pStyle w:val="Contents4"/>
            <w:tabs>
              <w:tab w:val="clear" w:pos="8176"/>
              <w:tab w:val="right" w:pos="9026" w:leader="dot"/>
            </w:tabs>
            <w:rPr/>
          </w:pPr>
          <w:hyperlink w:anchor="__RefHeading___Toc7189529_73709187">
            <w:r>
              <w:rPr>
                <w:webHidden/>
                <w:rStyle w:val="IndexLink"/>
                <w:rtl w:val="true"/>
              </w:rPr>
              <w:t>الحلقة الثامنة عشرة</w:t>
            </w:r>
            <w:r>
              <w:rPr>
                <w:rStyle w:val="IndexLink"/>
                <w:rtl w:val="true"/>
              </w:rPr>
              <w:t>:</w:t>
            </w:r>
            <w:r>
              <w:rPr>
                <w:rStyle w:val="IndexLink"/>
                <w:rtl w:val="true"/>
              </w:rPr>
              <w:t xml:space="preserve">اليوم الثامن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92</w:t>
            </w:r>
          </w:hyperlink>
        </w:p>
        <w:p>
          <w:pPr>
            <w:pStyle w:val="Contents4"/>
            <w:tabs>
              <w:tab w:val="clear" w:pos="8176"/>
              <w:tab w:val="right" w:pos="9026" w:leader="dot"/>
            </w:tabs>
            <w:rPr/>
          </w:pPr>
          <w:hyperlink w:anchor="__RefHeading___Toc7189531_73709187">
            <w:r>
              <w:rPr>
                <w:webHidden/>
                <w:rStyle w:val="IndexLink"/>
                <w:rtl w:val="true"/>
              </w:rPr>
              <w:t xml:space="preserve">الحلقة التاسعة عشرة اليوم التاسع عشر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95</w:t>
            </w:r>
          </w:hyperlink>
        </w:p>
        <w:p>
          <w:pPr>
            <w:pStyle w:val="Contents5"/>
            <w:tabs>
              <w:tab w:val="clear" w:pos="7892"/>
              <w:tab w:val="right" w:pos="9026" w:leader="dot"/>
            </w:tabs>
            <w:rPr/>
          </w:pPr>
          <w:hyperlink w:anchor="__RefHeading___Toc7189533_7370918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7189535_73709187">
            <w:r>
              <w:rPr>
                <w:webHidden/>
                <w:rStyle w:val="IndexLink"/>
                <w:rtl w:val="true"/>
              </w:rPr>
              <w:t>تحليل أحداث السقيفة</w:t>
            </w:r>
            <w:r>
              <w:rPr>
                <w:rStyle w:val="IndexLink"/>
                <w:rtl w:val="true"/>
              </w:rPr>
              <w:tab/>
            </w:r>
            <w:r>
              <w:rPr>
                <w:rStyle w:val="IndexLink"/>
              </w:rPr>
              <w:t>101</w:t>
            </w:r>
          </w:hyperlink>
        </w:p>
        <w:p>
          <w:pPr>
            <w:pStyle w:val="Contents4"/>
            <w:tabs>
              <w:tab w:val="clear" w:pos="8176"/>
              <w:tab w:val="right" w:pos="9026" w:leader="dot"/>
            </w:tabs>
            <w:rPr/>
          </w:pPr>
          <w:hyperlink w:anchor="__RefHeading___Toc7189537_73709187">
            <w:r>
              <w:rPr>
                <w:webHidden/>
                <w:rStyle w:val="IndexLink"/>
                <w:rtl w:val="true"/>
              </w:rPr>
              <w:t>الحلقة العشرون</w:t>
            </w:r>
            <w:r>
              <w:rPr>
                <w:rStyle w:val="IndexLink"/>
                <w:rtl w:val="true"/>
              </w:rPr>
              <w:t xml:space="preserve">: </w:t>
            </w:r>
            <w:r>
              <w:rPr>
                <w:rStyle w:val="IndexLink"/>
                <w:rtl w:val="true"/>
              </w:rPr>
              <w:t xml:space="preserve">اليوم 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106</w:t>
            </w:r>
          </w:hyperlink>
        </w:p>
        <w:p>
          <w:pPr>
            <w:pStyle w:val="Contents5"/>
            <w:tabs>
              <w:tab w:val="clear" w:pos="7892"/>
              <w:tab w:val="right" w:pos="9026" w:leader="dot"/>
            </w:tabs>
            <w:rPr/>
          </w:pPr>
          <w:hyperlink w:anchor="__RefHeading___Toc7189539_7370918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7189541_73709187">
            <w:r>
              <w:rPr>
                <w:webHidden/>
                <w:rStyle w:val="IndexLink"/>
              </w:rPr>
              <w:t>1</w:t>
            </w:r>
            <w:r>
              <w:rPr>
                <w:rStyle w:val="IndexLink"/>
                <w:rtl w:val="true"/>
              </w:rPr>
              <w:t xml:space="preserve">. </w:t>
            </w:r>
            <w:r>
              <w:rPr>
                <w:rStyle w:val="IndexLink"/>
                <w:rtl w:val="true"/>
              </w:rPr>
              <w:t>حديث الثقلين</w:t>
            </w:r>
            <w:r>
              <w:rPr>
                <w:rStyle w:val="IndexLink"/>
                <w:rtl w:val="true"/>
              </w:rPr>
              <w:tab/>
            </w:r>
            <w:r>
              <w:rPr>
                <w:rStyle w:val="IndexLink"/>
              </w:rPr>
              <w:t>107</w:t>
            </w:r>
          </w:hyperlink>
        </w:p>
        <w:p>
          <w:pPr>
            <w:pStyle w:val="Contents5"/>
            <w:tabs>
              <w:tab w:val="clear" w:pos="7892"/>
              <w:tab w:val="right" w:pos="9026" w:leader="dot"/>
            </w:tabs>
            <w:rPr/>
          </w:pPr>
          <w:hyperlink w:anchor="__RefHeading___Toc7189543_73709187">
            <w:r>
              <w:rPr>
                <w:webHidden/>
                <w:rStyle w:val="IndexLink"/>
              </w:rPr>
              <w:t>2</w:t>
            </w:r>
            <w:r>
              <w:rPr>
                <w:rStyle w:val="IndexLink"/>
                <w:rtl w:val="true"/>
              </w:rPr>
              <w:t xml:space="preserve">. </w:t>
            </w:r>
            <w:r>
              <w:rPr>
                <w:rStyle w:val="IndexLink"/>
                <w:rtl w:val="true"/>
              </w:rPr>
              <w:t>حديث السفينة</w:t>
            </w:r>
            <w:r>
              <w:rPr>
                <w:rStyle w:val="IndexLink"/>
                <w:rtl w:val="true"/>
              </w:rPr>
              <w:tab/>
            </w:r>
            <w:r>
              <w:rPr>
                <w:rStyle w:val="IndexLink"/>
              </w:rPr>
              <w:t>108</w:t>
            </w:r>
          </w:hyperlink>
        </w:p>
        <w:p>
          <w:pPr>
            <w:pStyle w:val="Contents4"/>
            <w:tabs>
              <w:tab w:val="clear" w:pos="8176"/>
              <w:tab w:val="right" w:pos="9026" w:leader="dot"/>
            </w:tabs>
            <w:rPr/>
          </w:pPr>
          <w:hyperlink w:anchor="__RefHeading___Toc7189545_73709187">
            <w:r>
              <w:rPr>
                <w:webHidden/>
                <w:rStyle w:val="IndexLink"/>
                <w:rtl w:val="true"/>
              </w:rPr>
              <w:t>الحلقة الحادية والعشرون</w:t>
            </w:r>
            <w:r>
              <w:rPr>
                <w:rStyle w:val="IndexLink"/>
                <w:rtl w:val="true"/>
              </w:rPr>
              <w:t xml:space="preserve">: </w:t>
            </w:r>
            <w:r>
              <w:rPr>
                <w:rStyle w:val="IndexLink"/>
                <w:rtl w:val="true"/>
              </w:rPr>
              <w:t xml:space="preserve">اليوم الحادي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112</w:t>
            </w:r>
          </w:hyperlink>
        </w:p>
        <w:p>
          <w:pPr>
            <w:pStyle w:val="Contents4"/>
            <w:tabs>
              <w:tab w:val="clear" w:pos="8176"/>
              <w:tab w:val="right" w:pos="9026" w:leader="dot"/>
            </w:tabs>
            <w:rPr/>
          </w:pPr>
          <w:hyperlink w:anchor="__RefHeading___Toc7189547_73709187">
            <w:r>
              <w:rPr>
                <w:webHidden/>
                <w:rStyle w:val="IndexLink"/>
                <w:rtl w:val="true"/>
              </w:rPr>
              <w:t>الحلقة الثالثة والعشرون</w:t>
            </w:r>
            <w:r>
              <w:rPr>
                <w:rStyle w:val="IndexLink"/>
                <w:rtl w:val="true"/>
              </w:rPr>
              <w:t xml:space="preserve">: </w:t>
            </w:r>
            <w:r>
              <w:rPr>
                <w:rStyle w:val="IndexLink"/>
                <w:rtl w:val="true"/>
              </w:rPr>
              <w:t xml:space="preserve">اليوم الثالث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122</w:t>
            </w:r>
          </w:hyperlink>
        </w:p>
        <w:p>
          <w:pPr>
            <w:pStyle w:val="Contents4"/>
            <w:tabs>
              <w:tab w:val="clear" w:pos="8176"/>
              <w:tab w:val="right" w:pos="9026" w:leader="dot"/>
            </w:tabs>
            <w:rPr/>
          </w:pPr>
          <w:hyperlink w:anchor="__RefHeading___Toc7189549_73709187">
            <w:r>
              <w:rPr>
                <w:webHidden/>
                <w:rStyle w:val="IndexLink"/>
                <w:rtl w:val="true"/>
              </w:rPr>
              <w:t>الحلقة الرابعة والعشرون</w:t>
            </w:r>
            <w:r>
              <w:rPr>
                <w:rStyle w:val="IndexLink"/>
                <w:rtl w:val="true"/>
              </w:rPr>
              <w:t xml:space="preserve">: </w:t>
            </w:r>
            <w:r>
              <w:rPr>
                <w:rStyle w:val="IndexLink"/>
                <w:rtl w:val="true"/>
              </w:rPr>
              <w:t xml:space="preserve">اليوم الرابع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129</w:t>
            </w:r>
          </w:hyperlink>
        </w:p>
        <w:p>
          <w:pPr>
            <w:pStyle w:val="Contents5"/>
            <w:tabs>
              <w:tab w:val="clear" w:pos="7892"/>
              <w:tab w:val="right" w:pos="9026" w:leader="dot"/>
            </w:tabs>
            <w:rPr/>
          </w:pPr>
          <w:hyperlink w:anchor="__RefHeading___Toc7189551_7370918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7189553_73709187">
            <w:r>
              <w:rPr>
                <w:webHidden/>
                <w:rStyle w:val="IndexLink"/>
              </w:rPr>
              <w:t>1</w:t>
            </w:r>
            <w:r>
              <w:rPr>
                <w:rStyle w:val="IndexLink"/>
                <w:rtl w:val="true"/>
              </w:rPr>
              <w:t xml:space="preserve">. </w:t>
            </w:r>
            <w:r>
              <w:rPr>
                <w:rStyle w:val="IndexLink"/>
                <w:rtl w:val="true"/>
              </w:rPr>
              <w:t>رزية يوم الخميس</w:t>
            </w:r>
            <w:r>
              <w:rPr>
                <w:rStyle w:val="IndexLink"/>
                <w:rtl w:val="true"/>
              </w:rPr>
              <w:tab/>
            </w:r>
            <w:r>
              <w:rPr>
                <w:rStyle w:val="IndexLink"/>
              </w:rPr>
              <w:t>132</w:t>
            </w:r>
          </w:hyperlink>
        </w:p>
        <w:p>
          <w:pPr>
            <w:pStyle w:val="Contents5"/>
            <w:tabs>
              <w:tab w:val="clear" w:pos="7892"/>
              <w:tab w:val="right" w:pos="9026" w:leader="dot"/>
            </w:tabs>
            <w:rPr/>
          </w:pPr>
          <w:hyperlink w:anchor="__RefHeading___Toc7189555_73709187">
            <w:r>
              <w:rPr>
                <w:webHidden/>
                <w:rStyle w:val="IndexLink"/>
              </w:rPr>
              <w:t>2</w:t>
            </w:r>
            <w:r>
              <w:rPr>
                <w:rStyle w:val="IndexLink"/>
                <w:rtl w:val="true"/>
              </w:rPr>
              <w:t xml:space="preserve">. </w:t>
            </w:r>
            <w:r>
              <w:rPr>
                <w:rStyle w:val="IndexLink"/>
                <w:rtl w:val="true"/>
              </w:rPr>
              <w:t>الاعتراض على صلح الحديبية</w:t>
            </w:r>
            <w:r>
              <w:rPr>
                <w:rStyle w:val="IndexLink"/>
                <w:rtl w:val="true"/>
              </w:rPr>
              <w:tab/>
            </w:r>
            <w:r>
              <w:rPr>
                <w:rStyle w:val="IndexLink"/>
              </w:rPr>
              <w:t>132</w:t>
            </w:r>
          </w:hyperlink>
        </w:p>
        <w:p>
          <w:pPr>
            <w:pStyle w:val="Contents5"/>
            <w:tabs>
              <w:tab w:val="clear" w:pos="7892"/>
              <w:tab w:val="right" w:pos="9026" w:leader="dot"/>
            </w:tabs>
            <w:rPr/>
          </w:pPr>
          <w:hyperlink w:anchor="__RefHeading___Toc7189557_73709187">
            <w:r>
              <w:rPr>
                <w:webHidden/>
                <w:rStyle w:val="IndexLink"/>
              </w:rPr>
              <w:t>3</w:t>
            </w:r>
            <w:r>
              <w:rPr>
                <w:rStyle w:val="IndexLink"/>
                <w:rtl w:val="true"/>
              </w:rPr>
              <w:t xml:space="preserve">. </w:t>
            </w:r>
            <w:r>
              <w:rPr>
                <w:rStyle w:val="IndexLink"/>
                <w:rtl w:val="true"/>
              </w:rPr>
              <w:t>الأمر بالإحلال</w:t>
            </w:r>
            <w:r>
              <w:rPr>
                <w:rStyle w:val="IndexLink"/>
                <w:rtl w:val="true"/>
              </w:rPr>
              <w:tab/>
            </w:r>
            <w:r>
              <w:rPr>
                <w:rStyle w:val="IndexLink"/>
              </w:rPr>
              <w:t>132</w:t>
            </w:r>
          </w:hyperlink>
        </w:p>
        <w:p>
          <w:pPr>
            <w:pStyle w:val="Contents5"/>
            <w:tabs>
              <w:tab w:val="clear" w:pos="7892"/>
              <w:tab w:val="right" w:pos="9026" w:leader="dot"/>
            </w:tabs>
            <w:rPr/>
          </w:pPr>
          <w:hyperlink w:anchor="__RefHeading___Toc7189559_73709187">
            <w:r>
              <w:rPr>
                <w:webHidden/>
                <w:rStyle w:val="IndexLink"/>
              </w:rPr>
              <w:t>4</w:t>
            </w:r>
            <w:r>
              <w:rPr>
                <w:rStyle w:val="IndexLink"/>
                <w:rtl w:val="true"/>
              </w:rPr>
              <w:t xml:space="preserve">. </w:t>
            </w:r>
            <w:r>
              <w:rPr>
                <w:rStyle w:val="IndexLink"/>
                <w:rtl w:val="true"/>
              </w:rPr>
              <w:t>سرية أُسامة</w:t>
            </w:r>
            <w:r>
              <w:rPr>
                <w:rStyle w:val="IndexLink"/>
                <w:rtl w:val="true"/>
              </w:rPr>
              <w:tab/>
            </w:r>
            <w:r>
              <w:rPr>
                <w:rStyle w:val="IndexLink"/>
              </w:rPr>
              <w:t>133</w:t>
            </w:r>
          </w:hyperlink>
        </w:p>
        <w:p>
          <w:pPr>
            <w:pStyle w:val="Contents5"/>
            <w:tabs>
              <w:tab w:val="clear" w:pos="7892"/>
              <w:tab w:val="right" w:pos="9026" w:leader="dot"/>
            </w:tabs>
            <w:rPr/>
          </w:pPr>
          <w:hyperlink w:anchor="__RefHeading___Toc7189561_73709187">
            <w:r>
              <w:rPr>
                <w:webHidden/>
                <w:rStyle w:val="IndexLink"/>
              </w:rPr>
              <w:t>5</w:t>
            </w:r>
            <w:r>
              <w:rPr>
                <w:rStyle w:val="IndexLink"/>
                <w:rtl w:val="true"/>
              </w:rPr>
              <w:t xml:space="preserve">. </w:t>
            </w:r>
            <w:r>
              <w:rPr>
                <w:rStyle w:val="IndexLink"/>
                <w:rtl w:val="true"/>
              </w:rPr>
              <w:t>إسقاط سهم المؤلّفة قلوبهم</w:t>
            </w:r>
            <w:r>
              <w:rPr>
                <w:rStyle w:val="IndexLink"/>
                <w:rtl w:val="true"/>
              </w:rPr>
              <w:tab/>
            </w:r>
            <w:r>
              <w:rPr>
                <w:rStyle w:val="IndexLink"/>
              </w:rPr>
              <w:t>134</w:t>
            </w:r>
          </w:hyperlink>
        </w:p>
        <w:p>
          <w:pPr>
            <w:pStyle w:val="Contents4"/>
            <w:tabs>
              <w:tab w:val="clear" w:pos="8176"/>
              <w:tab w:val="right" w:pos="9026" w:leader="dot"/>
            </w:tabs>
            <w:rPr/>
          </w:pPr>
          <w:hyperlink w:anchor="__RefHeading___Toc7189563_73709187">
            <w:r>
              <w:rPr>
                <w:webHidden/>
                <w:rStyle w:val="IndexLink"/>
                <w:rtl w:val="true"/>
              </w:rPr>
              <w:t>الحلقة الخامسة والعشرون</w:t>
            </w:r>
            <w:r>
              <w:rPr>
                <w:rStyle w:val="IndexLink"/>
                <w:rtl w:val="true"/>
              </w:rPr>
              <w:t xml:space="preserve">: </w:t>
            </w:r>
            <w:r>
              <w:rPr>
                <w:rStyle w:val="IndexLink"/>
                <w:rtl w:val="true"/>
              </w:rPr>
              <w:t xml:space="preserve">اليوم الخامس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140</w:t>
            </w:r>
          </w:hyperlink>
        </w:p>
        <w:p>
          <w:pPr>
            <w:pStyle w:val="Contents4"/>
            <w:tabs>
              <w:tab w:val="clear" w:pos="8176"/>
              <w:tab w:val="right" w:pos="9026" w:leader="dot"/>
            </w:tabs>
            <w:rPr/>
          </w:pPr>
          <w:hyperlink w:anchor="__RefHeading___Toc7189565_73709187">
            <w:r>
              <w:rPr>
                <w:webHidden/>
                <w:rStyle w:val="IndexLink"/>
                <w:rtl w:val="true"/>
              </w:rPr>
              <w:t>الحلقة السادسة والعشرون</w:t>
            </w:r>
            <w:r>
              <w:rPr>
                <w:rStyle w:val="IndexLink"/>
                <w:rtl w:val="true"/>
              </w:rPr>
              <w:t xml:space="preserve">: </w:t>
            </w:r>
            <w:r>
              <w:rPr>
                <w:rStyle w:val="IndexLink"/>
                <w:rtl w:val="true"/>
              </w:rPr>
              <w:t xml:space="preserve">اليوم السادس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149</w:t>
            </w:r>
          </w:hyperlink>
        </w:p>
        <w:p>
          <w:pPr>
            <w:pStyle w:val="Contents4"/>
            <w:tabs>
              <w:tab w:val="clear" w:pos="8176"/>
              <w:tab w:val="right" w:pos="9026" w:leader="dot"/>
            </w:tabs>
            <w:rPr/>
          </w:pPr>
          <w:hyperlink w:anchor="__RefHeading___Toc7189567_73709187">
            <w:r>
              <w:rPr>
                <w:webHidden/>
                <w:rStyle w:val="IndexLink"/>
                <w:rtl w:val="true"/>
              </w:rPr>
              <w:t>الحلقة السابعة والعشرون</w:t>
            </w:r>
            <w:r>
              <w:rPr>
                <w:rStyle w:val="IndexLink"/>
                <w:rtl w:val="true"/>
              </w:rPr>
              <w:t xml:space="preserve">: </w:t>
            </w:r>
            <w:r>
              <w:rPr>
                <w:rStyle w:val="IndexLink"/>
                <w:rtl w:val="true"/>
              </w:rPr>
              <w:t xml:space="preserve">اليوم السابع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154</w:t>
            </w:r>
          </w:hyperlink>
        </w:p>
        <w:p>
          <w:pPr>
            <w:pStyle w:val="Contents4"/>
            <w:tabs>
              <w:tab w:val="clear" w:pos="8176"/>
              <w:tab w:val="right" w:pos="9026" w:leader="dot"/>
            </w:tabs>
            <w:rPr/>
          </w:pPr>
          <w:hyperlink w:anchor="__RefHeading___Toc7189569_73709187">
            <w:r>
              <w:rPr>
                <w:webHidden/>
                <w:rStyle w:val="IndexLink"/>
                <w:rtl w:val="true"/>
              </w:rPr>
              <w:t>الحلقة الثامنة والعشرون</w:t>
            </w:r>
            <w:r>
              <w:rPr>
                <w:rStyle w:val="IndexLink"/>
                <w:rtl w:val="true"/>
              </w:rPr>
              <w:t xml:space="preserve">: </w:t>
            </w:r>
            <w:r>
              <w:rPr>
                <w:rStyle w:val="IndexLink"/>
                <w:rtl w:val="true"/>
              </w:rPr>
              <w:t xml:space="preserve">اليوم الثامن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156</w:t>
            </w:r>
          </w:hyperlink>
        </w:p>
        <w:p>
          <w:pPr>
            <w:pStyle w:val="Contents4"/>
            <w:tabs>
              <w:tab w:val="clear" w:pos="8176"/>
              <w:tab w:val="right" w:pos="9026" w:leader="dot"/>
            </w:tabs>
            <w:rPr/>
          </w:pPr>
          <w:hyperlink w:anchor="__RefHeading___Toc7189571_73709187">
            <w:r>
              <w:rPr>
                <w:webHidden/>
                <w:rStyle w:val="IndexLink"/>
                <w:rtl w:val="true"/>
              </w:rPr>
              <w:t>الحلقة التاسعة والعشرون</w:t>
            </w:r>
            <w:r>
              <w:rPr>
                <w:rStyle w:val="IndexLink"/>
                <w:rtl w:val="true"/>
              </w:rPr>
              <w:t xml:space="preserve">: </w:t>
            </w:r>
            <w:r>
              <w:rPr>
                <w:rStyle w:val="IndexLink"/>
                <w:rtl w:val="true"/>
              </w:rPr>
              <w:t xml:space="preserve">اليوم التاسع والعشرون من شهر رمضان </w:t>
            </w:r>
            <w:r>
              <w:rPr>
                <w:rStyle w:val="IndexLink"/>
              </w:rPr>
              <w:t>1436</w:t>
            </w:r>
            <w:r>
              <w:rPr>
                <w:rStyle w:val="IndexLink"/>
                <w:rtl w:val="true"/>
              </w:rPr>
              <w:t xml:space="preserve"> </w:t>
            </w:r>
            <w:r>
              <w:rPr>
                <w:rStyle w:val="IndexLink"/>
                <w:rtl w:val="true"/>
              </w:rPr>
              <w:t>ه‍</w:t>
            </w:r>
            <w:r>
              <w:rPr>
                <w:rStyle w:val="IndexLink"/>
                <w:rtl w:val="true"/>
              </w:rPr>
              <w:tab/>
            </w:r>
            <w:r>
              <w:rPr>
                <w:rStyle w:val="IndexLink"/>
              </w:rPr>
              <w:t>159</w:t>
            </w:r>
          </w:hyperlink>
        </w:p>
        <w:p>
          <w:pPr>
            <w:pStyle w:val="Contents3"/>
            <w:tabs>
              <w:tab w:val="clear" w:pos="8459"/>
              <w:tab w:val="right" w:pos="9026" w:leader="dot"/>
            </w:tabs>
            <w:rPr/>
          </w:pPr>
          <w:hyperlink w:anchor="__RefHeading___Toc7189573_73709187">
            <w:r>
              <w:rPr>
                <w:webHidden/>
                <w:rStyle w:val="IndexLink"/>
              </w:rPr>
              <w:t>2</w:t>
            </w:r>
            <w:r>
              <w:rPr>
                <w:rStyle w:val="IndexLink"/>
                <w:rtl w:val="true"/>
              </w:rPr>
              <w:t xml:space="preserve"> </w:t>
            </w:r>
            <w:r>
              <w:rPr>
                <w:rStyle w:val="IndexLink"/>
                <w:rtl w:val="true"/>
              </w:rPr>
              <w:t>فتنة التكفير جذورها وآثارها في المجتمع</w:t>
            </w:r>
            <w:r>
              <w:rPr>
                <w:rStyle w:val="IndexLink"/>
                <w:rtl w:val="true"/>
              </w:rPr>
              <w:tab/>
            </w:r>
            <w:r>
              <w:rPr>
                <w:rStyle w:val="IndexLink"/>
              </w:rPr>
              <w:t>163</w:t>
            </w:r>
          </w:hyperlink>
        </w:p>
        <w:p>
          <w:pPr>
            <w:pStyle w:val="Contents4"/>
            <w:tabs>
              <w:tab w:val="clear" w:pos="8176"/>
              <w:tab w:val="right" w:pos="9026" w:leader="dot"/>
            </w:tabs>
            <w:rPr/>
          </w:pPr>
          <w:hyperlink w:anchor="__RefHeading___Toc7189575_7370918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7189577_73709187">
            <w:r>
              <w:rPr>
                <w:webHidden/>
                <w:rStyle w:val="IndexLink"/>
                <w:rtl w:val="true"/>
              </w:rPr>
              <w:t>إدانة القرآن الكريم لظاهرة التكفير</w:t>
            </w:r>
            <w:r>
              <w:rPr>
                <w:rStyle w:val="IndexLink"/>
                <w:rtl w:val="true"/>
              </w:rPr>
              <w:tab/>
            </w:r>
            <w:r>
              <w:rPr>
                <w:rStyle w:val="IndexLink"/>
              </w:rPr>
              <w:t>164</w:t>
            </w:r>
          </w:hyperlink>
        </w:p>
        <w:p>
          <w:pPr>
            <w:pStyle w:val="Contents4"/>
            <w:tabs>
              <w:tab w:val="clear" w:pos="8176"/>
              <w:tab w:val="right" w:pos="9026" w:leader="dot"/>
            </w:tabs>
            <w:rPr/>
          </w:pPr>
          <w:hyperlink w:anchor="__RefHeading___Toc7189579_73709187">
            <w:r>
              <w:rPr>
                <w:webHidden/>
                <w:rStyle w:val="IndexLink"/>
                <w:rtl w:val="true"/>
              </w:rPr>
              <w:t>ادانة ظاهرة التكفير على لسان النبي صلى الله عليه و آله و سلم</w:t>
            </w:r>
            <w:r>
              <w:rPr>
                <w:rStyle w:val="IndexLink"/>
                <w:rtl w:val="true"/>
              </w:rPr>
              <w:t>:</w:t>
              <w:tab/>
            </w:r>
            <w:r>
              <w:rPr>
                <w:rStyle w:val="IndexLink"/>
              </w:rPr>
              <w:t>165</w:t>
            </w:r>
          </w:hyperlink>
        </w:p>
        <w:p>
          <w:pPr>
            <w:pStyle w:val="Contents4"/>
            <w:tabs>
              <w:tab w:val="clear" w:pos="8176"/>
              <w:tab w:val="right" w:pos="9026" w:leader="dot"/>
            </w:tabs>
            <w:rPr/>
          </w:pPr>
          <w:hyperlink w:anchor="__RefHeading___Toc7189581_73709187">
            <w:r>
              <w:rPr>
                <w:webHidden/>
                <w:rStyle w:val="IndexLink"/>
                <w:rtl w:val="true"/>
              </w:rPr>
              <w:t>كلمات مضيئة حول ظاهرة التكفير ونتائجها</w:t>
            </w:r>
            <w:r>
              <w:rPr>
                <w:rStyle w:val="IndexLink"/>
                <w:rtl w:val="true"/>
              </w:rPr>
              <w:tab/>
            </w:r>
            <w:r>
              <w:rPr>
                <w:rStyle w:val="IndexLink"/>
              </w:rPr>
              <w:t>166</w:t>
            </w:r>
          </w:hyperlink>
        </w:p>
        <w:p>
          <w:pPr>
            <w:pStyle w:val="Contents4"/>
            <w:tabs>
              <w:tab w:val="clear" w:pos="8176"/>
              <w:tab w:val="right" w:pos="9026" w:leader="dot"/>
            </w:tabs>
            <w:rPr/>
          </w:pPr>
          <w:hyperlink w:anchor="__RefHeading___Toc7189583_73709187">
            <w:r>
              <w:rPr>
                <w:webHidden/>
                <w:rStyle w:val="IndexLink"/>
                <w:rtl w:val="true"/>
              </w:rPr>
              <w:t>تمهيد</w:t>
            </w:r>
            <w:r>
              <w:rPr>
                <w:rStyle w:val="IndexLink"/>
                <w:rtl w:val="true"/>
              </w:rPr>
              <w:tab/>
            </w:r>
            <w:r>
              <w:rPr>
                <w:rStyle w:val="IndexLink"/>
              </w:rPr>
              <w:t>167</w:t>
            </w:r>
          </w:hyperlink>
        </w:p>
        <w:p>
          <w:pPr>
            <w:pStyle w:val="Contents4"/>
            <w:tabs>
              <w:tab w:val="clear" w:pos="8176"/>
              <w:tab w:val="right" w:pos="9026" w:leader="dot"/>
            </w:tabs>
            <w:rPr/>
          </w:pPr>
          <w:hyperlink w:anchor="__RefHeading___Toc7189585_73709187">
            <w:r>
              <w:rPr>
                <w:webHidden/>
                <w:rStyle w:val="IndexLink"/>
                <w:rtl w:val="true"/>
              </w:rPr>
              <w:t>الفصل الأوّل</w:t>
            </w:r>
            <w:r>
              <w:rPr>
                <w:rStyle w:val="IndexLink"/>
                <w:rtl w:val="true"/>
              </w:rPr>
              <w:t xml:space="preserve">: </w:t>
            </w:r>
            <w:r>
              <w:rPr>
                <w:rStyle w:val="IndexLink"/>
                <w:rtl w:val="true"/>
              </w:rPr>
              <w:t>الكفر والإيمان في اللغة ومصطلح المتكلّمين</w:t>
            </w:r>
            <w:r>
              <w:rPr>
                <w:rStyle w:val="IndexLink"/>
                <w:rtl w:val="true"/>
              </w:rPr>
              <w:tab/>
            </w:r>
            <w:r>
              <w:rPr>
                <w:rStyle w:val="IndexLink"/>
              </w:rPr>
              <w:t>171</w:t>
            </w:r>
          </w:hyperlink>
        </w:p>
        <w:p>
          <w:pPr>
            <w:pStyle w:val="Contents5"/>
            <w:tabs>
              <w:tab w:val="clear" w:pos="7892"/>
              <w:tab w:val="right" w:pos="9026" w:leader="dot"/>
            </w:tabs>
            <w:rPr/>
          </w:pPr>
          <w:hyperlink w:anchor="__RefHeading___Toc7189587_73709187">
            <w:r>
              <w:rPr>
                <w:webHidden/>
                <w:rStyle w:val="IndexLink"/>
                <w:rtl w:val="true"/>
              </w:rPr>
              <w:t>الكفر والإيمان لغةً‌</w:t>
            </w:r>
            <w:r>
              <w:rPr>
                <w:rStyle w:val="IndexLink"/>
                <w:rtl w:val="true"/>
              </w:rPr>
              <w:tab/>
            </w:r>
            <w:r>
              <w:rPr>
                <w:rStyle w:val="IndexLink"/>
              </w:rPr>
              <w:t>171</w:t>
            </w:r>
          </w:hyperlink>
        </w:p>
        <w:p>
          <w:pPr>
            <w:pStyle w:val="Contents5"/>
            <w:tabs>
              <w:tab w:val="clear" w:pos="7892"/>
              <w:tab w:val="right" w:pos="9026" w:leader="dot"/>
            </w:tabs>
            <w:rPr/>
          </w:pPr>
          <w:hyperlink w:anchor="__RefHeading___Toc7189589_73709187">
            <w:r>
              <w:rPr>
                <w:webHidden/>
                <w:rStyle w:val="IndexLink"/>
                <w:rtl w:val="true"/>
              </w:rPr>
              <w:t>الإيمان والكفر في مصطلح المتكلّمين</w:t>
            </w:r>
            <w:r>
              <w:rPr>
                <w:rStyle w:val="IndexLink"/>
                <w:rtl w:val="true"/>
              </w:rPr>
              <w:tab/>
            </w:r>
            <w:r>
              <w:rPr>
                <w:rStyle w:val="IndexLink"/>
              </w:rPr>
              <w:t>172</w:t>
            </w:r>
          </w:hyperlink>
        </w:p>
        <w:p>
          <w:pPr>
            <w:pStyle w:val="Contents6"/>
            <w:tabs>
              <w:tab w:val="clear" w:pos="7609"/>
              <w:tab w:val="right" w:pos="9026" w:leader="dot"/>
            </w:tabs>
            <w:rPr/>
          </w:pPr>
          <w:hyperlink w:anchor="__RefHeading___Toc7189591_73709187">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7189593_73709187">
            <w:r>
              <w:rPr>
                <w:webHidden/>
                <w:rStyle w:val="IndexLink"/>
              </w:rPr>
              <w:t>1</w:t>
            </w:r>
            <w:r>
              <w:rPr>
                <w:rStyle w:val="IndexLink"/>
                <w:rtl w:val="true"/>
              </w:rPr>
              <w:t xml:space="preserve">. </w:t>
            </w:r>
            <w:r>
              <w:rPr>
                <w:rStyle w:val="IndexLink"/>
                <w:rtl w:val="true"/>
              </w:rPr>
              <w:t>التصديق اللساني</w:t>
            </w:r>
            <w:r>
              <w:rPr>
                <w:rStyle w:val="IndexLink"/>
                <w:rtl w:val="true"/>
              </w:rPr>
              <w:tab/>
            </w:r>
            <w:r>
              <w:rPr>
                <w:rStyle w:val="IndexLink"/>
              </w:rPr>
              <w:t>172</w:t>
            </w:r>
          </w:hyperlink>
        </w:p>
        <w:p>
          <w:pPr>
            <w:pStyle w:val="Contents6"/>
            <w:tabs>
              <w:tab w:val="clear" w:pos="7609"/>
              <w:tab w:val="right" w:pos="9026" w:leader="dot"/>
            </w:tabs>
            <w:rPr/>
          </w:pPr>
          <w:hyperlink w:anchor="__RefHeading___Toc7189595_73709187">
            <w:r>
              <w:rPr>
                <w:webHidden/>
                <w:rStyle w:val="IndexLink"/>
              </w:rPr>
              <w:t>2</w:t>
            </w:r>
            <w:r>
              <w:rPr>
                <w:rStyle w:val="IndexLink"/>
                <w:rtl w:val="true"/>
              </w:rPr>
              <w:t xml:space="preserve">. </w:t>
            </w:r>
            <w:r>
              <w:rPr>
                <w:rStyle w:val="IndexLink"/>
                <w:rtl w:val="true"/>
              </w:rPr>
              <w:t>التصديق القلبي</w:t>
            </w:r>
            <w:r>
              <w:rPr>
                <w:rStyle w:val="IndexLink"/>
                <w:rtl w:val="true"/>
              </w:rPr>
              <w:tab/>
            </w:r>
            <w:r>
              <w:rPr>
                <w:rStyle w:val="IndexLink"/>
              </w:rPr>
              <w:t>173</w:t>
            </w:r>
          </w:hyperlink>
        </w:p>
        <w:p>
          <w:pPr>
            <w:pStyle w:val="Contents6"/>
            <w:tabs>
              <w:tab w:val="clear" w:pos="7609"/>
              <w:tab w:val="right" w:pos="9026" w:leader="dot"/>
            </w:tabs>
            <w:rPr/>
          </w:pPr>
          <w:hyperlink w:anchor="__RefHeading___Toc7189597_73709187">
            <w:r>
              <w:rPr>
                <w:webHidden/>
                <w:rStyle w:val="IndexLink"/>
              </w:rPr>
              <w:t>3</w:t>
            </w:r>
            <w:r>
              <w:rPr>
                <w:rStyle w:val="IndexLink"/>
                <w:rtl w:val="true"/>
              </w:rPr>
              <w:t xml:space="preserve">. </w:t>
            </w:r>
            <w:r>
              <w:rPr>
                <w:rStyle w:val="IndexLink"/>
                <w:rtl w:val="true"/>
              </w:rPr>
              <w:t>التصديق لساناً وقلباً مع الاجتناب عن الكبائر</w:t>
            </w:r>
            <w:r>
              <w:rPr>
                <w:rStyle w:val="IndexLink"/>
                <w:rtl w:val="true"/>
              </w:rPr>
              <w:tab/>
            </w:r>
            <w:r>
              <w:rPr>
                <w:rStyle w:val="IndexLink"/>
              </w:rPr>
              <w:t>173</w:t>
            </w:r>
          </w:hyperlink>
        </w:p>
        <w:p>
          <w:pPr>
            <w:pStyle w:val="Contents6"/>
            <w:tabs>
              <w:tab w:val="clear" w:pos="7609"/>
              <w:tab w:val="right" w:pos="9026" w:leader="dot"/>
            </w:tabs>
            <w:rPr/>
          </w:pPr>
          <w:hyperlink w:anchor="__RefHeading___Toc7189599_73709187">
            <w:r>
              <w:rPr>
                <w:webHidden/>
                <w:rStyle w:val="IndexLink"/>
              </w:rPr>
              <w:t>4</w:t>
            </w:r>
            <w:r>
              <w:rPr>
                <w:rStyle w:val="IndexLink"/>
                <w:rtl w:val="true"/>
              </w:rPr>
              <w:t xml:space="preserve">. </w:t>
            </w:r>
            <w:r>
              <w:rPr>
                <w:rStyle w:val="IndexLink"/>
                <w:rtl w:val="true"/>
              </w:rPr>
              <w:t>المنزلة بين المنزلتين</w:t>
            </w:r>
            <w:r>
              <w:rPr>
                <w:rStyle w:val="IndexLink"/>
                <w:rtl w:val="true"/>
              </w:rPr>
              <w:tab/>
            </w:r>
            <w:r>
              <w:rPr>
                <w:rStyle w:val="IndexLink"/>
              </w:rPr>
              <w:t>174</w:t>
            </w:r>
          </w:hyperlink>
        </w:p>
        <w:p>
          <w:pPr>
            <w:pStyle w:val="Contents6"/>
            <w:tabs>
              <w:tab w:val="clear" w:pos="7609"/>
              <w:tab w:val="right" w:pos="9026" w:leader="dot"/>
            </w:tabs>
            <w:rPr/>
          </w:pPr>
          <w:hyperlink w:anchor="__RefHeading___Toc7189601_73709187">
            <w:r>
              <w:rPr>
                <w:webHidden/>
                <w:rStyle w:val="IndexLink"/>
              </w:rPr>
              <w:t>5</w:t>
            </w:r>
            <w:r>
              <w:rPr>
                <w:rStyle w:val="IndexLink"/>
                <w:rtl w:val="true"/>
              </w:rPr>
              <w:t xml:space="preserve">. </w:t>
            </w:r>
            <w:r>
              <w:rPr>
                <w:rStyle w:val="IndexLink"/>
                <w:rtl w:val="true"/>
              </w:rPr>
              <w:t>نظرية جمهور العلماء</w:t>
            </w:r>
            <w:r>
              <w:rPr>
                <w:rStyle w:val="IndexLink"/>
                <w:rtl w:val="true"/>
              </w:rPr>
              <w:tab/>
            </w:r>
            <w:r>
              <w:rPr>
                <w:rStyle w:val="IndexLink"/>
              </w:rPr>
              <w:t>174</w:t>
            </w:r>
          </w:hyperlink>
        </w:p>
        <w:p>
          <w:pPr>
            <w:pStyle w:val="Contents4"/>
            <w:tabs>
              <w:tab w:val="clear" w:pos="8176"/>
              <w:tab w:val="right" w:pos="9026" w:leader="dot"/>
            </w:tabs>
            <w:rPr/>
          </w:pPr>
          <w:hyperlink w:anchor="__RefHeading___Toc7189603_73709187">
            <w:r>
              <w:rPr>
                <w:webHidden/>
                <w:rStyle w:val="IndexLink"/>
                <w:rtl w:val="true"/>
              </w:rPr>
              <w:t>الفصل الثاني</w:t>
            </w:r>
            <w:r>
              <w:rPr>
                <w:rStyle w:val="IndexLink"/>
                <w:rtl w:val="true"/>
              </w:rPr>
              <w:t xml:space="preserve">: </w:t>
            </w:r>
            <w:r>
              <w:rPr>
                <w:rStyle w:val="IndexLink"/>
                <w:rtl w:val="true"/>
              </w:rPr>
              <w:t>ما يجب التصديق به</w:t>
            </w:r>
            <w:r>
              <w:rPr>
                <w:rStyle w:val="IndexLink"/>
                <w:rtl w:val="true"/>
              </w:rPr>
              <w:tab/>
            </w:r>
            <w:r>
              <w:rPr>
                <w:rStyle w:val="IndexLink"/>
              </w:rPr>
              <w:t>178</w:t>
            </w:r>
          </w:hyperlink>
        </w:p>
        <w:p>
          <w:pPr>
            <w:pStyle w:val="Contents5"/>
            <w:tabs>
              <w:tab w:val="clear" w:pos="7892"/>
              <w:tab w:val="right" w:pos="9026" w:leader="dot"/>
            </w:tabs>
            <w:rPr/>
          </w:pPr>
          <w:hyperlink w:anchor="__RefHeading___Toc7189605_7370918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7189607_73709187">
            <w:r>
              <w:rPr>
                <w:webHidden/>
                <w:rStyle w:val="IndexLink"/>
              </w:rPr>
              <w:t>1</w:t>
            </w:r>
            <w:r>
              <w:rPr>
                <w:rStyle w:val="IndexLink"/>
                <w:rtl w:val="true"/>
              </w:rPr>
              <w:t xml:space="preserve">. </w:t>
            </w:r>
            <w:r>
              <w:rPr>
                <w:rStyle w:val="IndexLink"/>
                <w:rtl w:val="true"/>
              </w:rPr>
              <w:t>التوحيد في الذات</w:t>
            </w:r>
            <w:r>
              <w:rPr>
                <w:rStyle w:val="IndexLink"/>
                <w:rtl w:val="true"/>
              </w:rPr>
              <w:tab/>
            </w:r>
            <w:r>
              <w:rPr>
                <w:rStyle w:val="IndexLink"/>
              </w:rPr>
              <w:t>178</w:t>
            </w:r>
          </w:hyperlink>
        </w:p>
        <w:p>
          <w:pPr>
            <w:pStyle w:val="Contents5"/>
            <w:tabs>
              <w:tab w:val="clear" w:pos="7892"/>
              <w:tab w:val="right" w:pos="9026" w:leader="dot"/>
            </w:tabs>
            <w:rPr/>
          </w:pPr>
          <w:hyperlink w:anchor="__RefHeading___Toc7189609_73709187">
            <w:r>
              <w:rPr>
                <w:webHidden/>
                <w:rStyle w:val="IndexLink"/>
              </w:rPr>
              <w:t>2</w:t>
            </w:r>
            <w:r>
              <w:rPr>
                <w:rStyle w:val="IndexLink"/>
                <w:rtl w:val="true"/>
              </w:rPr>
              <w:t xml:space="preserve">. </w:t>
            </w:r>
            <w:r>
              <w:rPr>
                <w:rStyle w:val="IndexLink"/>
                <w:rtl w:val="true"/>
              </w:rPr>
              <w:t>التوحيد في الخالقية</w:t>
            </w:r>
            <w:r>
              <w:rPr>
                <w:rStyle w:val="IndexLink"/>
                <w:rtl w:val="true"/>
              </w:rPr>
              <w:tab/>
            </w:r>
            <w:r>
              <w:rPr>
                <w:rStyle w:val="IndexLink"/>
              </w:rPr>
              <w:t>178</w:t>
            </w:r>
          </w:hyperlink>
        </w:p>
        <w:p>
          <w:pPr>
            <w:pStyle w:val="Contents5"/>
            <w:tabs>
              <w:tab w:val="clear" w:pos="7892"/>
              <w:tab w:val="right" w:pos="9026" w:leader="dot"/>
            </w:tabs>
            <w:rPr/>
          </w:pPr>
          <w:hyperlink w:anchor="__RefHeading___Toc7189611_73709187">
            <w:r>
              <w:rPr>
                <w:webHidden/>
                <w:rStyle w:val="IndexLink"/>
              </w:rPr>
              <w:t>3</w:t>
            </w:r>
            <w:r>
              <w:rPr>
                <w:rStyle w:val="IndexLink"/>
                <w:rtl w:val="true"/>
              </w:rPr>
              <w:t xml:space="preserve">. </w:t>
            </w:r>
            <w:r>
              <w:rPr>
                <w:rStyle w:val="IndexLink"/>
                <w:rtl w:val="true"/>
              </w:rPr>
              <w:t>التوحيد في الربوبية</w:t>
            </w:r>
            <w:r>
              <w:rPr>
                <w:rStyle w:val="IndexLink"/>
                <w:rtl w:val="true"/>
              </w:rPr>
              <w:tab/>
            </w:r>
            <w:r>
              <w:rPr>
                <w:rStyle w:val="IndexLink"/>
              </w:rPr>
              <w:t>179</w:t>
            </w:r>
          </w:hyperlink>
        </w:p>
        <w:p>
          <w:pPr>
            <w:pStyle w:val="Contents5"/>
            <w:tabs>
              <w:tab w:val="clear" w:pos="7892"/>
              <w:tab w:val="right" w:pos="9026" w:leader="dot"/>
            </w:tabs>
            <w:rPr/>
          </w:pPr>
          <w:hyperlink w:anchor="__RefHeading___Toc7189613_73709187">
            <w:r>
              <w:rPr>
                <w:webHidden/>
                <w:rStyle w:val="IndexLink"/>
              </w:rPr>
              <w:t>4</w:t>
            </w:r>
            <w:r>
              <w:rPr>
                <w:rStyle w:val="IndexLink"/>
                <w:rtl w:val="true"/>
              </w:rPr>
              <w:t xml:space="preserve">. </w:t>
            </w:r>
            <w:r>
              <w:rPr>
                <w:rStyle w:val="IndexLink"/>
                <w:rtl w:val="true"/>
              </w:rPr>
              <w:t>التوحيد في العبادة</w:t>
            </w:r>
            <w:r>
              <w:rPr>
                <w:rStyle w:val="IndexLink"/>
                <w:rtl w:val="true"/>
              </w:rPr>
              <w:tab/>
            </w:r>
            <w:r>
              <w:rPr>
                <w:rStyle w:val="IndexLink"/>
              </w:rPr>
              <w:t>183</w:t>
            </w:r>
          </w:hyperlink>
        </w:p>
        <w:p>
          <w:pPr>
            <w:pStyle w:val="Contents6"/>
            <w:tabs>
              <w:tab w:val="clear" w:pos="7609"/>
              <w:tab w:val="right" w:pos="9026" w:leader="dot"/>
            </w:tabs>
            <w:rPr/>
          </w:pPr>
          <w:hyperlink w:anchor="__RefHeading___Toc7189615_7370918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7189617_73709187">
            <w:r>
              <w:rPr>
                <w:webHidden/>
                <w:rStyle w:val="IndexLink"/>
                <w:rtl w:val="true"/>
              </w:rPr>
              <w:t>إجابة عن سؤال</w:t>
            </w:r>
            <w:r>
              <w:rPr>
                <w:rStyle w:val="IndexLink"/>
                <w:rtl w:val="true"/>
              </w:rPr>
              <w:tab/>
            </w:r>
            <w:r>
              <w:rPr>
                <w:rStyle w:val="IndexLink"/>
              </w:rPr>
              <w:t>183</w:t>
            </w:r>
          </w:hyperlink>
        </w:p>
        <w:p>
          <w:pPr>
            <w:pStyle w:val="Contents5"/>
            <w:tabs>
              <w:tab w:val="clear" w:pos="7892"/>
              <w:tab w:val="right" w:pos="9026" w:leader="dot"/>
            </w:tabs>
            <w:rPr/>
          </w:pPr>
          <w:hyperlink w:anchor="__RefHeading___Toc7189619_73709187">
            <w:r>
              <w:rPr>
                <w:webHidden/>
                <w:rStyle w:val="IndexLink"/>
              </w:rPr>
              <w:t>5</w:t>
            </w:r>
            <w:r>
              <w:rPr>
                <w:rStyle w:val="IndexLink"/>
                <w:rtl w:val="true"/>
              </w:rPr>
              <w:t xml:space="preserve">. </w:t>
            </w:r>
            <w:r>
              <w:rPr>
                <w:rStyle w:val="IndexLink"/>
                <w:rtl w:val="true"/>
              </w:rPr>
              <w:t>رسالة النبي الخاتم صلى الله عليه و آله و سلم</w:t>
            </w:r>
            <w:r>
              <w:rPr>
                <w:rStyle w:val="IndexLink"/>
                <w:rtl w:val="true"/>
              </w:rPr>
              <w:tab/>
            </w:r>
            <w:r>
              <w:rPr>
                <w:rStyle w:val="IndexLink"/>
              </w:rPr>
              <w:t>185</w:t>
            </w:r>
          </w:hyperlink>
        </w:p>
        <w:p>
          <w:pPr>
            <w:pStyle w:val="Contents5"/>
            <w:tabs>
              <w:tab w:val="clear" w:pos="7892"/>
              <w:tab w:val="right" w:pos="9026" w:leader="dot"/>
            </w:tabs>
            <w:rPr/>
          </w:pPr>
          <w:hyperlink w:anchor="__RefHeading___Toc7189621_73709187">
            <w:r>
              <w:rPr>
                <w:webHidden/>
                <w:rStyle w:val="IndexLink"/>
              </w:rPr>
              <w:t>6</w:t>
            </w:r>
            <w:r>
              <w:rPr>
                <w:rStyle w:val="IndexLink"/>
                <w:rtl w:val="true"/>
              </w:rPr>
              <w:t xml:space="preserve">. </w:t>
            </w:r>
            <w:r>
              <w:rPr>
                <w:rStyle w:val="IndexLink"/>
                <w:rtl w:val="true"/>
              </w:rPr>
              <w:t>إنّ القرآن وحيٌ مُنزل</w:t>
            </w:r>
            <w:r>
              <w:rPr>
                <w:rStyle w:val="IndexLink"/>
                <w:rtl w:val="true"/>
              </w:rPr>
              <w:tab/>
            </w:r>
            <w:r>
              <w:rPr>
                <w:rStyle w:val="IndexLink"/>
              </w:rPr>
              <w:t>186</w:t>
            </w:r>
          </w:hyperlink>
        </w:p>
        <w:p>
          <w:pPr>
            <w:pStyle w:val="Contents5"/>
            <w:tabs>
              <w:tab w:val="clear" w:pos="7892"/>
              <w:tab w:val="right" w:pos="9026" w:leader="dot"/>
            </w:tabs>
            <w:rPr/>
          </w:pPr>
          <w:hyperlink w:anchor="__RefHeading___Toc7189623_73709187">
            <w:r>
              <w:rPr>
                <w:webHidden/>
                <w:rStyle w:val="IndexLink"/>
              </w:rPr>
              <w:t>7</w:t>
            </w:r>
            <w:r>
              <w:rPr>
                <w:rStyle w:val="IndexLink"/>
                <w:rtl w:val="true"/>
              </w:rPr>
              <w:t xml:space="preserve">. </w:t>
            </w:r>
            <w:r>
              <w:rPr>
                <w:rStyle w:val="IndexLink"/>
                <w:rtl w:val="true"/>
              </w:rPr>
              <w:t>الإيمان بالمعاد</w:t>
            </w:r>
            <w:r>
              <w:rPr>
                <w:rStyle w:val="IndexLink"/>
                <w:rtl w:val="true"/>
              </w:rPr>
              <w:tab/>
            </w:r>
            <w:r>
              <w:rPr>
                <w:rStyle w:val="IndexLink"/>
              </w:rPr>
              <w:t>186</w:t>
            </w:r>
          </w:hyperlink>
        </w:p>
        <w:p>
          <w:pPr>
            <w:pStyle w:val="Contents5"/>
            <w:tabs>
              <w:tab w:val="clear" w:pos="7892"/>
              <w:tab w:val="right" w:pos="9026" w:leader="dot"/>
            </w:tabs>
            <w:rPr/>
          </w:pPr>
          <w:hyperlink w:anchor="__RefHeading___Toc7189625_73709187">
            <w:r>
              <w:rPr>
                <w:webHidden/>
                <w:rStyle w:val="IndexLink"/>
                <w:rtl w:val="true"/>
              </w:rPr>
              <w:t>حكم إنكار الضروريات</w:t>
            </w:r>
            <w:r>
              <w:rPr>
                <w:rStyle w:val="IndexLink"/>
                <w:rtl w:val="true"/>
              </w:rPr>
              <w:tab/>
            </w:r>
            <w:r>
              <w:rPr>
                <w:rStyle w:val="IndexLink"/>
              </w:rPr>
              <w:t>187</w:t>
            </w:r>
          </w:hyperlink>
        </w:p>
        <w:p>
          <w:pPr>
            <w:pStyle w:val="Contents4"/>
            <w:tabs>
              <w:tab w:val="clear" w:pos="8176"/>
              <w:tab w:val="right" w:pos="9026" w:leader="dot"/>
            </w:tabs>
            <w:rPr/>
          </w:pPr>
          <w:hyperlink w:anchor="__RefHeading___Toc7189627_73709187">
            <w:r>
              <w:rPr>
                <w:webHidden/>
                <w:rStyle w:val="IndexLink"/>
                <w:rtl w:val="true"/>
              </w:rPr>
              <w:t>الفصل الثالث</w:t>
            </w:r>
            <w:r>
              <w:rPr>
                <w:rStyle w:val="IndexLink"/>
                <w:rtl w:val="true"/>
              </w:rPr>
              <w:t xml:space="preserve">: </w:t>
            </w:r>
            <w:r>
              <w:rPr>
                <w:rStyle w:val="IndexLink"/>
                <w:rtl w:val="true"/>
              </w:rPr>
              <w:t>شروط التكفير وموانعه</w:t>
            </w:r>
            <w:r>
              <w:rPr>
                <w:rStyle w:val="IndexLink"/>
                <w:rtl w:val="true"/>
              </w:rPr>
              <w:tab/>
            </w:r>
            <w:r>
              <w:rPr>
                <w:rStyle w:val="IndexLink"/>
              </w:rPr>
              <w:t>189</w:t>
            </w:r>
          </w:hyperlink>
        </w:p>
        <w:p>
          <w:pPr>
            <w:pStyle w:val="Contents5"/>
            <w:tabs>
              <w:tab w:val="clear" w:pos="7892"/>
              <w:tab w:val="right" w:pos="9026" w:leader="dot"/>
            </w:tabs>
            <w:rPr/>
          </w:pPr>
          <w:hyperlink w:anchor="__RefHeading___Toc7189629_7370918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7189631_73709187">
            <w:r>
              <w:rPr>
                <w:webHidden/>
                <w:rStyle w:val="IndexLink"/>
                <w:rtl w:val="true"/>
              </w:rPr>
              <w:t>التكفير المطلق</w:t>
            </w:r>
            <w:r>
              <w:rPr>
                <w:rStyle w:val="IndexLink"/>
                <w:rtl w:val="true"/>
              </w:rPr>
              <w:tab/>
            </w:r>
            <w:r>
              <w:rPr>
                <w:rStyle w:val="IndexLink"/>
              </w:rPr>
              <w:t>189</w:t>
            </w:r>
          </w:hyperlink>
        </w:p>
        <w:p>
          <w:pPr>
            <w:pStyle w:val="Contents5"/>
            <w:tabs>
              <w:tab w:val="clear" w:pos="7892"/>
              <w:tab w:val="right" w:pos="9026" w:leader="dot"/>
            </w:tabs>
            <w:rPr/>
          </w:pPr>
          <w:hyperlink w:anchor="__RefHeading___Toc7189633_73709187">
            <w:r>
              <w:rPr>
                <w:webHidden/>
                <w:rStyle w:val="IndexLink"/>
                <w:rtl w:val="true"/>
              </w:rPr>
              <w:t>تكفير الفرد المعيّن</w:t>
            </w:r>
            <w:r>
              <w:rPr>
                <w:rStyle w:val="IndexLink"/>
                <w:rtl w:val="true"/>
              </w:rPr>
              <w:tab/>
            </w:r>
            <w:r>
              <w:rPr>
                <w:rStyle w:val="IndexLink"/>
              </w:rPr>
              <w:t>189</w:t>
            </w:r>
          </w:hyperlink>
        </w:p>
        <w:p>
          <w:pPr>
            <w:pStyle w:val="Contents5"/>
            <w:tabs>
              <w:tab w:val="clear" w:pos="7892"/>
              <w:tab w:val="right" w:pos="9026" w:leader="dot"/>
            </w:tabs>
            <w:rPr/>
          </w:pPr>
          <w:hyperlink w:anchor="__RefHeading___Toc7189635_73709187">
            <w:r>
              <w:rPr>
                <w:webHidden/>
                <w:rStyle w:val="IndexLink"/>
                <w:rtl w:val="true"/>
              </w:rPr>
              <w:t>الشرط الأوّل</w:t>
            </w:r>
            <w:r>
              <w:rPr>
                <w:rStyle w:val="IndexLink"/>
                <w:rtl w:val="true"/>
              </w:rPr>
              <w:t xml:space="preserve">: </w:t>
            </w:r>
            <w:r>
              <w:rPr>
                <w:rStyle w:val="IndexLink"/>
                <w:rtl w:val="true"/>
              </w:rPr>
              <w:t>إقامة الحجّة على المنكر</w:t>
            </w:r>
            <w:r>
              <w:rPr>
                <w:rStyle w:val="IndexLink"/>
                <w:rtl w:val="true"/>
              </w:rPr>
              <w:tab/>
            </w:r>
            <w:r>
              <w:rPr>
                <w:rStyle w:val="IndexLink"/>
              </w:rPr>
              <w:t>190</w:t>
            </w:r>
          </w:hyperlink>
        </w:p>
        <w:p>
          <w:pPr>
            <w:pStyle w:val="Contents5"/>
            <w:tabs>
              <w:tab w:val="clear" w:pos="7892"/>
              <w:tab w:val="right" w:pos="9026" w:leader="dot"/>
            </w:tabs>
            <w:rPr/>
          </w:pPr>
          <w:hyperlink w:anchor="__RefHeading___Toc7189637_73709187">
            <w:r>
              <w:rPr>
                <w:webHidden/>
                <w:rStyle w:val="IndexLink"/>
                <w:rtl w:val="true"/>
              </w:rPr>
              <w:t>الشرط الثاني</w:t>
            </w:r>
            <w:r>
              <w:rPr>
                <w:rStyle w:val="IndexLink"/>
                <w:rtl w:val="true"/>
              </w:rPr>
              <w:t xml:space="preserve">: </w:t>
            </w:r>
            <w:r>
              <w:rPr>
                <w:rStyle w:val="IndexLink"/>
                <w:rtl w:val="true"/>
              </w:rPr>
              <w:t>كونه قاصداً للمعنى المخرج</w:t>
            </w:r>
            <w:r>
              <w:rPr>
                <w:rStyle w:val="IndexLink"/>
                <w:rtl w:val="true"/>
              </w:rPr>
              <w:tab/>
            </w:r>
            <w:r>
              <w:rPr>
                <w:rStyle w:val="IndexLink"/>
              </w:rPr>
              <w:t>190</w:t>
            </w:r>
          </w:hyperlink>
        </w:p>
        <w:p>
          <w:pPr>
            <w:pStyle w:val="Contents5"/>
            <w:tabs>
              <w:tab w:val="clear" w:pos="7892"/>
              <w:tab w:val="right" w:pos="9026" w:leader="dot"/>
            </w:tabs>
            <w:rPr/>
          </w:pPr>
          <w:hyperlink w:anchor="__RefHeading___Toc7189639_73709187">
            <w:r>
              <w:rPr>
                <w:webHidden/>
                <w:rStyle w:val="IndexLink"/>
                <w:rtl w:val="true"/>
              </w:rPr>
              <w:t>موانع التكفير</w:t>
            </w:r>
            <w:r>
              <w:rPr>
                <w:rStyle w:val="IndexLink"/>
                <w:rtl w:val="true"/>
              </w:rPr>
              <w:tab/>
            </w:r>
            <w:r>
              <w:rPr>
                <w:rStyle w:val="IndexLink"/>
              </w:rPr>
              <w:t>191</w:t>
            </w:r>
          </w:hyperlink>
        </w:p>
        <w:p>
          <w:pPr>
            <w:pStyle w:val="Contents6"/>
            <w:tabs>
              <w:tab w:val="clear" w:pos="7609"/>
              <w:tab w:val="right" w:pos="9026" w:leader="dot"/>
            </w:tabs>
            <w:rPr/>
          </w:pPr>
          <w:hyperlink w:anchor="__RefHeading___Toc7189641_73709187">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7189643_73709187">
            <w:r>
              <w:rPr>
                <w:webHidden/>
                <w:rStyle w:val="IndexLink"/>
                <w:rtl w:val="true"/>
              </w:rPr>
              <w:t>الأول</w:t>
            </w:r>
            <w:r>
              <w:rPr>
                <w:rStyle w:val="IndexLink"/>
                <w:rtl w:val="true"/>
              </w:rPr>
              <w:t xml:space="preserve">: </w:t>
            </w:r>
            <w:r>
              <w:rPr>
                <w:rStyle w:val="IndexLink"/>
                <w:rtl w:val="true"/>
              </w:rPr>
              <w:t>كونه مختاراً في البيان والعمل</w:t>
            </w:r>
            <w:r>
              <w:rPr>
                <w:rStyle w:val="IndexLink"/>
                <w:rtl w:val="true"/>
              </w:rPr>
              <w:tab/>
            </w:r>
            <w:r>
              <w:rPr>
                <w:rStyle w:val="IndexLink"/>
              </w:rPr>
              <w:t>191</w:t>
            </w:r>
          </w:hyperlink>
        </w:p>
        <w:p>
          <w:pPr>
            <w:pStyle w:val="Contents6"/>
            <w:tabs>
              <w:tab w:val="clear" w:pos="7609"/>
              <w:tab w:val="right" w:pos="9026" w:leader="dot"/>
            </w:tabs>
            <w:rPr/>
          </w:pPr>
          <w:hyperlink w:anchor="__RefHeading___Toc7189645_73709187">
            <w:r>
              <w:rPr>
                <w:webHidden/>
                <w:rStyle w:val="IndexLink"/>
                <w:rtl w:val="true"/>
              </w:rPr>
              <w:t>الثاني</w:t>
            </w:r>
            <w:r>
              <w:rPr>
                <w:rStyle w:val="IndexLink"/>
                <w:rtl w:val="true"/>
              </w:rPr>
              <w:t xml:space="preserve">: </w:t>
            </w:r>
            <w:r>
              <w:rPr>
                <w:rStyle w:val="IndexLink"/>
                <w:rtl w:val="true"/>
              </w:rPr>
              <w:t>الإنكار عن شبهة خارجة عن الاختيار</w:t>
            </w:r>
            <w:r>
              <w:rPr>
                <w:rStyle w:val="IndexLink"/>
                <w:rtl w:val="true"/>
              </w:rPr>
              <w:tab/>
            </w:r>
            <w:r>
              <w:rPr>
                <w:rStyle w:val="IndexLink"/>
              </w:rPr>
              <w:t>192</w:t>
            </w:r>
          </w:hyperlink>
        </w:p>
        <w:p>
          <w:pPr>
            <w:pStyle w:val="Contents6"/>
            <w:tabs>
              <w:tab w:val="clear" w:pos="7609"/>
              <w:tab w:val="right" w:pos="9026" w:leader="dot"/>
            </w:tabs>
            <w:rPr/>
          </w:pPr>
          <w:hyperlink w:anchor="__RefHeading___Toc7189647_73709187">
            <w:r>
              <w:rPr>
                <w:webHidden/>
                <w:rStyle w:val="IndexLink"/>
                <w:rtl w:val="true"/>
              </w:rPr>
              <w:t>الثالث</w:t>
            </w:r>
            <w:r>
              <w:rPr>
                <w:rStyle w:val="IndexLink"/>
                <w:rtl w:val="true"/>
              </w:rPr>
              <w:t xml:space="preserve">: </w:t>
            </w:r>
            <w:r>
              <w:rPr>
                <w:rStyle w:val="IndexLink"/>
                <w:rtl w:val="true"/>
              </w:rPr>
              <w:t>عدم احتمال التأويل</w:t>
            </w:r>
            <w:r>
              <w:rPr>
                <w:rStyle w:val="IndexLink"/>
                <w:rtl w:val="true"/>
              </w:rPr>
              <w:tab/>
            </w:r>
            <w:r>
              <w:rPr>
                <w:rStyle w:val="IndexLink"/>
              </w:rPr>
              <w:t>192</w:t>
            </w:r>
          </w:hyperlink>
        </w:p>
        <w:p>
          <w:pPr>
            <w:pStyle w:val="Contents5"/>
            <w:tabs>
              <w:tab w:val="clear" w:pos="7892"/>
              <w:tab w:val="right" w:pos="9026" w:leader="dot"/>
            </w:tabs>
            <w:rPr/>
          </w:pPr>
          <w:hyperlink w:anchor="__RefHeading___Toc7189649_73709187">
            <w:r>
              <w:rPr>
                <w:webHidden/>
                <w:rStyle w:val="IndexLink"/>
              </w:rPr>
              <w:t>1</w:t>
            </w:r>
            <w:r>
              <w:rPr>
                <w:rStyle w:val="IndexLink"/>
                <w:rtl w:val="true"/>
              </w:rPr>
              <w:t xml:space="preserve">. </w:t>
            </w:r>
            <w:r>
              <w:rPr>
                <w:rStyle w:val="IndexLink"/>
                <w:rtl w:val="true"/>
              </w:rPr>
              <w:t>قتل مالك بن نويرة وتبريره بالتأويل</w:t>
            </w:r>
            <w:r>
              <w:rPr>
                <w:rStyle w:val="IndexLink"/>
                <w:rtl w:val="true"/>
              </w:rPr>
              <w:tab/>
            </w:r>
            <w:r>
              <w:rPr>
                <w:rStyle w:val="IndexLink"/>
              </w:rPr>
              <w:t>193</w:t>
            </w:r>
          </w:hyperlink>
        </w:p>
        <w:p>
          <w:pPr>
            <w:pStyle w:val="Contents5"/>
            <w:tabs>
              <w:tab w:val="clear" w:pos="7892"/>
              <w:tab w:val="right" w:pos="9026" w:leader="dot"/>
            </w:tabs>
            <w:rPr/>
          </w:pPr>
          <w:hyperlink w:anchor="__RefHeading___Toc7189651_73709187">
            <w:r>
              <w:rPr>
                <w:webHidden/>
                <w:rStyle w:val="IndexLink"/>
              </w:rPr>
              <w:t>2</w:t>
            </w:r>
            <w:r>
              <w:rPr>
                <w:rStyle w:val="IndexLink"/>
                <w:rtl w:val="true"/>
              </w:rPr>
              <w:t xml:space="preserve">. </w:t>
            </w:r>
            <w:r>
              <w:rPr>
                <w:rStyle w:val="IndexLink"/>
                <w:rtl w:val="true"/>
              </w:rPr>
              <w:t>قتل الهرمزان وإمساك الخليفة عن إجراء القصاص</w:t>
            </w:r>
            <w:r>
              <w:rPr>
                <w:rStyle w:val="IndexLink"/>
                <w:rtl w:val="true"/>
              </w:rPr>
              <w:tab/>
            </w:r>
            <w:r>
              <w:rPr>
                <w:rStyle w:val="IndexLink"/>
              </w:rPr>
              <w:t>194</w:t>
            </w:r>
          </w:hyperlink>
        </w:p>
        <w:p>
          <w:pPr>
            <w:pStyle w:val="Contents4"/>
            <w:tabs>
              <w:tab w:val="clear" w:pos="8176"/>
              <w:tab w:val="right" w:pos="9026" w:leader="dot"/>
            </w:tabs>
            <w:rPr/>
          </w:pPr>
          <w:hyperlink w:anchor="__RefHeading___Toc7189653_73709187">
            <w:r>
              <w:rPr>
                <w:webHidden/>
                <w:rStyle w:val="IndexLink"/>
                <w:rtl w:val="true"/>
              </w:rPr>
              <w:t>الفصل الرابع</w:t>
            </w:r>
            <w:r>
              <w:rPr>
                <w:rStyle w:val="IndexLink"/>
                <w:rtl w:val="true"/>
              </w:rPr>
              <w:t xml:space="preserve">: </w:t>
            </w:r>
            <w:r>
              <w:rPr>
                <w:rStyle w:val="IndexLink"/>
                <w:rtl w:val="true"/>
              </w:rPr>
              <w:t>جذور التكفير في العصور الأُولى</w:t>
            </w:r>
            <w:r>
              <w:rPr>
                <w:rStyle w:val="IndexLink"/>
                <w:rtl w:val="true"/>
              </w:rPr>
              <w:tab/>
            </w:r>
            <w:r>
              <w:rPr>
                <w:rStyle w:val="IndexLink"/>
              </w:rPr>
              <w:t>195</w:t>
            </w:r>
          </w:hyperlink>
        </w:p>
        <w:p>
          <w:pPr>
            <w:pStyle w:val="Contents5"/>
            <w:tabs>
              <w:tab w:val="clear" w:pos="7892"/>
              <w:tab w:val="right" w:pos="9026" w:leader="dot"/>
            </w:tabs>
            <w:rPr/>
          </w:pPr>
          <w:hyperlink w:anchor="__RefHeading___Toc7189655_7370918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7189657_73709187">
            <w:r>
              <w:rPr>
                <w:webHidden/>
                <w:rStyle w:val="IndexLink"/>
                <w:rtl w:val="true"/>
              </w:rPr>
              <w:t>بادرة التكفير في عصر رسول اللّه صلى الله عليه و آله و سلم</w:t>
            </w:r>
            <w:r>
              <w:rPr>
                <w:rStyle w:val="IndexLink"/>
                <w:rtl w:val="true"/>
              </w:rPr>
              <w:tab/>
            </w:r>
            <w:r>
              <w:rPr>
                <w:rStyle w:val="IndexLink"/>
              </w:rPr>
              <w:t>195</w:t>
            </w:r>
          </w:hyperlink>
        </w:p>
        <w:p>
          <w:pPr>
            <w:pStyle w:val="Contents6"/>
            <w:tabs>
              <w:tab w:val="clear" w:pos="7609"/>
              <w:tab w:val="right" w:pos="9026" w:leader="dot"/>
            </w:tabs>
            <w:rPr/>
          </w:pPr>
          <w:hyperlink w:anchor="__RefHeading___Toc7189659_73709187">
            <w:r>
              <w:rPr>
                <w:webHidden/>
                <w:rStyle w:val="IndexLink"/>
              </w:rPr>
              <w:t>1</w:t>
            </w:r>
            <w:r>
              <w:rPr>
                <w:rStyle w:val="IndexLink"/>
                <w:rtl w:val="true"/>
              </w:rPr>
              <w:t xml:space="preserve">. </w:t>
            </w:r>
            <w:r>
              <w:rPr>
                <w:rStyle w:val="IndexLink"/>
                <w:rtl w:val="true"/>
              </w:rPr>
              <w:t>أُسامة بن زيد يقتل مسلماً</w:t>
            </w:r>
            <w:r>
              <w:rPr>
                <w:rStyle w:val="IndexLink"/>
                <w:rtl w:val="true"/>
              </w:rPr>
              <w:tab/>
            </w:r>
            <w:r>
              <w:rPr>
                <w:rStyle w:val="IndexLink"/>
              </w:rPr>
              <w:t>195</w:t>
            </w:r>
          </w:hyperlink>
        </w:p>
        <w:p>
          <w:pPr>
            <w:pStyle w:val="Contents6"/>
            <w:tabs>
              <w:tab w:val="clear" w:pos="7609"/>
              <w:tab w:val="right" w:pos="9026" w:leader="dot"/>
            </w:tabs>
            <w:rPr/>
          </w:pPr>
          <w:hyperlink w:anchor="__RefHeading___Toc7189661_73709187">
            <w:r>
              <w:rPr>
                <w:webHidden/>
                <w:rStyle w:val="IndexLink"/>
              </w:rPr>
              <w:t>2</w:t>
            </w:r>
            <w:r>
              <w:rPr>
                <w:rStyle w:val="IndexLink"/>
                <w:rtl w:val="true"/>
              </w:rPr>
              <w:t xml:space="preserve">. </w:t>
            </w:r>
            <w:r>
              <w:rPr>
                <w:rStyle w:val="IndexLink"/>
                <w:rtl w:val="true"/>
              </w:rPr>
              <w:t>الوليد بن عقبة وتكفير بني المصطلق</w:t>
            </w:r>
            <w:r>
              <w:rPr>
                <w:rStyle w:val="IndexLink"/>
                <w:rtl w:val="true"/>
              </w:rPr>
              <w:tab/>
            </w:r>
            <w:r>
              <w:rPr>
                <w:rStyle w:val="IndexLink"/>
              </w:rPr>
              <w:t>196</w:t>
            </w:r>
          </w:hyperlink>
        </w:p>
        <w:p>
          <w:pPr>
            <w:pStyle w:val="Contents6"/>
            <w:tabs>
              <w:tab w:val="clear" w:pos="7609"/>
              <w:tab w:val="right" w:pos="9026" w:leader="dot"/>
            </w:tabs>
            <w:rPr/>
          </w:pPr>
          <w:hyperlink w:anchor="__RefHeading___Toc7189663_73709187">
            <w:r>
              <w:rPr>
                <w:webHidden/>
                <w:rStyle w:val="IndexLink"/>
              </w:rPr>
              <w:t>3</w:t>
            </w:r>
            <w:r>
              <w:rPr>
                <w:rStyle w:val="IndexLink"/>
                <w:rtl w:val="true"/>
              </w:rPr>
              <w:t xml:space="preserve">. </w:t>
            </w:r>
            <w:r>
              <w:rPr>
                <w:rStyle w:val="IndexLink"/>
                <w:rtl w:val="true"/>
              </w:rPr>
              <w:t>اعتراض ذي الخويصرة على النبي صلى الله عليه و آله و سلم</w:t>
            </w:r>
            <w:r>
              <w:rPr>
                <w:rStyle w:val="IndexLink"/>
                <w:rtl w:val="true"/>
              </w:rPr>
              <w:tab/>
            </w:r>
            <w:r>
              <w:rPr>
                <w:rStyle w:val="IndexLink"/>
              </w:rPr>
              <w:t>196</w:t>
            </w:r>
          </w:hyperlink>
        </w:p>
        <w:p>
          <w:pPr>
            <w:pStyle w:val="Contents5"/>
            <w:tabs>
              <w:tab w:val="clear" w:pos="7892"/>
              <w:tab w:val="right" w:pos="9026" w:leader="dot"/>
            </w:tabs>
            <w:rPr/>
          </w:pPr>
          <w:hyperlink w:anchor="__RefHeading___Toc7189665_73709187">
            <w:r>
              <w:rPr>
                <w:webHidden/>
                <w:rStyle w:val="IndexLink"/>
                <w:rtl w:val="true"/>
              </w:rPr>
              <w:t>ظاهرة التكفير في زمن الخلفاء</w:t>
            </w:r>
            <w:r>
              <w:rPr>
                <w:rStyle w:val="IndexLink"/>
                <w:rtl w:val="true"/>
              </w:rPr>
              <w:tab/>
            </w:r>
            <w:r>
              <w:rPr>
                <w:rStyle w:val="IndexLink"/>
              </w:rPr>
              <w:t>197</w:t>
            </w:r>
          </w:hyperlink>
        </w:p>
        <w:p>
          <w:pPr>
            <w:pStyle w:val="Contents6"/>
            <w:tabs>
              <w:tab w:val="clear" w:pos="7609"/>
              <w:tab w:val="right" w:pos="9026" w:leader="dot"/>
            </w:tabs>
            <w:rPr/>
          </w:pPr>
          <w:hyperlink w:anchor="__RefHeading___Toc7189667_73709187">
            <w:r>
              <w:rPr>
                <w:webHidden/>
                <w:rStyle w:val="IndexLink"/>
              </w:rPr>
              <w:t>1</w:t>
            </w:r>
            <w:r>
              <w:rPr>
                <w:rStyle w:val="IndexLink"/>
                <w:rtl w:val="true"/>
              </w:rPr>
              <w:t xml:space="preserve">. </w:t>
            </w:r>
            <w:r>
              <w:rPr>
                <w:rStyle w:val="IndexLink"/>
                <w:rtl w:val="true"/>
              </w:rPr>
              <w:t>تكفير مالك بن نويرة بتأويل باطل</w:t>
            </w:r>
            <w:r>
              <w:rPr>
                <w:rStyle w:val="IndexLink"/>
                <w:rtl w:val="true"/>
              </w:rPr>
              <w:tab/>
            </w:r>
            <w:r>
              <w:rPr>
                <w:rStyle w:val="IndexLink"/>
              </w:rPr>
              <w:t>197</w:t>
            </w:r>
          </w:hyperlink>
        </w:p>
        <w:p>
          <w:pPr>
            <w:pStyle w:val="Contents6"/>
            <w:tabs>
              <w:tab w:val="clear" w:pos="7609"/>
              <w:tab w:val="right" w:pos="9026" w:leader="dot"/>
            </w:tabs>
            <w:rPr/>
          </w:pPr>
          <w:hyperlink w:anchor="__RefHeading___Toc7189669_73709187">
            <w:r>
              <w:rPr>
                <w:webHidden/>
                <w:rStyle w:val="IndexLink"/>
              </w:rPr>
              <w:t>2</w:t>
            </w:r>
            <w:r>
              <w:rPr>
                <w:rStyle w:val="IndexLink"/>
                <w:rtl w:val="true"/>
              </w:rPr>
              <w:t xml:space="preserve">. </w:t>
            </w:r>
            <w:r>
              <w:rPr>
                <w:rStyle w:val="IndexLink"/>
                <w:rtl w:val="true"/>
              </w:rPr>
              <w:t>تكفير عائشة عثمان</w:t>
            </w:r>
            <w:r>
              <w:rPr>
                <w:rStyle w:val="IndexLink"/>
                <w:rtl w:val="true"/>
              </w:rPr>
              <w:tab/>
            </w:r>
            <w:r>
              <w:rPr>
                <w:rStyle w:val="IndexLink"/>
              </w:rPr>
              <w:t>197</w:t>
            </w:r>
          </w:hyperlink>
        </w:p>
        <w:p>
          <w:pPr>
            <w:pStyle w:val="Contents6"/>
            <w:tabs>
              <w:tab w:val="clear" w:pos="7609"/>
              <w:tab w:val="right" w:pos="9026" w:leader="dot"/>
            </w:tabs>
            <w:rPr/>
          </w:pPr>
          <w:hyperlink w:anchor="__RefHeading___Toc7189671_73709187">
            <w:r>
              <w:rPr>
                <w:webHidden/>
                <w:rStyle w:val="IndexLink"/>
              </w:rPr>
              <w:t>3</w:t>
            </w:r>
            <w:r>
              <w:rPr>
                <w:rStyle w:val="IndexLink"/>
                <w:rtl w:val="true"/>
              </w:rPr>
              <w:t xml:space="preserve">. </w:t>
            </w:r>
            <w:r>
              <w:rPr>
                <w:rStyle w:val="IndexLink"/>
                <w:rtl w:val="true"/>
              </w:rPr>
              <w:t>الخوارج والتكفير</w:t>
            </w:r>
            <w:r>
              <w:rPr>
                <w:rStyle w:val="IndexLink"/>
                <w:rtl w:val="true"/>
              </w:rPr>
              <w:tab/>
            </w:r>
            <w:r>
              <w:rPr>
                <w:rStyle w:val="IndexLink"/>
              </w:rPr>
              <w:t>198</w:t>
            </w:r>
          </w:hyperlink>
        </w:p>
        <w:p>
          <w:pPr>
            <w:pStyle w:val="Contents4"/>
            <w:tabs>
              <w:tab w:val="clear" w:pos="8176"/>
              <w:tab w:val="right" w:pos="9026" w:leader="dot"/>
            </w:tabs>
            <w:rPr/>
          </w:pPr>
          <w:hyperlink w:anchor="__RefHeading___Toc7189673_73709187">
            <w:r>
              <w:rPr>
                <w:webHidden/>
                <w:rStyle w:val="IndexLink"/>
                <w:rtl w:val="true"/>
              </w:rPr>
              <w:t>الفصل الخامس</w:t>
            </w:r>
            <w:r>
              <w:rPr>
                <w:rStyle w:val="IndexLink"/>
                <w:rtl w:val="true"/>
              </w:rPr>
              <w:t xml:space="preserve">: </w:t>
            </w:r>
            <w:r>
              <w:rPr>
                <w:rStyle w:val="IndexLink"/>
                <w:rtl w:val="true"/>
              </w:rPr>
              <w:t>إدانة تكفير أهل القبلة على لسان النبيّ صلى الله عليه و آله و سلم والعلماء</w:t>
            </w:r>
            <w:r>
              <w:rPr>
                <w:rStyle w:val="IndexLink"/>
                <w:rtl w:val="true"/>
              </w:rPr>
              <w:tab/>
            </w:r>
            <w:r>
              <w:rPr>
                <w:rStyle w:val="IndexLink"/>
              </w:rPr>
              <w:t>200</w:t>
            </w:r>
          </w:hyperlink>
        </w:p>
        <w:p>
          <w:pPr>
            <w:pStyle w:val="Contents4"/>
            <w:tabs>
              <w:tab w:val="clear" w:pos="8176"/>
              <w:tab w:val="right" w:pos="9026" w:leader="dot"/>
            </w:tabs>
            <w:rPr/>
          </w:pPr>
          <w:hyperlink w:anchor="__RefHeading___Toc7189675_73709187">
            <w:r>
              <w:rPr>
                <w:webHidden/>
                <w:rStyle w:val="IndexLink"/>
                <w:rtl w:val="true"/>
              </w:rPr>
              <w:t>الفصل السادس</w:t>
            </w:r>
            <w:r>
              <w:rPr>
                <w:rStyle w:val="IndexLink"/>
                <w:rtl w:val="true"/>
              </w:rPr>
              <w:t xml:space="preserve">: </w:t>
            </w:r>
            <w:r>
              <w:rPr>
                <w:rStyle w:val="IndexLink"/>
                <w:rtl w:val="true"/>
              </w:rPr>
              <w:t>الذرائع الباطلة لتكفير المسلمين</w:t>
            </w:r>
            <w:r>
              <w:rPr>
                <w:rStyle w:val="IndexLink"/>
                <w:rtl w:val="true"/>
              </w:rPr>
              <w:tab/>
            </w:r>
            <w:r>
              <w:rPr>
                <w:rStyle w:val="IndexLink"/>
              </w:rPr>
              <w:t>203</w:t>
            </w:r>
          </w:hyperlink>
        </w:p>
        <w:p>
          <w:pPr>
            <w:pStyle w:val="Contents5"/>
            <w:tabs>
              <w:tab w:val="clear" w:pos="7892"/>
              <w:tab w:val="right" w:pos="9026" w:leader="dot"/>
            </w:tabs>
            <w:rPr/>
          </w:pPr>
          <w:hyperlink w:anchor="__RefHeading___Toc7189677_7370918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189679_73709187">
            <w:r>
              <w:rPr>
                <w:webHidden/>
                <w:rStyle w:val="IndexLink"/>
                <w:rtl w:val="true"/>
              </w:rPr>
              <w:t>الذرائع التي يكفّر بها عامّة المسلمين</w:t>
            </w:r>
            <w:r>
              <w:rPr>
                <w:rStyle w:val="IndexLink"/>
                <w:rtl w:val="true"/>
              </w:rPr>
              <w:tab/>
            </w:r>
            <w:r>
              <w:rPr>
                <w:rStyle w:val="IndexLink"/>
              </w:rPr>
              <w:t>203</w:t>
            </w:r>
          </w:hyperlink>
        </w:p>
        <w:p>
          <w:pPr>
            <w:pStyle w:val="Contents5"/>
            <w:tabs>
              <w:tab w:val="clear" w:pos="7892"/>
              <w:tab w:val="right" w:pos="9026" w:leader="dot"/>
            </w:tabs>
            <w:rPr/>
          </w:pPr>
          <w:hyperlink w:anchor="__RefHeading___Toc7189681_73709187">
            <w:r>
              <w:rPr>
                <w:webHidden/>
                <w:rStyle w:val="IndexLink"/>
                <w:rtl w:val="true"/>
              </w:rPr>
              <w:t>المسألة الأُولى</w:t>
            </w:r>
            <w:r>
              <w:rPr>
                <w:rStyle w:val="IndexLink"/>
                <w:rtl w:val="true"/>
              </w:rPr>
              <w:t xml:space="preserve">: </w:t>
            </w:r>
            <w:r>
              <w:rPr>
                <w:rStyle w:val="IndexLink"/>
                <w:rtl w:val="true"/>
              </w:rPr>
              <w:t>الاعتقاد بقدرة غيبية في الأولياء</w:t>
            </w:r>
            <w:r>
              <w:rPr>
                <w:rStyle w:val="IndexLink"/>
                <w:rtl w:val="true"/>
              </w:rPr>
              <w:tab/>
            </w:r>
            <w:r>
              <w:rPr>
                <w:rStyle w:val="IndexLink"/>
              </w:rPr>
              <w:t>205</w:t>
            </w:r>
          </w:hyperlink>
        </w:p>
        <w:p>
          <w:pPr>
            <w:pStyle w:val="Contents6"/>
            <w:tabs>
              <w:tab w:val="clear" w:pos="7609"/>
              <w:tab w:val="right" w:pos="9026" w:leader="dot"/>
            </w:tabs>
            <w:rPr/>
          </w:pPr>
          <w:hyperlink w:anchor="__RefHeading___Toc7189683_73709187">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7189685_73709187">
            <w:r>
              <w:rPr>
                <w:webHidden/>
                <w:rStyle w:val="IndexLink"/>
              </w:rPr>
              <w:t>1</w:t>
            </w:r>
            <w:r>
              <w:rPr>
                <w:rStyle w:val="IndexLink"/>
                <w:rtl w:val="true"/>
              </w:rPr>
              <w:t xml:space="preserve">. </w:t>
            </w:r>
            <w:r>
              <w:rPr>
                <w:rStyle w:val="IndexLink"/>
                <w:rtl w:val="true"/>
              </w:rPr>
              <w:t>القدرة الغيبية للنبي يوسف عليه السلام</w:t>
            </w:r>
            <w:r>
              <w:rPr>
                <w:rStyle w:val="IndexLink"/>
                <w:rtl w:val="true"/>
              </w:rPr>
              <w:tab/>
            </w:r>
            <w:r>
              <w:rPr>
                <w:rStyle w:val="IndexLink"/>
              </w:rPr>
              <w:t>206</w:t>
            </w:r>
          </w:hyperlink>
        </w:p>
        <w:p>
          <w:pPr>
            <w:pStyle w:val="Contents6"/>
            <w:tabs>
              <w:tab w:val="clear" w:pos="7609"/>
              <w:tab w:val="right" w:pos="9026" w:leader="dot"/>
            </w:tabs>
            <w:rPr/>
          </w:pPr>
          <w:hyperlink w:anchor="__RefHeading___Toc7189687_73709187">
            <w:r>
              <w:rPr>
                <w:webHidden/>
                <w:rStyle w:val="IndexLink"/>
              </w:rPr>
              <w:t>2</w:t>
            </w:r>
            <w:r>
              <w:rPr>
                <w:rStyle w:val="IndexLink"/>
                <w:rtl w:val="true"/>
              </w:rPr>
              <w:t xml:space="preserve">. </w:t>
            </w:r>
            <w:r>
              <w:rPr>
                <w:rStyle w:val="IndexLink"/>
                <w:rtl w:val="true"/>
              </w:rPr>
              <w:t>القدرة الغيبية للنبي سليمان عليه السلام</w:t>
            </w:r>
            <w:r>
              <w:rPr>
                <w:rStyle w:val="IndexLink"/>
                <w:rtl w:val="true"/>
              </w:rPr>
              <w:tab/>
            </w:r>
            <w:r>
              <w:rPr>
                <w:rStyle w:val="IndexLink"/>
              </w:rPr>
              <w:t>207</w:t>
            </w:r>
          </w:hyperlink>
        </w:p>
        <w:p>
          <w:pPr>
            <w:pStyle w:val="Contents6"/>
            <w:tabs>
              <w:tab w:val="clear" w:pos="7609"/>
              <w:tab w:val="right" w:pos="9026" w:leader="dot"/>
            </w:tabs>
            <w:rPr/>
          </w:pPr>
          <w:hyperlink w:anchor="__RefHeading___Toc7189689_73709187">
            <w:r>
              <w:rPr>
                <w:webHidden/>
                <w:rStyle w:val="IndexLink"/>
                <w:rtl w:val="true"/>
              </w:rPr>
              <w:t>التوسّل بالأنبياء والأولياء بالصور الثلاث</w:t>
            </w:r>
            <w:r>
              <w:rPr>
                <w:rStyle w:val="IndexLink"/>
                <w:rtl w:val="true"/>
              </w:rPr>
              <w:tab/>
            </w:r>
            <w:r>
              <w:rPr>
                <w:rStyle w:val="IndexLink"/>
              </w:rPr>
              <w:t>209</w:t>
            </w:r>
          </w:hyperlink>
        </w:p>
        <w:p>
          <w:pPr>
            <w:pStyle w:val="Contents6"/>
            <w:tabs>
              <w:tab w:val="clear" w:pos="7609"/>
              <w:tab w:val="right" w:pos="9026" w:leader="dot"/>
            </w:tabs>
            <w:rPr/>
          </w:pPr>
          <w:hyperlink w:anchor="__RefHeading___Toc7189691_73709187">
            <w:r>
              <w:rPr>
                <w:webHidden/>
                <w:rStyle w:val="IndexLink"/>
                <w:rtl w:val="true"/>
              </w:rPr>
              <w:t>كلام حول سند الحديث</w:t>
            </w:r>
            <w:r>
              <w:rPr>
                <w:rStyle w:val="IndexLink"/>
                <w:rtl w:val="true"/>
              </w:rPr>
              <w:tab/>
            </w:r>
            <w:r>
              <w:rPr>
                <w:rStyle w:val="IndexLink"/>
              </w:rPr>
              <w:t>210</w:t>
            </w:r>
          </w:hyperlink>
        </w:p>
        <w:p>
          <w:pPr>
            <w:pStyle w:val="Contents6"/>
            <w:tabs>
              <w:tab w:val="clear" w:pos="7609"/>
              <w:tab w:val="right" w:pos="9026" w:leader="dot"/>
            </w:tabs>
            <w:rPr/>
          </w:pPr>
          <w:hyperlink w:anchor="__RefHeading___Toc7189693_73709187">
            <w:r>
              <w:rPr>
                <w:webHidden/>
                <w:rStyle w:val="IndexLink"/>
                <w:rtl w:val="true"/>
              </w:rPr>
              <w:t>توسّل عمر بن الخطاب بعمّ النبيّ صلى الله عليه و آله و سلم</w:t>
            </w:r>
            <w:r>
              <w:rPr>
                <w:rStyle w:val="IndexLink"/>
                <w:rtl w:val="true"/>
              </w:rPr>
              <w:tab/>
            </w:r>
            <w:r>
              <w:rPr>
                <w:rStyle w:val="IndexLink"/>
              </w:rPr>
              <w:t>211</w:t>
            </w:r>
          </w:hyperlink>
        </w:p>
        <w:p>
          <w:pPr>
            <w:pStyle w:val="Contents6"/>
            <w:tabs>
              <w:tab w:val="clear" w:pos="7609"/>
              <w:tab w:val="right" w:pos="9026" w:leader="dot"/>
            </w:tabs>
            <w:rPr/>
          </w:pPr>
          <w:hyperlink w:anchor="__RefHeading___Toc7189695_73709187">
            <w:r>
              <w:rPr>
                <w:webHidden/>
                <w:rStyle w:val="IndexLink"/>
                <w:rtl w:val="true"/>
              </w:rPr>
              <w:t>شبهة كون النبيّ ميّتاً</w:t>
            </w:r>
            <w:r>
              <w:rPr>
                <w:rStyle w:val="IndexLink"/>
                <w:rtl w:val="true"/>
              </w:rPr>
              <w:tab/>
            </w:r>
            <w:r>
              <w:rPr>
                <w:rStyle w:val="IndexLink"/>
              </w:rPr>
              <w:t>213</w:t>
            </w:r>
          </w:hyperlink>
        </w:p>
        <w:p>
          <w:pPr>
            <w:pStyle w:val="Contents5"/>
            <w:tabs>
              <w:tab w:val="clear" w:pos="7892"/>
              <w:tab w:val="right" w:pos="9026" w:leader="dot"/>
            </w:tabs>
            <w:rPr/>
          </w:pPr>
          <w:hyperlink w:anchor="__RefHeading___Toc7189697_73709187">
            <w:r>
              <w:rPr>
                <w:webHidden/>
                <w:rStyle w:val="IndexLink"/>
                <w:rtl w:val="true"/>
              </w:rPr>
              <w:t>المسألة الثانية</w:t>
            </w:r>
            <w:r>
              <w:rPr>
                <w:rStyle w:val="IndexLink"/>
                <w:rtl w:val="true"/>
              </w:rPr>
              <w:t xml:space="preserve">: </w:t>
            </w:r>
            <w:r>
              <w:rPr>
                <w:rStyle w:val="IndexLink"/>
                <w:rtl w:val="true"/>
              </w:rPr>
              <w:t>الصلاة عند قبور الأنبياء والأولياء</w:t>
            </w:r>
            <w:r>
              <w:rPr>
                <w:rStyle w:val="IndexLink"/>
                <w:rtl w:val="true"/>
              </w:rPr>
              <w:tab/>
            </w:r>
            <w:r>
              <w:rPr>
                <w:rStyle w:val="IndexLink"/>
              </w:rPr>
              <w:t>214</w:t>
            </w:r>
          </w:hyperlink>
        </w:p>
        <w:p>
          <w:pPr>
            <w:pStyle w:val="Contents6"/>
            <w:tabs>
              <w:tab w:val="clear" w:pos="7609"/>
              <w:tab w:val="right" w:pos="9026" w:leader="dot"/>
            </w:tabs>
            <w:rPr/>
          </w:pPr>
          <w:hyperlink w:anchor="__RefHeading___Toc7189699_73709187">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7189701_73709187">
            <w:r>
              <w:rPr>
                <w:webHidden/>
                <w:rStyle w:val="IndexLink"/>
              </w:rPr>
              <w:t>1</w:t>
            </w:r>
            <w:r>
              <w:rPr>
                <w:rStyle w:val="IndexLink"/>
                <w:rtl w:val="true"/>
              </w:rPr>
              <w:t xml:space="preserve">. </w:t>
            </w:r>
            <w:r>
              <w:rPr>
                <w:rStyle w:val="IndexLink"/>
                <w:rtl w:val="true"/>
              </w:rPr>
              <w:t>الصلاة في مقام إبراهيم عليه السلام</w:t>
            </w:r>
            <w:r>
              <w:rPr>
                <w:rStyle w:val="IndexLink"/>
                <w:rtl w:val="true"/>
              </w:rPr>
              <w:tab/>
            </w:r>
            <w:r>
              <w:rPr>
                <w:rStyle w:val="IndexLink"/>
              </w:rPr>
              <w:t>214</w:t>
            </w:r>
          </w:hyperlink>
        </w:p>
        <w:p>
          <w:pPr>
            <w:pStyle w:val="Contents6"/>
            <w:tabs>
              <w:tab w:val="clear" w:pos="7609"/>
              <w:tab w:val="right" w:pos="9026" w:leader="dot"/>
            </w:tabs>
            <w:rPr/>
          </w:pPr>
          <w:hyperlink w:anchor="__RefHeading___Toc7189703_73709187">
            <w:r>
              <w:rPr>
                <w:webHidden/>
                <w:rStyle w:val="IndexLink"/>
              </w:rPr>
              <w:t>2</w:t>
            </w:r>
            <w:r>
              <w:rPr>
                <w:rStyle w:val="IndexLink"/>
                <w:rtl w:val="true"/>
              </w:rPr>
              <w:t xml:space="preserve">. </w:t>
            </w:r>
            <w:r>
              <w:rPr>
                <w:rStyle w:val="IndexLink"/>
                <w:rtl w:val="true"/>
              </w:rPr>
              <w:t>إقامة الصلاة على قبور أصحاب الكهف</w:t>
            </w:r>
            <w:r>
              <w:rPr>
                <w:rStyle w:val="IndexLink"/>
                <w:rtl w:val="true"/>
              </w:rPr>
              <w:tab/>
            </w:r>
            <w:r>
              <w:rPr>
                <w:rStyle w:val="IndexLink"/>
              </w:rPr>
              <w:t>215</w:t>
            </w:r>
          </w:hyperlink>
        </w:p>
        <w:p>
          <w:pPr>
            <w:pStyle w:val="Contents6"/>
            <w:tabs>
              <w:tab w:val="clear" w:pos="7609"/>
              <w:tab w:val="right" w:pos="9026" w:leader="dot"/>
            </w:tabs>
            <w:rPr/>
          </w:pPr>
          <w:hyperlink w:anchor="__RefHeading___Toc7189705_73709187">
            <w:r>
              <w:rPr>
                <w:webHidden/>
                <w:rStyle w:val="IndexLink"/>
                <w:rtl w:val="true"/>
              </w:rPr>
              <w:t>كيفية الاستدلال</w:t>
            </w:r>
            <w:r>
              <w:rPr>
                <w:rStyle w:val="IndexLink"/>
                <w:rtl w:val="true"/>
              </w:rPr>
              <w:tab/>
            </w:r>
            <w:r>
              <w:rPr>
                <w:rStyle w:val="IndexLink"/>
              </w:rPr>
              <w:t>216</w:t>
            </w:r>
          </w:hyperlink>
        </w:p>
        <w:p>
          <w:pPr>
            <w:pStyle w:val="Contents6"/>
            <w:tabs>
              <w:tab w:val="clear" w:pos="7609"/>
              <w:tab w:val="right" w:pos="9026" w:leader="dot"/>
            </w:tabs>
            <w:rPr/>
          </w:pPr>
          <w:hyperlink w:anchor="__RefHeading___Toc7189707_73709187">
            <w:r>
              <w:rPr>
                <w:webHidden/>
                <w:rStyle w:val="IndexLink"/>
                <w:rtl w:val="true"/>
              </w:rPr>
              <w:t>دليل المخالف</w:t>
            </w:r>
            <w:r>
              <w:rPr>
                <w:rStyle w:val="IndexLink"/>
                <w:rtl w:val="true"/>
              </w:rPr>
              <w:tab/>
            </w:r>
            <w:r>
              <w:rPr>
                <w:rStyle w:val="IndexLink"/>
              </w:rPr>
              <w:t>217</w:t>
            </w:r>
          </w:hyperlink>
        </w:p>
        <w:p>
          <w:pPr>
            <w:pStyle w:val="Contents6"/>
            <w:tabs>
              <w:tab w:val="clear" w:pos="7609"/>
              <w:tab w:val="right" w:pos="9026" w:leader="dot"/>
            </w:tabs>
            <w:rPr/>
          </w:pPr>
          <w:hyperlink w:anchor="__RefHeading___Toc7189709_73709187">
            <w:r>
              <w:rPr>
                <w:webHidden/>
                <w:rStyle w:val="IndexLink"/>
                <w:rtl w:val="true"/>
              </w:rPr>
              <w:t>إيضاح مفاد الروايات</w:t>
            </w:r>
            <w:r>
              <w:rPr>
                <w:rStyle w:val="IndexLink"/>
                <w:rtl w:val="true"/>
              </w:rPr>
              <w:tab/>
            </w:r>
            <w:r>
              <w:rPr>
                <w:rStyle w:val="IndexLink"/>
              </w:rPr>
              <w:t>218</w:t>
            </w:r>
          </w:hyperlink>
        </w:p>
        <w:p>
          <w:pPr>
            <w:pStyle w:val="Contents5"/>
            <w:tabs>
              <w:tab w:val="clear" w:pos="7892"/>
              <w:tab w:val="right" w:pos="9026" w:leader="dot"/>
            </w:tabs>
            <w:rPr/>
          </w:pPr>
          <w:hyperlink w:anchor="__RefHeading___Toc7189711_73709187">
            <w:r>
              <w:rPr>
                <w:webHidden/>
                <w:rStyle w:val="IndexLink"/>
                <w:rtl w:val="true"/>
              </w:rPr>
              <w:t>المسألة الثالثة</w:t>
            </w:r>
            <w:r>
              <w:rPr>
                <w:rStyle w:val="IndexLink"/>
                <w:rtl w:val="true"/>
              </w:rPr>
              <w:t xml:space="preserve">: </w:t>
            </w:r>
            <w:r>
              <w:rPr>
                <w:rStyle w:val="IndexLink"/>
                <w:rtl w:val="true"/>
              </w:rPr>
              <w:t>حفظ آثار الأنبياء والسلف الصالح من قبورهم وبيوتهم وما يمتّ إليهم بصلة</w:t>
            </w:r>
            <w:r>
              <w:rPr>
                <w:rStyle w:val="IndexLink"/>
                <w:rtl w:val="true"/>
              </w:rPr>
              <w:tab/>
            </w:r>
            <w:r>
              <w:rPr>
                <w:rStyle w:val="IndexLink"/>
              </w:rPr>
              <w:t>222</w:t>
            </w:r>
          </w:hyperlink>
        </w:p>
        <w:p>
          <w:pPr>
            <w:pStyle w:val="Contents6"/>
            <w:tabs>
              <w:tab w:val="clear" w:pos="7609"/>
              <w:tab w:val="right" w:pos="9026" w:leader="dot"/>
            </w:tabs>
            <w:rPr/>
          </w:pPr>
          <w:hyperlink w:anchor="__RefHeading___Toc7189713_73709187">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7189715_73709187">
            <w:r>
              <w:rPr>
                <w:webHidden/>
                <w:rStyle w:val="IndexLink"/>
                <w:rtl w:val="true"/>
              </w:rPr>
              <w:t>الأوّل</w:t>
            </w:r>
            <w:r>
              <w:rPr>
                <w:rStyle w:val="IndexLink"/>
                <w:rtl w:val="true"/>
              </w:rPr>
              <w:t xml:space="preserve">: </w:t>
            </w:r>
            <w:r>
              <w:rPr>
                <w:rStyle w:val="IndexLink"/>
                <w:rtl w:val="true"/>
              </w:rPr>
              <w:t>مكانة بيوت الأنبياء في القرآن الكريم</w:t>
            </w:r>
            <w:r>
              <w:rPr>
                <w:rStyle w:val="IndexLink"/>
                <w:rtl w:val="true"/>
              </w:rPr>
              <w:tab/>
            </w:r>
            <w:r>
              <w:rPr>
                <w:rStyle w:val="IndexLink"/>
              </w:rPr>
              <w:t>223</w:t>
            </w:r>
          </w:hyperlink>
        </w:p>
        <w:p>
          <w:pPr>
            <w:pStyle w:val="Contents6"/>
            <w:tabs>
              <w:tab w:val="clear" w:pos="7609"/>
              <w:tab w:val="right" w:pos="9026" w:leader="dot"/>
            </w:tabs>
            <w:rPr/>
          </w:pPr>
          <w:hyperlink w:anchor="__RefHeading___Toc7189717_73709187">
            <w:r>
              <w:rPr>
                <w:webHidden/>
                <w:rStyle w:val="IndexLink"/>
                <w:rtl w:val="true"/>
              </w:rPr>
              <w:t>الثاني</w:t>
            </w:r>
            <w:r>
              <w:rPr>
                <w:rStyle w:val="IndexLink"/>
                <w:rtl w:val="true"/>
              </w:rPr>
              <w:t xml:space="preserve">: </w:t>
            </w:r>
            <w:r>
              <w:rPr>
                <w:rStyle w:val="IndexLink"/>
                <w:rtl w:val="true"/>
              </w:rPr>
              <w:t>صيانة الآثار ومودّة القربى</w:t>
            </w:r>
            <w:r>
              <w:rPr>
                <w:rStyle w:val="IndexLink"/>
                <w:rtl w:val="true"/>
              </w:rPr>
              <w:tab/>
            </w:r>
            <w:r>
              <w:rPr>
                <w:rStyle w:val="IndexLink"/>
              </w:rPr>
              <w:t>225</w:t>
            </w:r>
          </w:hyperlink>
        </w:p>
        <w:p>
          <w:pPr>
            <w:pStyle w:val="Contents6"/>
            <w:tabs>
              <w:tab w:val="clear" w:pos="7609"/>
              <w:tab w:val="right" w:pos="9026" w:leader="dot"/>
            </w:tabs>
            <w:rPr/>
          </w:pPr>
          <w:hyperlink w:anchor="__RefHeading___Toc7189719_73709187">
            <w:r>
              <w:rPr>
                <w:webHidden/>
                <w:rStyle w:val="IndexLink"/>
                <w:rtl w:val="true"/>
              </w:rPr>
              <w:t>الثالث</w:t>
            </w:r>
            <w:r>
              <w:rPr>
                <w:rStyle w:val="IndexLink"/>
                <w:rtl w:val="true"/>
              </w:rPr>
              <w:t xml:space="preserve">: </w:t>
            </w:r>
            <w:r>
              <w:rPr>
                <w:rStyle w:val="IndexLink"/>
                <w:rtl w:val="true"/>
              </w:rPr>
              <w:t>صيانة الآثار تعظيم للشعائر</w:t>
            </w:r>
            <w:r>
              <w:rPr>
                <w:rStyle w:val="IndexLink"/>
                <w:rtl w:val="true"/>
              </w:rPr>
              <w:tab/>
            </w:r>
            <w:r>
              <w:rPr>
                <w:rStyle w:val="IndexLink"/>
              </w:rPr>
              <w:t>226</w:t>
            </w:r>
          </w:hyperlink>
        </w:p>
        <w:p>
          <w:pPr>
            <w:pStyle w:val="Contents6"/>
            <w:tabs>
              <w:tab w:val="clear" w:pos="7609"/>
              <w:tab w:val="right" w:pos="9026" w:leader="dot"/>
            </w:tabs>
            <w:rPr/>
          </w:pPr>
          <w:hyperlink w:anchor="__RefHeading___Toc7189721_73709187">
            <w:r>
              <w:rPr>
                <w:webHidden/>
                <w:rStyle w:val="IndexLink"/>
                <w:rtl w:val="true"/>
              </w:rPr>
              <w:t>الرابع</w:t>
            </w:r>
            <w:r>
              <w:rPr>
                <w:rStyle w:val="IndexLink"/>
                <w:rtl w:val="true"/>
              </w:rPr>
              <w:t xml:space="preserve">: </w:t>
            </w:r>
            <w:r>
              <w:rPr>
                <w:rStyle w:val="IndexLink"/>
                <w:rtl w:val="true"/>
              </w:rPr>
              <w:t>القرآن الكريم وحفظ الآثار</w:t>
            </w:r>
            <w:r>
              <w:rPr>
                <w:rStyle w:val="IndexLink"/>
                <w:rtl w:val="true"/>
              </w:rPr>
              <w:tab/>
            </w:r>
            <w:r>
              <w:rPr>
                <w:rStyle w:val="IndexLink"/>
              </w:rPr>
              <w:t>227</w:t>
            </w:r>
          </w:hyperlink>
        </w:p>
        <w:p>
          <w:pPr>
            <w:pStyle w:val="Contents6"/>
            <w:tabs>
              <w:tab w:val="clear" w:pos="7609"/>
              <w:tab w:val="right" w:pos="9026" w:leader="dot"/>
            </w:tabs>
            <w:rPr/>
          </w:pPr>
          <w:hyperlink w:anchor="__RefHeading___Toc7189723_73709187">
            <w:r>
              <w:rPr>
                <w:webHidden/>
                <w:rStyle w:val="IndexLink"/>
                <w:rtl w:val="true"/>
              </w:rPr>
              <w:t>دليل المخالف</w:t>
            </w:r>
            <w:r>
              <w:rPr>
                <w:rStyle w:val="IndexLink"/>
                <w:rtl w:val="true"/>
              </w:rPr>
              <w:tab/>
            </w:r>
            <w:r>
              <w:rPr>
                <w:rStyle w:val="IndexLink"/>
              </w:rPr>
              <w:t>228</w:t>
            </w:r>
          </w:hyperlink>
        </w:p>
        <w:p>
          <w:pPr>
            <w:pStyle w:val="Contents5"/>
            <w:tabs>
              <w:tab w:val="clear" w:pos="7892"/>
              <w:tab w:val="right" w:pos="9026" w:leader="dot"/>
            </w:tabs>
            <w:rPr/>
          </w:pPr>
          <w:hyperlink w:anchor="__RefHeading___Toc7189725_73709187">
            <w:r>
              <w:rPr>
                <w:webHidden/>
                <w:rStyle w:val="IndexLink"/>
                <w:rtl w:val="true"/>
              </w:rPr>
              <w:t>المسألة الرابعة</w:t>
            </w:r>
            <w:r>
              <w:rPr>
                <w:rStyle w:val="IndexLink"/>
                <w:rtl w:val="true"/>
              </w:rPr>
              <w:t xml:space="preserve">: </w:t>
            </w:r>
            <w:r>
              <w:rPr>
                <w:rStyle w:val="IndexLink"/>
                <w:rtl w:val="true"/>
              </w:rPr>
              <w:t>النذر للنبي والإمام</w:t>
            </w:r>
            <w:r>
              <w:rPr>
                <w:rStyle w:val="IndexLink"/>
                <w:rtl w:val="true"/>
              </w:rPr>
              <w:tab/>
            </w:r>
            <w:r>
              <w:rPr>
                <w:rStyle w:val="IndexLink"/>
              </w:rPr>
              <w:t>230</w:t>
            </w:r>
          </w:hyperlink>
        </w:p>
        <w:p>
          <w:pPr>
            <w:pStyle w:val="Contents5"/>
            <w:tabs>
              <w:tab w:val="clear" w:pos="7892"/>
              <w:tab w:val="right" w:pos="9026" w:leader="dot"/>
            </w:tabs>
            <w:rPr/>
          </w:pPr>
          <w:hyperlink w:anchor="__RefHeading___Toc7189727_73709187">
            <w:r>
              <w:rPr>
                <w:webHidden/>
                <w:rStyle w:val="IndexLink"/>
                <w:rtl w:val="true"/>
              </w:rPr>
              <w:t>المسألة الخامسة</w:t>
            </w:r>
            <w:r>
              <w:rPr>
                <w:rStyle w:val="IndexLink"/>
                <w:rtl w:val="true"/>
              </w:rPr>
              <w:t xml:space="preserve">: </w:t>
            </w:r>
            <w:r>
              <w:rPr>
                <w:rStyle w:val="IndexLink"/>
                <w:rtl w:val="true"/>
              </w:rPr>
              <w:t>التبرّك بآثار الأنبياء</w:t>
            </w:r>
            <w:r>
              <w:rPr>
                <w:rStyle w:val="IndexLink"/>
                <w:rtl w:val="true"/>
              </w:rPr>
              <w:tab/>
            </w:r>
            <w:r>
              <w:rPr>
                <w:rStyle w:val="IndexLink"/>
              </w:rPr>
              <w:t>232</w:t>
            </w:r>
          </w:hyperlink>
        </w:p>
        <w:p>
          <w:pPr>
            <w:pStyle w:val="Contents5"/>
            <w:tabs>
              <w:tab w:val="clear" w:pos="7892"/>
              <w:tab w:val="right" w:pos="9026" w:leader="dot"/>
            </w:tabs>
            <w:rPr/>
          </w:pPr>
          <w:hyperlink w:anchor="__RefHeading___Toc7189729_73709187">
            <w:r>
              <w:rPr>
                <w:webHidden/>
                <w:rStyle w:val="IndexLink"/>
                <w:rtl w:val="true"/>
              </w:rPr>
              <w:t>نتيجة البحث</w:t>
            </w:r>
            <w:r>
              <w:rPr>
                <w:rStyle w:val="IndexLink"/>
                <w:rtl w:val="true"/>
              </w:rPr>
              <w:tab/>
            </w:r>
            <w:r>
              <w:rPr>
                <w:rStyle w:val="IndexLink"/>
              </w:rPr>
              <w:t>234</w:t>
            </w:r>
          </w:hyperlink>
        </w:p>
        <w:p>
          <w:pPr>
            <w:pStyle w:val="Contents4"/>
            <w:tabs>
              <w:tab w:val="clear" w:pos="8176"/>
              <w:tab w:val="right" w:pos="9026" w:leader="dot"/>
            </w:tabs>
            <w:rPr/>
          </w:pPr>
          <w:hyperlink w:anchor="__RefHeading___Toc7189731_73709187">
            <w:r>
              <w:rPr>
                <w:webHidden/>
                <w:rStyle w:val="IndexLink"/>
                <w:rtl w:val="true"/>
              </w:rPr>
              <w:t>الفصل السابع</w:t>
            </w:r>
            <w:r>
              <w:rPr>
                <w:rStyle w:val="IndexLink"/>
                <w:rtl w:val="true"/>
              </w:rPr>
              <w:t xml:space="preserve">: </w:t>
            </w:r>
            <w:r>
              <w:rPr>
                <w:rStyle w:val="IndexLink"/>
                <w:rtl w:val="true"/>
              </w:rPr>
              <w:t>الذرائع التي يكفّر بها الشيعة</w:t>
            </w:r>
            <w:r>
              <w:rPr>
                <w:rStyle w:val="IndexLink"/>
                <w:rtl w:val="true"/>
              </w:rPr>
              <w:tab/>
            </w:r>
            <w:r>
              <w:rPr>
                <w:rStyle w:val="IndexLink"/>
              </w:rPr>
              <w:t>236</w:t>
            </w:r>
          </w:hyperlink>
        </w:p>
        <w:p>
          <w:pPr>
            <w:pStyle w:val="Contents5"/>
            <w:tabs>
              <w:tab w:val="clear" w:pos="7892"/>
              <w:tab w:val="right" w:pos="9026" w:leader="dot"/>
            </w:tabs>
            <w:rPr/>
          </w:pPr>
          <w:hyperlink w:anchor="__RefHeading___Toc7189733_7370918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7189735_73709187">
            <w:r>
              <w:rPr>
                <w:webHidden/>
                <w:rStyle w:val="IndexLink"/>
              </w:rPr>
              <w:t>1</w:t>
            </w:r>
            <w:r>
              <w:rPr>
                <w:rStyle w:val="IndexLink"/>
                <w:rtl w:val="true"/>
              </w:rPr>
              <w:t xml:space="preserve">. </w:t>
            </w:r>
            <w:r>
              <w:rPr>
                <w:rStyle w:val="IndexLink"/>
                <w:rtl w:val="true"/>
              </w:rPr>
              <w:t>القول بالبداء</w:t>
            </w:r>
            <w:r>
              <w:rPr>
                <w:rStyle w:val="IndexLink"/>
                <w:rtl w:val="true"/>
              </w:rPr>
              <w:tab/>
            </w:r>
            <w:r>
              <w:rPr>
                <w:rStyle w:val="IndexLink"/>
              </w:rPr>
              <w:t>237</w:t>
            </w:r>
          </w:hyperlink>
        </w:p>
        <w:p>
          <w:pPr>
            <w:pStyle w:val="Contents5"/>
            <w:tabs>
              <w:tab w:val="clear" w:pos="7892"/>
              <w:tab w:val="right" w:pos="9026" w:leader="dot"/>
            </w:tabs>
            <w:rPr/>
          </w:pPr>
          <w:hyperlink w:anchor="__RefHeading___Toc7189737_73709187">
            <w:r>
              <w:rPr>
                <w:webHidden/>
                <w:rStyle w:val="IndexLink"/>
              </w:rPr>
              <w:t>2</w:t>
            </w:r>
            <w:r>
              <w:rPr>
                <w:rStyle w:val="IndexLink"/>
                <w:rtl w:val="true"/>
              </w:rPr>
              <w:t xml:space="preserve">. </w:t>
            </w:r>
            <w:r>
              <w:rPr>
                <w:rStyle w:val="IndexLink"/>
                <w:rtl w:val="true"/>
              </w:rPr>
              <w:t>الإيمان بخلافة الخلفاء</w:t>
            </w:r>
            <w:r>
              <w:rPr>
                <w:rStyle w:val="IndexLink"/>
                <w:rtl w:val="true"/>
              </w:rPr>
              <w:tab/>
            </w:r>
            <w:r>
              <w:rPr>
                <w:rStyle w:val="IndexLink"/>
              </w:rPr>
              <w:t>238</w:t>
            </w:r>
          </w:hyperlink>
        </w:p>
        <w:p>
          <w:pPr>
            <w:pStyle w:val="Contents5"/>
            <w:tabs>
              <w:tab w:val="clear" w:pos="7892"/>
              <w:tab w:val="right" w:pos="9026" w:leader="dot"/>
            </w:tabs>
            <w:rPr/>
          </w:pPr>
          <w:hyperlink w:anchor="__RefHeading___Toc7189739_73709187">
            <w:r>
              <w:rPr>
                <w:webHidden/>
                <w:rStyle w:val="IndexLink"/>
              </w:rPr>
              <w:t>3</w:t>
            </w:r>
            <w:r>
              <w:rPr>
                <w:rStyle w:val="IndexLink"/>
                <w:rtl w:val="true"/>
              </w:rPr>
              <w:t xml:space="preserve">. </w:t>
            </w:r>
            <w:r>
              <w:rPr>
                <w:rStyle w:val="IndexLink"/>
                <w:rtl w:val="true"/>
              </w:rPr>
              <w:t>علم الأئمة عليهم السلام بالغيب</w:t>
            </w:r>
            <w:r>
              <w:rPr>
                <w:rStyle w:val="IndexLink"/>
                <w:rtl w:val="true"/>
              </w:rPr>
              <w:tab/>
            </w:r>
            <w:r>
              <w:rPr>
                <w:rStyle w:val="IndexLink"/>
              </w:rPr>
              <w:t>239</w:t>
            </w:r>
          </w:hyperlink>
        </w:p>
        <w:p>
          <w:pPr>
            <w:pStyle w:val="Contents5"/>
            <w:tabs>
              <w:tab w:val="clear" w:pos="7892"/>
              <w:tab w:val="right" w:pos="9026" w:leader="dot"/>
            </w:tabs>
            <w:rPr/>
          </w:pPr>
          <w:hyperlink w:anchor="__RefHeading___Toc7189741_73709187">
            <w:r>
              <w:rPr>
                <w:webHidden/>
                <w:rStyle w:val="IndexLink"/>
              </w:rPr>
              <w:t>4</w:t>
            </w:r>
            <w:r>
              <w:rPr>
                <w:rStyle w:val="IndexLink"/>
                <w:rtl w:val="true"/>
              </w:rPr>
              <w:t xml:space="preserve">. </w:t>
            </w:r>
            <w:r>
              <w:rPr>
                <w:rStyle w:val="IndexLink"/>
                <w:rtl w:val="true"/>
              </w:rPr>
              <w:t>التقيّة من المسلم</w:t>
            </w:r>
            <w:r>
              <w:rPr>
                <w:rStyle w:val="IndexLink"/>
                <w:rtl w:val="true"/>
              </w:rPr>
              <w:tab/>
            </w:r>
            <w:r>
              <w:rPr>
                <w:rStyle w:val="IndexLink"/>
              </w:rPr>
              <w:t>240</w:t>
            </w:r>
          </w:hyperlink>
        </w:p>
        <w:p>
          <w:pPr>
            <w:pStyle w:val="Contents5"/>
            <w:tabs>
              <w:tab w:val="clear" w:pos="7892"/>
              <w:tab w:val="right" w:pos="9026" w:leader="dot"/>
            </w:tabs>
            <w:rPr/>
          </w:pPr>
          <w:hyperlink w:anchor="__RefHeading___Toc7189743_73709187">
            <w:r>
              <w:rPr>
                <w:webHidden/>
                <w:rStyle w:val="IndexLink"/>
              </w:rPr>
              <w:t>5</w:t>
            </w:r>
            <w:r>
              <w:rPr>
                <w:rStyle w:val="IndexLink"/>
                <w:rtl w:val="true"/>
              </w:rPr>
              <w:t xml:space="preserve">. </w:t>
            </w:r>
            <w:r>
              <w:rPr>
                <w:rStyle w:val="IndexLink"/>
                <w:rtl w:val="true"/>
              </w:rPr>
              <w:t>تكفير الصحابة</w:t>
            </w:r>
            <w:r>
              <w:rPr>
                <w:rStyle w:val="IndexLink"/>
                <w:rtl w:val="true"/>
              </w:rPr>
              <w:tab/>
            </w:r>
            <w:r>
              <w:rPr>
                <w:rStyle w:val="IndexLink"/>
              </w:rPr>
              <w:t>241</w:t>
            </w:r>
          </w:hyperlink>
        </w:p>
        <w:p>
          <w:pPr>
            <w:pStyle w:val="Contents5"/>
            <w:tabs>
              <w:tab w:val="clear" w:pos="7892"/>
              <w:tab w:val="right" w:pos="9026" w:leader="dot"/>
            </w:tabs>
            <w:rPr/>
          </w:pPr>
          <w:hyperlink w:anchor="__RefHeading___Toc7189745_73709187">
            <w:r>
              <w:rPr>
                <w:webHidden/>
                <w:rStyle w:val="IndexLink"/>
                <w:rtl w:val="true"/>
              </w:rPr>
              <w:t>نتيجة الدراسة</w:t>
            </w:r>
            <w:r>
              <w:rPr>
                <w:rStyle w:val="IndexLink"/>
                <w:rtl w:val="true"/>
              </w:rPr>
              <w:tab/>
            </w:r>
            <w:r>
              <w:rPr>
                <w:rStyle w:val="IndexLink"/>
              </w:rPr>
              <w:t>244</w:t>
            </w:r>
          </w:hyperlink>
        </w:p>
        <w:p>
          <w:pPr>
            <w:pStyle w:val="Contents5"/>
            <w:tabs>
              <w:tab w:val="clear" w:pos="7892"/>
              <w:tab w:val="right" w:pos="9026" w:leader="dot"/>
            </w:tabs>
            <w:rPr/>
          </w:pPr>
          <w:hyperlink w:anchor="__RefHeading___Toc7189747_73709187">
            <w:r>
              <w:rPr>
                <w:webHidden/>
                <w:rStyle w:val="IndexLink"/>
                <w:rtl w:val="true"/>
              </w:rPr>
              <w:t>هذا هو الداء وأمّا الدواء</w:t>
            </w:r>
            <w:r>
              <w:rPr>
                <w:rStyle w:val="IndexLink"/>
                <w:rtl w:val="true"/>
              </w:rPr>
              <w:tab/>
            </w:r>
            <w:r>
              <w:rPr>
                <w:rStyle w:val="IndexLink"/>
              </w:rPr>
              <w:t>244</w:t>
            </w:r>
          </w:hyperlink>
        </w:p>
        <w:p>
          <w:pPr>
            <w:pStyle w:val="Contents6"/>
            <w:tabs>
              <w:tab w:val="clear" w:pos="7609"/>
              <w:tab w:val="right" w:pos="9026" w:leader="dot"/>
            </w:tabs>
            <w:rPr/>
          </w:pPr>
          <w:hyperlink w:anchor="__RefHeading___Toc7189749_73709187">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7189751_73709187">
            <w:r>
              <w:rPr>
                <w:webHidden/>
                <w:rStyle w:val="IndexLink"/>
              </w:rPr>
              <w:t>1</w:t>
            </w:r>
            <w:r>
              <w:rPr>
                <w:rStyle w:val="IndexLink"/>
                <w:rtl w:val="true"/>
              </w:rPr>
              <w:t xml:space="preserve">. </w:t>
            </w:r>
            <w:r>
              <w:rPr>
                <w:rStyle w:val="IndexLink"/>
                <w:rtl w:val="true"/>
              </w:rPr>
              <w:t>نقد الأفكار الخاطئة التي تُشمّ منها رائحة تكفير الفرق الإسلامية</w:t>
            </w:r>
            <w:r>
              <w:rPr>
                <w:rStyle w:val="IndexLink"/>
                <w:rtl w:val="true"/>
              </w:rPr>
              <w:tab/>
            </w:r>
            <w:r>
              <w:rPr>
                <w:rStyle w:val="IndexLink"/>
              </w:rPr>
              <w:t>244</w:t>
            </w:r>
          </w:hyperlink>
        </w:p>
        <w:p>
          <w:pPr>
            <w:pStyle w:val="Contents6"/>
            <w:tabs>
              <w:tab w:val="clear" w:pos="7609"/>
              <w:tab w:val="right" w:pos="9026" w:leader="dot"/>
            </w:tabs>
            <w:rPr/>
          </w:pPr>
          <w:hyperlink w:anchor="__RefHeading___Toc7189753_73709187">
            <w:r>
              <w:rPr>
                <w:webHidden/>
                <w:rStyle w:val="IndexLink"/>
              </w:rPr>
              <w:t>2</w:t>
            </w:r>
            <w:r>
              <w:rPr>
                <w:rStyle w:val="IndexLink"/>
                <w:rtl w:val="true"/>
              </w:rPr>
              <w:t xml:space="preserve">. </w:t>
            </w:r>
            <w:r>
              <w:rPr>
                <w:rStyle w:val="IndexLink"/>
                <w:rtl w:val="true"/>
              </w:rPr>
              <w:t>تطهير البرامج الدراسية في بعض الدول</w:t>
            </w:r>
            <w:r>
              <w:rPr>
                <w:rStyle w:val="IndexLink"/>
                <w:rtl w:val="true"/>
              </w:rPr>
              <w:tab/>
            </w:r>
            <w:r>
              <w:rPr>
                <w:rStyle w:val="IndexLink"/>
              </w:rPr>
              <w:t>246</w:t>
            </w:r>
          </w:hyperlink>
        </w:p>
        <w:p>
          <w:pPr>
            <w:pStyle w:val="Contents4"/>
            <w:tabs>
              <w:tab w:val="clear" w:pos="8176"/>
              <w:tab w:val="right" w:pos="9026" w:leader="dot"/>
            </w:tabs>
            <w:rPr/>
          </w:pPr>
          <w:hyperlink w:anchor="__RefHeading___Toc7189755_73709187">
            <w:r>
              <w:rPr>
                <w:webHidden/>
                <w:rStyle w:val="IndexLink"/>
                <w:rtl w:val="true"/>
              </w:rPr>
              <w:t>الملاحق</w:t>
            </w:r>
            <w:r>
              <w:rPr>
                <w:rStyle w:val="IndexLink"/>
                <w:rtl w:val="true"/>
              </w:rPr>
              <w:tab/>
            </w:r>
            <w:r>
              <w:rPr>
                <w:rStyle w:val="IndexLink"/>
              </w:rPr>
              <w:t>249</w:t>
            </w:r>
          </w:hyperlink>
        </w:p>
        <w:p>
          <w:pPr>
            <w:pStyle w:val="Contents5"/>
            <w:tabs>
              <w:tab w:val="clear" w:pos="7892"/>
              <w:tab w:val="right" w:pos="9026" w:leader="dot"/>
            </w:tabs>
            <w:rPr/>
          </w:pPr>
          <w:hyperlink w:anchor="__RefHeading___Toc7189757_7370918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7189759_73709187">
            <w:r>
              <w:rPr>
                <w:webHidden/>
                <w:rStyle w:val="IndexLink"/>
                <w:rtl w:val="true"/>
              </w:rPr>
              <w:t xml:space="preserve">الملحق </w:t>
            </w:r>
            <w:r>
              <w:rPr>
                <w:rStyle w:val="IndexLink"/>
              </w:rPr>
              <w:t>1</w:t>
            </w:r>
            <w:r>
              <w:rPr>
                <w:rStyle w:val="IndexLink"/>
                <w:rtl w:val="true"/>
              </w:rPr>
              <w:tab/>
            </w:r>
            <w:r>
              <w:rPr>
                <w:rStyle w:val="IndexLink"/>
              </w:rPr>
              <w:t>249</w:t>
            </w:r>
          </w:hyperlink>
        </w:p>
        <w:p>
          <w:pPr>
            <w:pStyle w:val="Contents6"/>
            <w:tabs>
              <w:tab w:val="clear" w:pos="7609"/>
              <w:tab w:val="right" w:pos="9026" w:leader="dot"/>
            </w:tabs>
            <w:rPr/>
          </w:pPr>
          <w:hyperlink w:anchor="__RefHeading___Toc7189761_7370918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7189763_73709187">
            <w:r>
              <w:rPr>
                <w:webHidden/>
                <w:rStyle w:val="IndexLink"/>
                <w:rtl w:val="true"/>
              </w:rPr>
              <w:t>التكفير العنيف</w:t>
            </w:r>
            <w:r>
              <w:rPr>
                <w:rStyle w:val="IndexLink"/>
                <w:rtl w:val="true"/>
              </w:rPr>
              <w:tab/>
            </w:r>
            <w:r>
              <w:rPr>
                <w:rStyle w:val="IndexLink"/>
              </w:rPr>
              <w:t>252</w:t>
            </w:r>
          </w:hyperlink>
        </w:p>
        <w:p>
          <w:pPr>
            <w:pStyle w:val="Contents5"/>
            <w:tabs>
              <w:tab w:val="clear" w:pos="7892"/>
              <w:tab w:val="right" w:pos="9026" w:leader="dot"/>
            </w:tabs>
            <w:rPr/>
          </w:pPr>
          <w:hyperlink w:anchor="__RefHeading___Toc7189765_73709187">
            <w:r>
              <w:rPr>
                <w:webHidden/>
                <w:rStyle w:val="IndexLink"/>
                <w:rtl w:val="true"/>
              </w:rPr>
              <w:t xml:space="preserve">الملحق </w:t>
            </w:r>
            <w:r>
              <w:rPr>
                <w:rStyle w:val="IndexLink"/>
              </w:rPr>
              <w:t>2</w:t>
            </w:r>
            <w:r>
              <w:rPr>
                <w:rStyle w:val="IndexLink"/>
                <w:rtl w:val="true"/>
              </w:rPr>
              <w:tab/>
            </w:r>
            <w:r>
              <w:rPr>
                <w:rStyle w:val="IndexLink"/>
              </w:rPr>
              <w:t>255</w:t>
            </w:r>
          </w:hyperlink>
        </w:p>
        <w:p>
          <w:pPr>
            <w:pStyle w:val="Contents6"/>
            <w:tabs>
              <w:tab w:val="clear" w:pos="7609"/>
              <w:tab w:val="right" w:pos="9026" w:leader="dot"/>
            </w:tabs>
            <w:rPr/>
          </w:pPr>
          <w:hyperlink w:anchor="__RefHeading___Toc7189767_7370918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7189769_73709187">
            <w:r>
              <w:rPr>
                <w:webHidden/>
                <w:rStyle w:val="IndexLink"/>
                <w:rtl w:val="true"/>
              </w:rPr>
              <w:t>كيف نواجه ظاهرة التكفير؟</w:t>
            </w:r>
            <w:r>
              <w:rPr>
                <w:rStyle w:val="IndexLink"/>
                <w:rtl w:val="true"/>
              </w:rPr>
              <w:tab/>
            </w:r>
            <w:r>
              <w:rPr>
                <w:rStyle w:val="IndexLink"/>
              </w:rPr>
              <w:t>255</w:t>
            </w:r>
          </w:hyperlink>
        </w:p>
        <w:p>
          <w:pPr>
            <w:pStyle w:val="Contents3"/>
            <w:tabs>
              <w:tab w:val="clear" w:pos="8459"/>
              <w:tab w:val="right" w:pos="9026" w:leader="dot"/>
            </w:tabs>
            <w:rPr/>
          </w:pPr>
          <w:hyperlink w:anchor="__RefHeading___Toc7189771_73709187">
            <w:r>
              <w:rPr>
                <w:webHidden/>
                <w:rStyle w:val="IndexLink"/>
              </w:rPr>
              <w:t>3</w:t>
            </w:r>
            <w:r>
              <w:rPr>
                <w:rStyle w:val="IndexLink"/>
                <w:rtl w:val="true"/>
              </w:rPr>
              <w:t xml:space="preserve"> </w:t>
            </w:r>
            <w:r>
              <w:rPr>
                <w:rStyle w:val="IndexLink"/>
                <w:rtl w:val="true"/>
              </w:rPr>
              <w:t>آل البيت عليهم السلام وحقوقهم الشرعية</w:t>
            </w:r>
            <w:r>
              <w:rPr>
                <w:rStyle w:val="IndexLink"/>
                <w:rtl w:val="true"/>
              </w:rPr>
              <w:tab/>
            </w:r>
            <w:r>
              <w:rPr>
                <w:rStyle w:val="IndexLink"/>
              </w:rPr>
              <w:t>259</w:t>
            </w:r>
          </w:hyperlink>
        </w:p>
        <w:p>
          <w:pPr>
            <w:pStyle w:val="Contents4"/>
            <w:tabs>
              <w:tab w:val="clear" w:pos="8176"/>
              <w:tab w:val="right" w:pos="9026" w:leader="dot"/>
            </w:tabs>
            <w:rPr/>
          </w:pPr>
          <w:hyperlink w:anchor="__RefHeading___Toc7189773_7370918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7189775_73709187">
            <w:r>
              <w:rPr>
                <w:webHidden/>
                <w:rStyle w:val="IndexLink"/>
                <w:rtl w:val="true"/>
              </w:rPr>
              <w:t>تمهيد</w:t>
            </w:r>
            <w:r>
              <w:rPr>
                <w:rStyle w:val="IndexLink"/>
                <w:rtl w:val="true"/>
              </w:rPr>
              <w:tab/>
            </w:r>
            <w:r>
              <w:rPr>
                <w:rStyle w:val="IndexLink"/>
              </w:rPr>
              <w:t>260</w:t>
            </w:r>
          </w:hyperlink>
        </w:p>
        <w:p>
          <w:pPr>
            <w:pStyle w:val="Contents4"/>
            <w:tabs>
              <w:tab w:val="clear" w:pos="8176"/>
              <w:tab w:val="right" w:pos="9026" w:leader="dot"/>
            </w:tabs>
            <w:rPr/>
          </w:pPr>
          <w:hyperlink w:anchor="__RefHeading___Toc7189777_73709187">
            <w:r>
              <w:rPr>
                <w:webHidden/>
                <w:rStyle w:val="IndexLink"/>
                <w:rtl w:val="true"/>
              </w:rPr>
              <w:t xml:space="preserve">الفصل الأوّل في تفسير </w:t>
            </w:r>
            <w:r>
              <w:rPr>
                <w:rStyle w:val="IndexLink"/>
                <w:rtl w:val="true"/>
              </w:rPr>
              <w:t>«</w:t>
            </w:r>
            <w:r>
              <w:rPr>
                <w:rStyle w:val="IndexLink"/>
                <w:rtl w:val="true"/>
              </w:rPr>
              <w:t>أهل البيت</w:t>
            </w:r>
            <w:r>
              <w:rPr>
                <w:rStyle w:val="IndexLink"/>
                <w:rtl w:val="true"/>
              </w:rPr>
              <w:t>»</w:t>
              <w:tab/>
            </w:r>
            <w:r>
              <w:rPr>
                <w:rStyle w:val="IndexLink"/>
              </w:rPr>
              <w:t>262</w:t>
            </w:r>
          </w:hyperlink>
        </w:p>
        <w:p>
          <w:pPr>
            <w:pStyle w:val="Contents5"/>
            <w:tabs>
              <w:tab w:val="clear" w:pos="7892"/>
              <w:tab w:val="right" w:pos="9026" w:leader="dot"/>
            </w:tabs>
            <w:rPr/>
          </w:pPr>
          <w:hyperlink w:anchor="__RefHeading___Toc7189779_7370918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7189781_73709187">
            <w:r>
              <w:rPr>
                <w:webHidden/>
                <w:rStyle w:val="IndexLink"/>
                <w:rtl w:val="true"/>
              </w:rPr>
              <w:t>مَنْ حُرّمت عليهم الصدقة‌؟</w:t>
            </w:r>
            <w:r>
              <w:rPr>
                <w:rStyle w:val="IndexLink"/>
                <w:rtl w:val="true"/>
              </w:rPr>
              <w:tab/>
            </w:r>
            <w:r>
              <w:rPr>
                <w:rStyle w:val="IndexLink"/>
              </w:rPr>
              <w:t>262</w:t>
            </w:r>
          </w:hyperlink>
        </w:p>
        <w:p>
          <w:pPr>
            <w:pStyle w:val="Contents5"/>
            <w:tabs>
              <w:tab w:val="clear" w:pos="7892"/>
              <w:tab w:val="right" w:pos="9026" w:leader="dot"/>
            </w:tabs>
            <w:rPr/>
          </w:pPr>
          <w:hyperlink w:anchor="__RefHeading___Toc7189783_73709187">
            <w:r>
              <w:rPr>
                <w:webHidden/>
                <w:rStyle w:val="IndexLink"/>
                <w:rtl w:val="true"/>
              </w:rPr>
              <w:t>تفسير آل البيت بمَن تحرم عليه الصدقة</w:t>
            </w:r>
            <w:r>
              <w:rPr>
                <w:rStyle w:val="IndexLink"/>
                <w:rtl w:val="true"/>
              </w:rPr>
              <w:tab/>
            </w:r>
            <w:r>
              <w:rPr>
                <w:rStyle w:val="IndexLink"/>
              </w:rPr>
              <w:t>264</w:t>
            </w:r>
          </w:hyperlink>
        </w:p>
        <w:p>
          <w:pPr>
            <w:pStyle w:val="Contents5"/>
            <w:tabs>
              <w:tab w:val="clear" w:pos="7892"/>
              <w:tab w:val="right" w:pos="9026" w:leader="dot"/>
            </w:tabs>
            <w:rPr/>
          </w:pPr>
          <w:hyperlink w:anchor="__RefHeading___Toc7189785_73709187">
            <w:r>
              <w:rPr>
                <w:webHidden/>
                <w:rStyle w:val="IndexLink"/>
                <w:rtl w:val="true"/>
              </w:rPr>
              <w:t>أهل البيت في حديث زيد بن أرقم</w:t>
            </w:r>
            <w:r>
              <w:rPr>
                <w:rStyle w:val="IndexLink"/>
                <w:rtl w:val="true"/>
              </w:rPr>
              <w:tab/>
            </w:r>
            <w:r>
              <w:rPr>
                <w:rStyle w:val="IndexLink"/>
              </w:rPr>
              <w:t>265</w:t>
            </w:r>
          </w:hyperlink>
        </w:p>
        <w:p>
          <w:pPr>
            <w:pStyle w:val="Contents4"/>
            <w:tabs>
              <w:tab w:val="clear" w:pos="8176"/>
              <w:tab w:val="right" w:pos="9026" w:leader="dot"/>
            </w:tabs>
            <w:rPr/>
          </w:pPr>
          <w:hyperlink w:anchor="__RefHeading___Toc7189787_73709187">
            <w:r>
              <w:rPr>
                <w:webHidden/>
                <w:rStyle w:val="IndexLink"/>
                <w:rtl w:val="true"/>
              </w:rPr>
              <w:t xml:space="preserve">الفصل الثاني مفهوم </w:t>
            </w:r>
            <w:r>
              <w:rPr>
                <w:rStyle w:val="IndexLink"/>
                <w:rtl w:val="true"/>
              </w:rPr>
              <w:t>«</w:t>
            </w:r>
            <w:r>
              <w:rPr>
                <w:rStyle w:val="IndexLink"/>
                <w:rtl w:val="true"/>
              </w:rPr>
              <w:t>آل البيت</w:t>
            </w:r>
            <w:r>
              <w:rPr>
                <w:rStyle w:val="IndexLink"/>
                <w:rtl w:val="true"/>
              </w:rPr>
              <w:t xml:space="preserve">» </w:t>
            </w:r>
            <w:r>
              <w:rPr>
                <w:rStyle w:val="IndexLink"/>
                <w:rtl w:val="true"/>
              </w:rPr>
              <w:t>عند الشيعة الاثني عشرية</w:t>
            </w:r>
            <w:r>
              <w:rPr>
                <w:rStyle w:val="IndexLink"/>
                <w:rtl w:val="true"/>
              </w:rPr>
              <w:tab/>
            </w:r>
            <w:r>
              <w:rPr>
                <w:rStyle w:val="IndexLink"/>
              </w:rPr>
              <w:t>269</w:t>
            </w:r>
          </w:hyperlink>
        </w:p>
        <w:p>
          <w:pPr>
            <w:pStyle w:val="Contents5"/>
            <w:tabs>
              <w:tab w:val="clear" w:pos="7892"/>
              <w:tab w:val="right" w:pos="9026" w:leader="dot"/>
            </w:tabs>
            <w:rPr/>
          </w:pPr>
          <w:hyperlink w:anchor="__RefHeading___Toc7189789_7370918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7189791_73709187">
            <w:r>
              <w:rPr>
                <w:webHidden/>
                <w:rStyle w:val="IndexLink"/>
                <w:rtl w:val="true"/>
              </w:rPr>
              <w:t>دليل الحصر عند الشيعة</w:t>
            </w:r>
            <w:r>
              <w:rPr>
                <w:rStyle w:val="IndexLink"/>
                <w:rtl w:val="true"/>
              </w:rPr>
              <w:tab/>
            </w:r>
            <w:r>
              <w:rPr>
                <w:rStyle w:val="IndexLink"/>
              </w:rPr>
              <w:t>270</w:t>
            </w:r>
          </w:hyperlink>
        </w:p>
        <w:p>
          <w:pPr>
            <w:pStyle w:val="Contents6"/>
            <w:tabs>
              <w:tab w:val="clear" w:pos="7609"/>
              <w:tab w:val="right" w:pos="9026" w:leader="dot"/>
            </w:tabs>
            <w:rPr/>
          </w:pPr>
          <w:hyperlink w:anchor="__RefHeading___Toc7189793_73709187">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7189795_73709187">
            <w:r>
              <w:rPr>
                <w:webHidden/>
                <w:rStyle w:val="IndexLink"/>
                <w:rtl w:val="true"/>
              </w:rPr>
              <w:t>أوّلاً</w:t>
            </w:r>
            <w:r>
              <w:rPr>
                <w:rStyle w:val="IndexLink"/>
                <w:rtl w:val="true"/>
              </w:rPr>
              <w:t xml:space="preserve">: </w:t>
            </w:r>
            <w:r>
              <w:rPr>
                <w:rStyle w:val="IndexLink"/>
                <w:rtl w:val="true"/>
              </w:rPr>
              <w:t>اللام في أهل البيت للعهد</w:t>
            </w:r>
            <w:r>
              <w:rPr>
                <w:rStyle w:val="IndexLink"/>
                <w:rtl w:val="true"/>
              </w:rPr>
              <w:tab/>
            </w:r>
            <w:r>
              <w:rPr>
                <w:rStyle w:val="IndexLink"/>
              </w:rPr>
              <w:t>270</w:t>
            </w:r>
          </w:hyperlink>
        </w:p>
        <w:p>
          <w:pPr>
            <w:pStyle w:val="Contents6"/>
            <w:tabs>
              <w:tab w:val="clear" w:pos="7609"/>
              <w:tab w:val="right" w:pos="9026" w:leader="dot"/>
            </w:tabs>
            <w:rPr/>
          </w:pPr>
          <w:hyperlink w:anchor="__RefHeading___Toc7189797_73709187">
            <w:r>
              <w:rPr>
                <w:webHidden/>
                <w:rStyle w:val="IndexLink"/>
                <w:rtl w:val="true"/>
              </w:rPr>
              <w:t>ثانياً</w:t>
            </w:r>
            <w:r>
              <w:rPr>
                <w:rStyle w:val="IndexLink"/>
                <w:rtl w:val="true"/>
              </w:rPr>
              <w:t xml:space="preserve">: </w:t>
            </w:r>
            <w:r>
              <w:rPr>
                <w:rStyle w:val="IndexLink"/>
                <w:rtl w:val="true"/>
              </w:rPr>
              <w:t>تذكير الضمائر</w:t>
            </w:r>
            <w:r>
              <w:rPr>
                <w:rStyle w:val="IndexLink"/>
                <w:rtl w:val="true"/>
              </w:rPr>
              <w:tab/>
            </w:r>
            <w:r>
              <w:rPr>
                <w:rStyle w:val="IndexLink"/>
              </w:rPr>
              <w:t>272</w:t>
            </w:r>
          </w:hyperlink>
        </w:p>
        <w:p>
          <w:pPr>
            <w:pStyle w:val="Contents6"/>
            <w:tabs>
              <w:tab w:val="clear" w:pos="7609"/>
              <w:tab w:val="right" w:pos="9026" w:leader="dot"/>
            </w:tabs>
            <w:rPr/>
          </w:pPr>
          <w:hyperlink w:anchor="__RefHeading___Toc7189799_73709187">
            <w:r>
              <w:rPr>
                <w:webHidden/>
                <w:rStyle w:val="IndexLink"/>
                <w:rtl w:val="true"/>
              </w:rPr>
              <w:t>سؤال وإجابة</w:t>
            </w:r>
            <w:r>
              <w:rPr>
                <w:rStyle w:val="IndexLink"/>
                <w:rtl w:val="true"/>
              </w:rPr>
              <w:tab/>
            </w:r>
            <w:r>
              <w:rPr>
                <w:rStyle w:val="IndexLink"/>
              </w:rPr>
              <w:t>273</w:t>
            </w:r>
          </w:hyperlink>
        </w:p>
        <w:p>
          <w:pPr>
            <w:pStyle w:val="Contents6"/>
            <w:tabs>
              <w:tab w:val="clear" w:pos="7609"/>
              <w:tab w:val="right" w:pos="9026" w:leader="dot"/>
            </w:tabs>
            <w:rPr/>
          </w:pPr>
          <w:hyperlink w:anchor="__RefHeading___Toc7189801_73709187">
            <w:r>
              <w:rPr>
                <w:webHidden/>
                <w:rStyle w:val="IndexLink"/>
                <w:rtl w:val="true"/>
              </w:rPr>
              <w:t>ثالثاً</w:t>
            </w:r>
            <w:r>
              <w:rPr>
                <w:rStyle w:val="IndexLink"/>
                <w:rtl w:val="true"/>
              </w:rPr>
              <w:t xml:space="preserve">: </w:t>
            </w:r>
            <w:r>
              <w:rPr>
                <w:rStyle w:val="IndexLink"/>
                <w:rtl w:val="true"/>
              </w:rPr>
              <w:t>ممارسة الحصر في فعل الرسول صلى الله عليه و آله و سلم</w:t>
            </w:r>
            <w:r>
              <w:rPr>
                <w:rStyle w:val="IndexLink"/>
                <w:rtl w:val="true"/>
              </w:rPr>
              <w:tab/>
            </w:r>
            <w:r>
              <w:rPr>
                <w:rStyle w:val="IndexLink"/>
              </w:rPr>
              <w:t>274</w:t>
            </w:r>
          </w:hyperlink>
        </w:p>
        <w:p>
          <w:pPr>
            <w:pStyle w:val="Contents5"/>
            <w:tabs>
              <w:tab w:val="clear" w:pos="7892"/>
              <w:tab w:val="right" w:pos="9026" w:leader="dot"/>
            </w:tabs>
            <w:rPr/>
          </w:pPr>
          <w:hyperlink w:anchor="__RefHeading___Toc7189803_73709187">
            <w:r>
              <w:rPr>
                <w:webHidden/>
                <w:rStyle w:val="IndexLink"/>
              </w:rPr>
              <w:t>2</w:t>
            </w:r>
            <w:r>
              <w:rPr>
                <w:rStyle w:val="IndexLink"/>
                <w:rtl w:val="true"/>
              </w:rPr>
              <w:t xml:space="preserve">. </w:t>
            </w:r>
            <w:r>
              <w:rPr>
                <w:rStyle w:val="IndexLink"/>
                <w:rtl w:val="true"/>
              </w:rPr>
              <w:t>تلاوة الآية على باب بيت فاطمة عليها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7189805_73709187">
            <w:r>
              <w:rPr>
                <w:webHidden/>
                <w:rStyle w:val="IndexLink"/>
                <w:rtl w:val="true"/>
              </w:rPr>
              <w:t>الفصل الثالث فضائل آل البيت عند أهل السنّة</w:t>
            </w:r>
            <w:r>
              <w:rPr>
                <w:rStyle w:val="IndexLink"/>
                <w:rtl w:val="true"/>
              </w:rPr>
              <w:tab/>
            </w:r>
            <w:r>
              <w:rPr>
                <w:rStyle w:val="IndexLink"/>
              </w:rPr>
              <w:t>278</w:t>
            </w:r>
          </w:hyperlink>
        </w:p>
        <w:p>
          <w:pPr>
            <w:pStyle w:val="Contents5"/>
            <w:tabs>
              <w:tab w:val="clear" w:pos="7892"/>
              <w:tab w:val="right" w:pos="9026" w:leader="dot"/>
            </w:tabs>
            <w:rPr/>
          </w:pPr>
          <w:hyperlink w:anchor="__RefHeading___Toc7189807_7370918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7189809_73709187">
            <w:r>
              <w:rPr>
                <w:webHidden/>
                <w:rStyle w:val="IndexLink"/>
                <w:rtl w:val="true"/>
              </w:rPr>
              <w:t>تحليل ومناقشة</w:t>
            </w:r>
            <w:r>
              <w:rPr>
                <w:rStyle w:val="IndexLink"/>
                <w:rtl w:val="true"/>
              </w:rPr>
              <w:tab/>
            </w:r>
            <w:r>
              <w:rPr>
                <w:rStyle w:val="IndexLink"/>
              </w:rPr>
              <w:t>279</w:t>
            </w:r>
          </w:hyperlink>
        </w:p>
        <w:p>
          <w:pPr>
            <w:pStyle w:val="Contents5"/>
            <w:tabs>
              <w:tab w:val="clear" w:pos="7892"/>
              <w:tab w:val="right" w:pos="9026" w:leader="dot"/>
            </w:tabs>
            <w:rPr/>
          </w:pPr>
          <w:hyperlink w:anchor="__RefHeading___Toc7189811_73709187">
            <w:r>
              <w:rPr>
                <w:webHidden/>
                <w:rStyle w:val="IndexLink"/>
              </w:rPr>
              <w:t>1</w:t>
            </w:r>
            <w:r>
              <w:rPr>
                <w:rStyle w:val="IndexLink"/>
                <w:rtl w:val="true"/>
              </w:rPr>
              <w:t xml:space="preserve">. </w:t>
            </w:r>
            <w:r>
              <w:rPr>
                <w:rStyle w:val="IndexLink"/>
                <w:rtl w:val="true"/>
              </w:rPr>
              <w:t>حديث الثقلين</w:t>
            </w:r>
            <w:r>
              <w:rPr>
                <w:rStyle w:val="IndexLink"/>
                <w:rtl w:val="true"/>
              </w:rPr>
              <w:tab/>
            </w:r>
            <w:r>
              <w:rPr>
                <w:rStyle w:val="IndexLink"/>
              </w:rPr>
              <w:t>280</w:t>
            </w:r>
          </w:hyperlink>
        </w:p>
        <w:p>
          <w:pPr>
            <w:pStyle w:val="Contents5"/>
            <w:tabs>
              <w:tab w:val="clear" w:pos="7892"/>
              <w:tab w:val="right" w:pos="9026" w:leader="dot"/>
            </w:tabs>
            <w:rPr/>
          </w:pPr>
          <w:hyperlink w:anchor="__RefHeading___Toc7189813_73709187">
            <w:r>
              <w:rPr>
                <w:webHidden/>
                <w:rStyle w:val="IndexLink"/>
              </w:rPr>
              <w:t>2</w:t>
            </w:r>
            <w:r>
              <w:rPr>
                <w:rStyle w:val="IndexLink"/>
                <w:rtl w:val="true"/>
              </w:rPr>
              <w:t xml:space="preserve">. </w:t>
            </w:r>
            <w:r>
              <w:rPr>
                <w:rStyle w:val="IndexLink"/>
                <w:rtl w:val="true"/>
              </w:rPr>
              <w:t>حديث السفينة</w:t>
            </w:r>
            <w:r>
              <w:rPr>
                <w:rStyle w:val="IndexLink"/>
                <w:rtl w:val="true"/>
              </w:rPr>
              <w:tab/>
            </w:r>
            <w:r>
              <w:rPr>
                <w:rStyle w:val="IndexLink"/>
              </w:rPr>
              <w:t>281</w:t>
            </w:r>
          </w:hyperlink>
        </w:p>
        <w:p>
          <w:pPr>
            <w:pStyle w:val="Contents4"/>
            <w:tabs>
              <w:tab w:val="clear" w:pos="8176"/>
              <w:tab w:val="right" w:pos="9026" w:leader="dot"/>
            </w:tabs>
            <w:rPr/>
          </w:pPr>
          <w:hyperlink w:anchor="__RefHeading___Toc7189815_73709187">
            <w:r>
              <w:rPr>
                <w:webHidden/>
                <w:rStyle w:val="IndexLink"/>
                <w:rtl w:val="true"/>
              </w:rPr>
              <w:t>الفصل الرابع عقيدة أهل السنّة والجماعة في آل البيت عليهم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7189817_7370918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7189819_73709187">
            <w:r>
              <w:rPr>
                <w:webHidden/>
                <w:rStyle w:val="IndexLink"/>
                <w:rtl w:val="true"/>
              </w:rPr>
              <w:t>الاستدلال بخروج الإمام الحسين عليه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7189821_73709187">
            <w:r>
              <w:rPr>
                <w:webHidden/>
                <w:rStyle w:val="IndexLink"/>
                <w:rtl w:val="true"/>
              </w:rPr>
              <w:t>الفصل الخامس حقوق آل البيت عليهم السلام</w:t>
            </w:r>
            <w:r>
              <w:rPr>
                <w:rStyle w:val="IndexLink"/>
                <w:rtl w:val="true"/>
              </w:rPr>
              <w:tab/>
            </w:r>
            <w:r>
              <w:rPr>
                <w:rStyle w:val="IndexLink"/>
              </w:rPr>
              <w:t>301</w:t>
            </w:r>
          </w:hyperlink>
        </w:p>
        <w:p>
          <w:pPr>
            <w:pStyle w:val="Contents5"/>
            <w:tabs>
              <w:tab w:val="clear" w:pos="7892"/>
              <w:tab w:val="right" w:pos="9026" w:leader="dot"/>
            </w:tabs>
            <w:rPr/>
          </w:pPr>
          <w:hyperlink w:anchor="__RefHeading___Toc7189823_7370918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7189825_73709187">
            <w:r>
              <w:rPr>
                <w:webHidden/>
                <w:rStyle w:val="IndexLink"/>
              </w:rPr>
              <w:t>1</w:t>
            </w:r>
            <w:r>
              <w:rPr>
                <w:rStyle w:val="IndexLink"/>
                <w:rtl w:val="true"/>
              </w:rPr>
              <w:t xml:space="preserve">. </w:t>
            </w:r>
            <w:r>
              <w:rPr>
                <w:rStyle w:val="IndexLink"/>
                <w:rtl w:val="true"/>
              </w:rPr>
              <w:t>رمي الشيعة بالغلو</w:t>
            </w:r>
            <w:r>
              <w:rPr>
                <w:rStyle w:val="IndexLink"/>
                <w:rtl w:val="true"/>
              </w:rPr>
              <w:tab/>
            </w:r>
            <w:r>
              <w:rPr>
                <w:rStyle w:val="IndexLink"/>
              </w:rPr>
              <w:t>301</w:t>
            </w:r>
          </w:hyperlink>
        </w:p>
        <w:p>
          <w:pPr>
            <w:pStyle w:val="Contents5"/>
            <w:tabs>
              <w:tab w:val="clear" w:pos="7892"/>
              <w:tab w:val="right" w:pos="9026" w:leader="dot"/>
            </w:tabs>
            <w:rPr/>
          </w:pPr>
          <w:hyperlink w:anchor="__RefHeading___Toc7189827_73709187">
            <w:r>
              <w:rPr>
                <w:webHidden/>
                <w:rStyle w:val="IndexLink"/>
              </w:rPr>
              <w:t>2</w:t>
            </w:r>
            <w:r>
              <w:rPr>
                <w:rStyle w:val="IndexLink"/>
                <w:rtl w:val="true"/>
              </w:rPr>
              <w:t xml:space="preserve">. </w:t>
            </w:r>
            <w:r>
              <w:rPr>
                <w:rStyle w:val="IndexLink"/>
                <w:rtl w:val="true"/>
              </w:rPr>
              <w:t>مشروعية الصلاة عليهم</w:t>
            </w:r>
            <w:r>
              <w:rPr>
                <w:rStyle w:val="IndexLink"/>
                <w:rtl w:val="true"/>
              </w:rPr>
              <w:tab/>
            </w:r>
            <w:r>
              <w:rPr>
                <w:rStyle w:val="IndexLink"/>
              </w:rPr>
              <w:t>303</w:t>
            </w:r>
          </w:hyperlink>
        </w:p>
        <w:p>
          <w:pPr>
            <w:pStyle w:val="Contents5"/>
            <w:tabs>
              <w:tab w:val="clear" w:pos="7892"/>
              <w:tab w:val="right" w:pos="9026" w:leader="dot"/>
            </w:tabs>
            <w:rPr/>
          </w:pPr>
          <w:hyperlink w:anchor="__RefHeading___Toc7189829_73709187">
            <w:r>
              <w:rPr>
                <w:webHidden/>
                <w:rStyle w:val="IndexLink"/>
              </w:rPr>
              <w:t>3</w:t>
            </w:r>
            <w:r>
              <w:rPr>
                <w:rStyle w:val="IndexLink"/>
                <w:rtl w:val="true"/>
              </w:rPr>
              <w:t xml:space="preserve">. </w:t>
            </w:r>
            <w:r>
              <w:rPr>
                <w:rStyle w:val="IndexLink"/>
                <w:rtl w:val="true"/>
              </w:rPr>
              <w:t>حقّهم في الخمس</w:t>
            </w:r>
            <w:r>
              <w:rPr>
                <w:rStyle w:val="IndexLink"/>
                <w:rtl w:val="true"/>
              </w:rPr>
              <w:tab/>
            </w:r>
            <w:r>
              <w:rPr>
                <w:rStyle w:val="IndexLink"/>
              </w:rPr>
              <w:t>307</w:t>
            </w:r>
          </w:hyperlink>
        </w:p>
        <w:p>
          <w:pPr>
            <w:pStyle w:val="Contents5"/>
            <w:tabs>
              <w:tab w:val="clear" w:pos="7892"/>
              <w:tab w:val="right" w:pos="9026" w:leader="dot"/>
            </w:tabs>
            <w:rPr/>
          </w:pPr>
          <w:hyperlink w:anchor="__RefHeading___Toc7189831_73709187">
            <w:r>
              <w:rPr>
                <w:webHidden/>
                <w:rStyle w:val="IndexLink"/>
                <w:rtl w:val="true"/>
              </w:rPr>
              <w:t>الخمس في أرباح المكاسب</w:t>
            </w:r>
            <w:r>
              <w:rPr>
                <w:rStyle w:val="IndexLink"/>
                <w:rtl w:val="true"/>
              </w:rPr>
              <w:tab/>
            </w:r>
            <w:r>
              <w:rPr>
                <w:rStyle w:val="IndexLink"/>
              </w:rPr>
              <w:t>310</w:t>
            </w:r>
          </w:hyperlink>
        </w:p>
        <w:p>
          <w:pPr>
            <w:pStyle w:val="Contents5"/>
            <w:tabs>
              <w:tab w:val="clear" w:pos="7892"/>
              <w:tab w:val="right" w:pos="9026" w:leader="dot"/>
            </w:tabs>
            <w:rPr/>
          </w:pPr>
          <w:hyperlink w:anchor="__RefHeading___Toc7189833_73709187">
            <w:r>
              <w:rPr>
                <w:webHidden/>
                <w:rStyle w:val="IndexLink"/>
                <w:rtl w:val="true"/>
              </w:rPr>
              <w:t>مصرف الخمس</w:t>
            </w:r>
            <w:r>
              <w:rPr>
                <w:rStyle w:val="IndexLink"/>
                <w:rtl w:val="true"/>
              </w:rPr>
              <w:tab/>
            </w:r>
            <w:r>
              <w:rPr>
                <w:rStyle w:val="IndexLink"/>
              </w:rPr>
              <w:t>311</w:t>
            </w:r>
          </w:hyperlink>
        </w:p>
        <w:p>
          <w:pPr>
            <w:pStyle w:val="Contents6"/>
            <w:tabs>
              <w:tab w:val="clear" w:pos="7609"/>
              <w:tab w:val="right" w:pos="9026" w:leader="dot"/>
            </w:tabs>
            <w:rPr/>
          </w:pPr>
          <w:hyperlink w:anchor="__RefHeading___Toc7189835_73709187">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7189837_73709187">
            <w:r>
              <w:rPr>
                <w:webHidden/>
                <w:rStyle w:val="IndexLink"/>
              </w:rPr>
              <w:t>1</w:t>
            </w:r>
            <w:r>
              <w:rPr>
                <w:rStyle w:val="IndexLink"/>
                <w:rtl w:val="true"/>
              </w:rPr>
              <w:t xml:space="preserve">. </w:t>
            </w:r>
            <w:r>
              <w:rPr>
                <w:rStyle w:val="IndexLink"/>
                <w:rtl w:val="true"/>
              </w:rPr>
              <w:t>رفع بيوتهم</w:t>
            </w:r>
            <w:r>
              <w:rPr>
                <w:rStyle w:val="IndexLink"/>
                <w:rtl w:val="true"/>
              </w:rPr>
              <w:tab/>
            </w:r>
            <w:r>
              <w:rPr>
                <w:rStyle w:val="IndexLink"/>
              </w:rPr>
              <w:t>313</w:t>
            </w:r>
          </w:hyperlink>
        </w:p>
        <w:p>
          <w:pPr>
            <w:pStyle w:val="Contents6"/>
            <w:tabs>
              <w:tab w:val="clear" w:pos="7609"/>
              <w:tab w:val="right" w:pos="9026" w:leader="dot"/>
            </w:tabs>
            <w:rPr/>
          </w:pPr>
          <w:hyperlink w:anchor="__RefHeading___Toc7189839_73709187">
            <w:r>
              <w:rPr>
                <w:webHidden/>
                <w:rStyle w:val="IndexLink"/>
              </w:rPr>
              <w:t>2</w:t>
            </w:r>
            <w:r>
              <w:rPr>
                <w:rStyle w:val="IndexLink"/>
                <w:rtl w:val="true"/>
              </w:rPr>
              <w:t xml:space="preserve">. </w:t>
            </w:r>
            <w:r>
              <w:rPr>
                <w:rStyle w:val="IndexLink"/>
                <w:rtl w:val="true"/>
              </w:rPr>
              <w:t>المرجعية السياسية والعلمية</w:t>
            </w:r>
            <w:r>
              <w:rPr>
                <w:rStyle w:val="IndexLink"/>
                <w:rtl w:val="true"/>
              </w:rPr>
              <w:tab/>
            </w:r>
            <w:r>
              <w:rPr>
                <w:rStyle w:val="IndexLink"/>
              </w:rPr>
              <w:t>314</w:t>
            </w:r>
          </w:hyperlink>
        </w:p>
        <w:p>
          <w:pPr>
            <w:pStyle w:val="Contents4"/>
            <w:tabs>
              <w:tab w:val="clear" w:pos="8176"/>
              <w:tab w:val="right" w:pos="9026" w:leader="dot"/>
            </w:tabs>
            <w:rPr/>
          </w:pPr>
          <w:hyperlink w:anchor="__RefHeading___Toc7189841_73709187">
            <w:r>
              <w:rPr>
                <w:webHidden/>
                <w:rStyle w:val="IndexLink"/>
                <w:rtl w:val="true"/>
              </w:rPr>
              <w:t>الفصل السادس بشرية آل البيت عليهم 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7189843_7370918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7189845_73709187">
            <w:r>
              <w:rPr>
                <w:webHidden/>
                <w:rStyle w:val="IndexLink"/>
                <w:rtl w:val="true"/>
              </w:rPr>
              <w:t>كلمة أخيرة للشيخ</w:t>
            </w:r>
            <w:r>
              <w:rPr>
                <w:rStyle w:val="IndexLink"/>
                <w:rtl w:val="true"/>
              </w:rPr>
              <w:tab/>
            </w:r>
            <w:r>
              <w:rPr>
                <w:rStyle w:val="IndexLink"/>
              </w:rPr>
              <w:t>320</w:t>
            </w:r>
          </w:hyperlink>
        </w:p>
        <w:p>
          <w:pPr>
            <w:pStyle w:val="Contents3"/>
            <w:tabs>
              <w:tab w:val="clear" w:pos="8459"/>
              <w:tab w:val="right" w:pos="9026" w:leader="dot"/>
            </w:tabs>
            <w:rPr/>
          </w:pPr>
          <w:hyperlink w:anchor="__RefHeading___Toc7189847_73709187">
            <w:r>
              <w:rPr>
                <w:webHidden/>
                <w:rStyle w:val="IndexLink"/>
              </w:rPr>
              <w:t>4</w:t>
            </w:r>
            <w:r>
              <w:rPr>
                <w:rStyle w:val="IndexLink"/>
                <w:rtl w:val="true"/>
              </w:rPr>
              <w:t xml:space="preserve"> </w:t>
            </w:r>
            <w:r>
              <w:rPr>
                <w:rStyle w:val="IndexLink"/>
                <w:rtl w:val="true"/>
              </w:rPr>
              <w:t>أسئلة وأجوبة عقائدية</w:t>
            </w:r>
            <w:r>
              <w:rPr>
                <w:rStyle w:val="IndexLink"/>
                <w:rtl w:val="true"/>
              </w:rPr>
              <w:tab/>
            </w:r>
            <w:r>
              <w:rPr>
                <w:rStyle w:val="IndexLink"/>
              </w:rPr>
              <w:t>327</w:t>
            </w:r>
          </w:hyperlink>
        </w:p>
        <w:p>
          <w:pPr>
            <w:pStyle w:val="Contents4"/>
            <w:tabs>
              <w:tab w:val="clear" w:pos="8176"/>
              <w:tab w:val="right" w:pos="9026" w:leader="dot"/>
            </w:tabs>
            <w:rPr/>
          </w:pPr>
          <w:hyperlink w:anchor="__RefHeading___Toc7189849_7370918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7189851_73709187">
            <w:r>
              <w:rPr>
                <w:webHidden/>
                <w:rStyle w:val="IndexLink"/>
                <w:rtl w:val="true"/>
              </w:rPr>
              <w:t>السؤال الأوّل</w:t>
            </w:r>
            <w:r>
              <w:rPr>
                <w:rStyle w:val="IndexLink"/>
                <w:rtl w:val="true"/>
              </w:rPr>
              <w:t xml:space="preserve">: </w:t>
            </w:r>
            <w:r>
              <w:rPr>
                <w:rStyle w:val="IndexLink"/>
                <w:rtl w:val="true"/>
              </w:rPr>
              <w:t>هل يجوز طلب الشفاء والرزق من الرسول الأكرم صلى الله عليه و آله و سلم والأئمة عليهم 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7189853_73709187">
            <w:r>
              <w:rPr>
                <w:webHidden/>
                <w:rStyle w:val="IndexLink"/>
              </w:rPr>
              <w:t>1</w:t>
            </w:r>
            <w:r>
              <w:rPr>
                <w:rStyle w:val="IndexLink"/>
                <w:rtl w:val="true"/>
              </w:rPr>
              <w:t xml:space="preserve">. </w:t>
            </w:r>
            <w:r>
              <w:rPr>
                <w:rStyle w:val="IndexLink"/>
                <w:rtl w:val="true"/>
              </w:rPr>
              <w:t>التوحيد في الربوبية</w:t>
            </w:r>
            <w:r>
              <w:rPr>
                <w:rStyle w:val="IndexLink"/>
                <w:rtl w:val="true"/>
              </w:rPr>
              <w:tab/>
            </w:r>
            <w:r>
              <w:rPr>
                <w:rStyle w:val="IndexLink"/>
              </w:rPr>
              <w:t>329</w:t>
            </w:r>
          </w:hyperlink>
        </w:p>
        <w:p>
          <w:pPr>
            <w:pStyle w:val="Contents5"/>
            <w:tabs>
              <w:tab w:val="clear" w:pos="7892"/>
              <w:tab w:val="right" w:pos="9026" w:leader="dot"/>
            </w:tabs>
            <w:rPr/>
          </w:pPr>
          <w:hyperlink w:anchor="__RefHeading___Toc7189855_73709187">
            <w:r>
              <w:rPr>
                <w:webHidden/>
                <w:rStyle w:val="IndexLink"/>
              </w:rPr>
              <w:t>2</w:t>
            </w:r>
            <w:r>
              <w:rPr>
                <w:rStyle w:val="IndexLink"/>
                <w:rtl w:val="true"/>
              </w:rPr>
              <w:t xml:space="preserve">. </w:t>
            </w:r>
            <w:r>
              <w:rPr>
                <w:rStyle w:val="IndexLink"/>
                <w:rtl w:val="true"/>
              </w:rPr>
              <w:t>التوحيد في الربوبية غير تعطيل الأسباب</w:t>
            </w:r>
            <w:r>
              <w:rPr>
                <w:rStyle w:val="IndexLink"/>
                <w:rtl w:val="true"/>
              </w:rPr>
              <w:tab/>
            </w:r>
            <w:r>
              <w:rPr>
                <w:rStyle w:val="IndexLink"/>
              </w:rPr>
              <w:t>330</w:t>
            </w:r>
          </w:hyperlink>
        </w:p>
        <w:p>
          <w:pPr>
            <w:pStyle w:val="Contents5"/>
            <w:tabs>
              <w:tab w:val="clear" w:pos="7892"/>
              <w:tab w:val="right" w:pos="9026" w:leader="dot"/>
            </w:tabs>
            <w:rPr/>
          </w:pPr>
          <w:hyperlink w:anchor="__RefHeading___Toc7189857_73709187">
            <w:r>
              <w:rPr>
                <w:webHidden/>
                <w:rStyle w:val="IndexLink"/>
              </w:rPr>
              <w:t>3</w:t>
            </w:r>
            <w:r>
              <w:rPr>
                <w:rStyle w:val="IndexLink"/>
                <w:rtl w:val="true"/>
              </w:rPr>
              <w:t xml:space="preserve">. </w:t>
            </w:r>
            <w:r>
              <w:rPr>
                <w:rStyle w:val="IndexLink"/>
                <w:rtl w:val="true"/>
              </w:rPr>
              <w:t>فعل واحد ينسب إلى الرب والمربوب</w:t>
            </w:r>
            <w:r>
              <w:rPr>
                <w:rStyle w:val="IndexLink"/>
                <w:rtl w:val="true"/>
              </w:rPr>
              <w:tab/>
            </w:r>
            <w:r>
              <w:rPr>
                <w:rStyle w:val="IndexLink"/>
              </w:rPr>
              <w:t>331</w:t>
            </w:r>
          </w:hyperlink>
        </w:p>
        <w:p>
          <w:pPr>
            <w:pStyle w:val="Contents4"/>
            <w:tabs>
              <w:tab w:val="clear" w:pos="8176"/>
              <w:tab w:val="right" w:pos="9026" w:leader="dot"/>
            </w:tabs>
            <w:rPr/>
          </w:pPr>
          <w:hyperlink w:anchor="__RefHeading___Toc7189859_73709187">
            <w:r>
              <w:rPr>
                <w:webHidden/>
                <w:rStyle w:val="IndexLink"/>
                <w:rtl w:val="true"/>
              </w:rPr>
              <w:t>السؤال الثاني</w:t>
            </w:r>
            <w:r>
              <w:rPr>
                <w:rStyle w:val="IndexLink"/>
                <w:rtl w:val="true"/>
              </w:rPr>
              <w:t xml:space="preserve">: </w:t>
            </w:r>
            <w:r>
              <w:rPr>
                <w:rStyle w:val="IndexLink"/>
                <w:rtl w:val="true"/>
              </w:rPr>
              <w:t>وجود الصلة بين العالَمين الدنيوي والأُخروي</w:t>
            </w:r>
            <w:r>
              <w:rPr>
                <w:rStyle w:val="IndexLink"/>
                <w:rtl w:val="true"/>
              </w:rPr>
              <w:tab/>
            </w:r>
            <w:r>
              <w:rPr>
                <w:rStyle w:val="IndexLink"/>
              </w:rPr>
              <w:t>334</w:t>
            </w:r>
          </w:hyperlink>
        </w:p>
        <w:p>
          <w:pPr>
            <w:pStyle w:val="Contents5"/>
            <w:tabs>
              <w:tab w:val="clear" w:pos="7892"/>
              <w:tab w:val="right" w:pos="9026" w:leader="dot"/>
            </w:tabs>
            <w:rPr/>
          </w:pPr>
          <w:hyperlink w:anchor="__RefHeading___Toc7189861_7370918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7189863_73709187">
            <w:r>
              <w:rPr>
                <w:webHidden/>
                <w:rStyle w:val="IndexLink"/>
                <w:rtl w:val="true"/>
              </w:rPr>
              <w:t>النبيّ الأكرم صلى الله عليه و آله و سلم يكلّم أهل القليب</w:t>
            </w:r>
            <w:r>
              <w:rPr>
                <w:rStyle w:val="IndexLink"/>
                <w:rtl w:val="true"/>
              </w:rPr>
              <w:tab/>
            </w:r>
            <w:r>
              <w:rPr>
                <w:rStyle w:val="IndexLink"/>
              </w:rPr>
              <w:t>335</w:t>
            </w:r>
          </w:hyperlink>
        </w:p>
        <w:p>
          <w:pPr>
            <w:pStyle w:val="Contents5"/>
            <w:tabs>
              <w:tab w:val="clear" w:pos="7892"/>
              <w:tab w:val="right" w:pos="9026" w:leader="dot"/>
            </w:tabs>
            <w:rPr/>
          </w:pPr>
          <w:hyperlink w:anchor="__RefHeading___Toc7189865_73709187">
            <w:r>
              <w:rPr>
                <w:webHidden/>
                <w:rStyle w:val="IndexLink"/>
                <w:rtl w:val="true"/>
              </w:rPr>
              <w:t>الشعر يضفي على القضية طابعاً خالداً</w:t>
            </w:r>
            <w:r>
              <w:rPr>
                <w:rStyle w:val="IndexLink"/>
                <w:rtl w:val="true"/>
              </w:rPr>
              <w:tab/>
            </w:r>
            <w:r>
              <w:rPr>
                <w:rStyle w:val="IndexLink"/>
              </w:rPr>
              <w:t>336</w:t>
            </w:r>
          </w:hyperlink>
        </w:p>
        <w:p>
          <w:pPr>
            <w:pStyle w:val="Contents4"/>
            <w:tabs>
              <w:tab w:val="clear" w:pos="8176"/>
              <w:tab w:val="right" w:pos="9026" w:leader="dot"/>
            </w:tabs>
            <w:rPr/>
          </w:pPr>
          <w:hyperlink w:anchor="__RefHeading___Toc7189867_73709187">
            <w:r>
              <w:rPr>
                <w:webHidden/>
                <w:rStyle w:val="IndexLink"/>
                <w:rtl w:val="true"/>
              </w:rPr>
              <w:t>السؤال الثالث</w:t>
            </w:r>
            <w:r>
              <w:rPr>
                <w:rStyle w:val="IndexLink"/>
                <w:rtl w:val="true"/>
              </w:rPr>
              <w:t xml:space="preserve">: </w:t>
            </w:r>
            <w:r>
              <w:rPr>
                <w:rStyle w:val="IndexLink"/>
                <w:rtl w:val="true"/>
              </w:rPr>
              <w:t>هل النبيّ الأكرم صلى الله عليه و آله و سلم وأئمة أهل البيت عليهم السلام يسمعون كلامنا أو لا؟</w:t>
            </w:r>
            <w:r>
              <w:rPr>
                <w:rStyle w:val="IndexLink"/>
                <w:rtl w:val="true"/>
              </w:rPr>
              <w:tab/>
            </w:r>
            <w:r>
              <w:rPr>
                <w:rStyle w:val="IndexLink"/>
              </w:rPr>
              <w:t>337</w:t>
            </w:r>
          </w:hyperlink>
        </w:p>
        <w:p>
          <w:pPr>
            <w:pStyle w:val="Contents5"/>
            <w:tabs>
              <w:tab w:val="clear" w:pos="7892"/>
              <w:tab w:val="right" w:pos="9026" w:leader="dot"/>
            </w:tabs>
            <w:rPr/>
          </w:pPr>
          <w:hyperlink w:anchor="__RefHeading___Toc7189869_7370918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7189871_73709187">
            <w:r>
              <w:rPr>
                <w:webHidden/>
                <w:rStyle w:val="IndexLink"/>
              </w:rPr>
              <w:t>1</w:t>
            </w:r>
            <w:r>
              <w:rPr>
                <w:rStyle w:val="IndexLink"/>
                <w:rtl w:val="true"/>
              </w:rPr>
              <w:t xml:space="preserve">. </w:t>
            </w:r>
            <w:r>
              <w:rPr>
                <w:rStyle w:val="IndexLink"/>
                <w:rtl w:val="true"/>
              </w:rPr>
              <w:t>أمير المؤمنين عليه السلام يخاطب الرسول صلى الله عليه و آله و سلم حين غسله</w:t>
            </w:r>
            <w:r>
              <w:rPr>
                <w:rStyle w:val="IndexLink"/>
                <w:rtl w:val="true"/>
              </w:rPr>
              <w:tab/>
            </w:r>
            <w:r>
              <w:rPr>
                <w:rStyle w:val="IndexLink"/>
              </w:rPr>
              <w:t>337</w:t>
            </w:r>
          </w:hyperlink>
        </w:p>
        <w:p>
          <w:pPr>
            <w:pStyle w:val="Contents5"/>
            <w:tabs>
              <w:tab w:val="clear" w:pos="7892"/>
              <w:tab w:val="right" w:pos="9026" w:leader="dot"/>
            </w:tabs>
            <w:rPr/>
          </w:pPr>
          <w:hyperlink w:anchor="__RefHeading___Toc7189873_73709187">
            <w:r>
              <w:rPr>
                <w:webHidden/>
                <w:rStyle w:val="IndexLink"/>
              </w:rPr>
              <w:t>2</w:t>
            </w:r>
            <w:r>
              <w:rPr>
                <w:rStyle w:val="IndexLink"/>
                <w:rtl w:val="true"/>
              </w:rPr>
              <w:t xml:space="preserve">. </w:t>
            </w:r>
            <w:r>
              <w:rPr>
                <w:rStyle w:val="IndexLink"/>
                <w:rtl w:val="true"/>
              </w:rPr>
              <w:t>أبو بكر يخاطب الرسول الأكرم صلى الله عليه و آله و سلم بعد موته</w:t>
            </w:r>
            <w:r>
              <w:rPr>
                <w:rStyle w:val="IndexLink"/>
                <w:rtl w:val="true"/>
              </w:rPr>
              <w:tab/>
            </w:r>
            <w:r>
              <w:rPr>
                <w:rStyle w:val="IndexLink"/>
              </w:rPr>
              <w:t>338</w:t>
            </w:r>
          </w:hyperlink>
        </w:p>
        <w:p>
          <w:pPr>
            <w:pStyle w:val="Contents5"/>
            <w:tabs>
              <w:tab w:val="clear" w:pos="7892"/>
              <w:tab w:val="right" w:pos="9026" w:leader="dot"/>
            </w:tabs>
            <w:rPr/>
          </w:pPr>
          <w:hyperlink w:anchor="__RefHeading___Toc7189875_73709187">
            <w:r>
              <w:rPr>
                <w:webHidden/>
                <w:rStyle w:val="IndexLink"/>
              </w:rPr>
              <w:t>3</w:t>
            </w:r>
            <w:r>
              <w:rPr>
                <w:rStyle w:val="IndexLink"/>
                <w:rtl w:val="true"/>
              </w:rPr>
              <w:t xml:space="preserve">. </w:t>
            </w:r>
            <w:r>
              <w:rPr>
                <w:rStyle w:val="IndexLink"/>
                <w:rtl w:val="true"/>
              </w:rPr>
              <w:t>التسليم على النبيّ صلى الله عليه و آله و سلم في كلّ صلاة</w:t>
            </w:r>
            <w:r>
              <w:rPr>
                <w:rStyle w:val="IndexLink"/>
                <w:rtl w:val="true"/>
              </w:rPr>
              <w:tab/>
            </w:r>
            <w:r>
              <w:rPr>
                <w:rStyle w:val="IndexLink"/>
              </w:rPr>
              <w:t>338</w:t>
            </w:r>
          </w:hyperlink>
        </w:p>
        <w:p>
          <w:pPr>
            <w:pStyle w:val="Contents5"/>
            <w:tabs>
              <w:tab w:val="clear" w:pos="7892"/>
              <w:tab w:val="right" w:pos="9026" w:leader="dot"/>
            </w:tabs>
            <w:rPr/>
          </w:pPr>
          <w:hyperlink w:anchor="__RefHeading___Toc7189877_73709187">
            <w:r>
              <w:rPr>
                <w:webHidden/>
                <w:rStyle w:val="IndexLink"/>
              </w:rPr>
              <w:t>4</w:t>
            </w:r>
            <w:r>
              <w:rPr>
                <w:rStyle w:val="IndexLink"/>
                <w:rtl w:val="true"/>
              </w:rPr>
              <w:t xml:space="preserve">. </w:t>
            </w:r>
            <w:r>
              <w:rPr>
                <w:rStyle w:val="IndexLink"/>
                <w:rtl w:val="true"/>
              </w:rPr>
              <w:t>النبيّ الأكرم صلى الله عليه و آله و سلم من شهداء الأعمال</w:t>
            </w:r>
            <w:r>
              <w:rPr>
                <w:rStyle w:val="IndexLink"/>
                <w:rtl w:val="true"/>
              </w:rPr>
              <w:tab/>
            </w:r>
            <w:r>
              <w:rPr>
                <w:rStyle w:val="IndexLink"/>
              </w:rPr>
              <w:t>339</w:t>
            </w:r>
          </w:hyperlink>
        </w:p>
        <w:p>
          <w:pPr>
            <w:pStyle w:val="Contents4"/>
            <w:tabs>
              <w:tab w:val="clear" w:pos="8176"/>
              <w:tab w:val="right" w:pos="9026" w:leader="dot"/>
            </w:tabs>
            <w:rPr/>
          </w:pPr>
          <w:hyperlink w:anchor="__RefHeading___Toc7189879_73709187">
            <w:r>
              <w:rPr>
                <w:webHidden/>
                <w:rStyle w:val="IndexLink"/>
                <w:rtl w:val="true"/>
              </w:rPr>
              <w:t>السؤال الرابع</w:t>
            </w:r>
            <w:r>
              <w:rPr>
                <w:rStyle w:val="IndexLink"/>
                <w:rtl w:val="true"/>
              </w:rPr>
              <w:t xml:space="preserve">: </w:t>
            </w:r>
            <w:r>
              <w:rPr>
                <w:rStyle w:val="IndexLink"/>
                <w:rtl w:val="true"/>
              </w:rPr>
              <w:t>شبهة عدم اطّلاع المسيح عليه السلام على ما يجري على أُمّته</w:t>
            </w:r>
            <w:r>
              <w:rPr>
                <w:rStyle w:val="IndexLink"/>
                <w:rtl w:val="true"/>
              </w:rPr>
              <w:tab/>
            </w:r>
            <w:r>
              <w:rPr>
                <w:rStyle w:val="IndexLink"/>
              </w:rPr>
              <w:t>339</w:t>
            </w:r>
          </w:hyperlink>
        </w:p>
        <w:p>
          <w:pPr>
            <w:pStyle w:val="Contents2"/>
            <w:tabs>
              <w:tab w:val="clear" w:pos="8743"/>
              <w:tab w:val="right" w:pos="9026" w:leader="dot"/>
            </w:tabs>
            <w:rPr/>
          </w:pPr>
          <w:hyperlink w:anchor="__RefHeading___Toc7189881_73709187">
            <w:r>
              <w:rPr>
                <w:webHidden/>
                <w:rStyle w:val="IndexLink"/>
                <w:rtl w:val="true"/>
              </w:rPr>
              <w:t>الفصل الثاني</w:t>
            </w:r>
            <w:r>
              <w:rPr>
                <w:rStyle w:val="IndexLink"/>
                <w:rtl w:val="true"/>
              </w:rPr>
              <w:t xml:space="preserve">: </w:t>
            </w:r>
            <w:r>
              <w:rPr>
                <w:rStyle w:val="IndexLink"/>
                <w:rtl w:val="true"/>
              </w:rPr>
              <w:t>مقالات في الفقه والأحكام</w:t>
            </w:r>
            <w:r>
              <w:rPr>
                <w:rStyle w:val="IndexLink"/>
                <w:rtl w:val="true"/>
              </w:rPr>
              <w:tab/>
            </w:r>
            <w:r>
              <w:rPr>
                <w:rStyle w:val="IndexLink"/>
              </w:rPr>
              <w:t>342</w:t>
            </w:r>
          </w:hyperlink>
        </w:p>
        <w:p>
          <w:pPr>
            <w:pStyle w:val="Contents3"/>
            <w:tabs>
              <w:tab w:val="clear" w:pos="8459"/>
              <w:tab w:val="right" w:pos="9026" w:leader="dot"/>
            </w:tabs>
            <w:rPr/>
          </w:pPr>
          <w:hyperlink w:anchor="__RefHeading___Toc7189883_73709187">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7189885_73709187">
            <w:r>
              <w:rPr>
                <w:webHidden/>
                <w:rStyle w:val="IndexLink"/>
              </w:rPr>
              <w:t>1</w:t>
            </w:r>
            <w:r>
              <w:rPr>
                <w:rStyle w:val="IndexLink"/>
                <w:rtl w:val="true"/>
              </w:rPr>
              <w:t xml:space="preserve"> </w:t>
            </w:r>
            <w:r>
              <w:rPr>
                <w:rStyle w:val="IndexLink"/>
                <w:rtl w:val="true"/>
              </w:rPr>
              <w:t>مواقيت الصلوات فى الكتاب والسنّة</w:t>
            </w:r>
            <w:r>
              <w:rPr>
                <w:rStyle w:val="IndexLink"/>
                <w:rtl w:val="true"/>
              </w:rPr>
              <w:tab/>
            </w:r>
            <w:r>
              <w:rPr>
                <w:rStyle w:val="IndexLink"/>
              </w:rPr>
              <w:t>343</w:t>
            </w:r>
          </w:hyperlink>
        </w:p>
        <w:p>
          <w:pPr>
            <w:pStyle w:val="Contents4"/>
            <w:tabs>
              <w:tab w:val="clear" w:pos="8176"/>
              <w:tab w:val="right" w:pos="9026" w:leader="dot"/>
            </w:tabs>
            <w:rPr/>
          </w:pPr>
          <w:hyperlink w:anchor="__RefHeading___Toc7189887_7370918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7189889_73709187">
            <w:r>
              <w:rPr>
                <w:webHidden/>
                <w:rStyle w:val="IndexLink"/>
              </w:rPr>
              <w:t>1</w:t>
            </w:r>
            <w:r>
              <w:rPr>
                <w:rStyle w:val="IndexLink"/>
                <w:rtl w:val="true"/>
              </w:rPr>
              <w:t xml:space="preserve"> </w:t>
            </w:r>
            <w:r>
              <w:rPr>
                <w:rStyle w:val="IndexLink"/>
                <w:rtl w:val="true"/>
              </w:rPr>
              <w:t>مكانة الصلاة في الكتاب والسنّة</w:t>
            </w:r>
            <w:r>
              <w:rPr>
                <w:rStyle w:val="IndexLink"/>
                <w:rtl w:val="true"/>
              </w:rPr>
              <w:tab/>
            </w:r>
            <w:r>
              <w:rPr>
                <w:rStyle w:val="IndexLink"/>
              </w:rPr>
              <w:t>349</w:t>
            </w:r>
          </w:hyperlink>
        </w:p>
        <w:p>
          <w:pPr>
            <w:pStyle w:val="Contents4"/>
            <w:tabs>
              <w:tab w:val="clear" w:pos="8176"/>
              <w:tab w:val="right" w:pos="9026" w:leader="dot"/>
            </w:tabs>
            <w:rPr/>
          </w:pPr>
          <w:hyperlink w:anchor="__RefHeading___Toc7189891_73709187">
            <w:r>
              <w:rPr>
                <w:webHidden/>
                <w:rStyle w:val="IndexLink"/>
              </w:rPr>
              <w:t>2</w:t>
            </w:r>
            <w:r>
              <w:rPr>
                <w:rStyle w:val="IndexLink"/>
                <w:rtl w:val="true"/>
              </w:rPr>
              <w:t xml:space="preserve"> </w:t>
            </w:r>
            <w:r>
              <w:rPr>
                <w:rStyle w:val="IndexLink"/>
                <w:rtl w:val="true"/>
              </w:rPr>
              <w:t>الصلاة فريضة موقوتة تجب المحافظة على أوقاتها</w:t>
            </w:r>
            <w:r>
              <w:rPr>
                <w:rStyle w:val="IndexLink"/>
                <w:rtl w:val="true"/>
              </w:rPr>
              <w:tab/>
            </w:r>
            <w:r>
              <w:rPr>
                <w:rStyle w:val="IndexLink"/>
              </w:rPr>
              <w:t>352</w:t>
            </w:r>
          </w:hyperlink>
        </w:p>
        <w:p>
          <w:pPr>
            <w:pStyle w:val="Contents4"/>
            <w:tabs>
              <w:tab w:val="clear" w:pos="8176"/>
              <w:tab w:val="right" w:pos="9026" w:leader="dot"/>
            </w:tabs>
            <w:rPr/>
          </w:pPr>
          <w:hyperlink w:anchor="__RefHeading___Toc7189893_73709187">
            <w:r>
              <w:rPr>
                <w:webHidden/>
                <w:rStyle w:val="IndexLink"/>
              </w:rPr>
              <w:t>3</w:t>
            </w:r>
            <w:r>
              <w:rPr>
                <w:rStyle w:val="IndexLink"/>
                <w:rtl w:val="true"/>
              </w:rPr>
              <w:t xml:space="preserve"> </w:t>
            </w:r>
            <w:r>
              <w:rPr>
                <w:rStyle w:val="IndexLink"/>
                <w:rtl w:val="true"/>
              </w:rPr>
              <w:t>مواقيت الصلوات في الذكر الحكيم</w:t>
            </w:r>
            <w:r>
              <w:rPr>
                <w:rStyle w:val="IndexLink"/>
                <w:rtl w:val="true"/>
              </w:rPr>
              <w:tab/>
            </w:r>
            <w:r>
              <w:rPr>
                <w:rStyle w:val="IndexLink"/>
              </w:rPr>
              <w:t>354</w:t>
            </w:r>
          </w:hyperlink>
        </w:p>
        <w:p>
          <w:pPr>
            <w:pStyle w:val="Contents5"/>
            <w:tabs>
              <w:tab w:val="clear" w:pos="7892"/>
              <w:tab w:val="right" w:pos="9026" w:leader="dot"/>
            </w:tabs>
            <w:rPr/>
          </w:pPr>
          <w:hyperlink w:anchor="__RefHeading___Toc7189895_7370918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7189897_73709187">
            <w:r>
              <w:rPr>
                <w:webHidden/>
                <w:rStyle w:val="IndexLink"/>
                <w:rtl w:val="true"/>
              </w:rPr>
              <w:t>حصيلة البحث حول الآيات</w:t>
            </w:r>
            <w:r>
              <w:rPr>
                <w:rStyle w:val="IndexLink"/>
                <w:rtl w:val="true"/>
              </w:rPr>
              <w:tab/>
            </w:r>
            <w:r>
              <w:rPr>
                <w:rStyle w:val="IndexLink"/>
              </w:rPr>
              <w:t>362</w:t>
            </w:r>
          </w:hyperlink>
        </w:p>
        <w:p>
          <w:pPr>
            <w:pStyle w:val="Contents4"/>
            <w:tabs>
              <w:tab w:val="clear" w:pos="8176"/>
              <w:tab w:val="right" w:pos="9026" w:leader="dot"/>
            </w:tabs>
            <w:rPr/>
          </w:pPr>
          <w:hyperlink w:anchor="__RefHeading___Toc7189899_73709187">
            <w:r>
              <w:rPr>
                <w:webHidden/>
                <w:rStyle w:val="IndexLink"/>
              </w:rPr>
              <w:t>4</w:t>
            </w:r>
            <w:r>
              <w:rPr>
                <w:rStyle w:val="IndexLink"/>
                <w:rtl w:val="true"/>
              </w:rPr>
              <w:t xml:space="preserve"> </w:t>
            </w:r>
            <w:r>
              <w:rPr>
                <w:rStyle w:val="IndexLink"/>
                <w:rtl w:val="true"/>
              </w:rPr>
              <w:t>أوقات الفضيلة للصلوات الخمس</w:t>
            </w:r>
            <w:r>
              <w:rPr>
                <w:rStyle w:val="IndexLink"/>
                <w:rtl w:val="true"/>
              </w:rPr>
              <w:tab/>
            </w:r>
            <w:r>
              <w:rPr>
                <w:rStyle w:val="IndexLink"/>
              </w:rPr>
              <w:t>364</w:t>
            </w:r>
          </w:hyperlink>
        </w:p>
        <w:p>
          <w:pPr>
            <w:pStyle w:val="Contents5"/>
            <w:tabs>
              <w:tab w:val="clear" w:pos="7892"/>
              <w:tab w:val="right" w:pos="9026" w:leader="dot"/>
            </w:tabs>
            <w:rPr/>
          </w:pPr>
          <w:hyperlink w:anchor="__RefHeading___Toc7189901_7370918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7189903_73709187">
            <w:r>
              <w:rPr>
                <w:webHidden/>
                <w:rStyle w:val="IndexLink"/>
                <w:rtl w:val="true"/>
              </w:rPr>
              <w:t>القامة والقامتان</w:t>
            </w:r>
            <w:r>
              <w:rPr>
                <w:rStyle w:val="IndexLink"/>
                <w:rtl w:val="true"/>
              </w:rPr>
              <w:t>:</w:t>
              <w:tab/>
            </w:r>
            <w:r>
              <w:rPr>
                <w:rStyle w:val="IndexLink"/>
              </w:rPr>
              <w:t>365</w:t>
            </w:r>
          </w:hyperlink>
        </w:p>
        <w:p>
          <w:pPr>
            <w:pStyle w:val="Contents5"/>
            <w:tabs>
              <w:tab w:val="clear" w:pos="7892"/>
              <w:tab w:val="right" w:pos="9026" w:leader="dot"/>
            </w:tabs>
            <w:rPr/>
          </w:pPr>
          <w:hyperlink w:anchor="__RefHeading___Toc7189905_73709187">
            <w:r>
              <w:rPr>
                <w:webHidden/>
                <w:rStyle w:val="IndexLink"/>
                <w:rtl w:val="true"/>
              </w:rPr>
              <w:t>الذراع والذراعان</w:t>
            </w:r>
            <w:r>
              <w:rPr>
                <w:rStyle w:val="IndexLink"/>
                <w:rtl w:val="true"/>
              </w:rPr>
              <w:tab/>
            </w:r>
            <w:r>
              <w:rPr>
                <w:rStyle w:val="IndexLink"/>
              </w:rPr>
              <w:t>366</w:t>
            </w:r>
          </w:hyperlink>
        </w:p>
        <w:p>
          <w:pPr>
            <w:pStyle w:val="Contents5"/>
            <w:tabs>
              <w:tab w:val="clear" w:pos="7892"/>
              <w:tab w:val="right" w:pos="9026" w:leader="dot"/>
            </w:tabs>
            <w:rPr/>
          </w:pPr>
          <w:hyperlink w:anchor="__RefHeading___Toc7189907_73709187">
            <w:r>
              <w:rPr>
                <w:webHidden/>
                <w:rStyle w:val="IndexLink"/>
                <w:rtl w:val="true"/>
              </w:rPr>
              <w:t>القدم والقدمان</w:t>
            </w:r>
            <w:r>
              <w:rPr>
                <w:rStyle w:val="IndexLink"/>
                <w:rtl w:val="true"/>
              </w:rPr>
              <w:tab/>
            </w:r>
            <w:r>
              <w:rPr>
                <w:rStyle w:val="IndexLink"/>
              </w:rPr>
              <w:t>366</w:t>
            </w:r>
          </w:hyperlink>
        </w:p>
        <w:p>
          <w:pPr>
            <w:pStyle w:val="Contents4"/>
            <w:tabs>
              <w:tab w:val="clear" w:pos="8176"/>
              <w:tab w:val="right" w:pos="9026" w:leader="dot"/>
            </w:tabs>
            <w:rPr/>
          </w:pPr>
          <w:hyperlink w:anchor="__RefHeading___Toc7189909_73709187">
            <w:r>
              <w:rPr>
                <w:webHidden/>
                <w:rStyle w:val="IndexLink"/>
              </w:rPr>
              <w:t>5</w:t>
            </w:r>
            <w:r>
              <w:rPr>
                <w:rStyle w:val="IndexLink"/>
                <w:rtl w:val="true"/>
              </w:rPr>
              <w:t xml:space="preserve"> </w:t>
            </w:r>
            <w:r>
              <w:rPr>
                <w:rStyle w:val="IndexLink"/>
                <w:rtl w:val="true"/>
              </w:rPr>
              <w:t>الجمع بين الصلاتين في عرفة والمزدلفة والسفر</w:t>
            </w:r>
            <w:r>
              <w:rPr>
                <w:rStyle w:val="IndexLink"/>
                <w:rtl w:val="true"/>
              </w:rPr>
              <w:tab/>
            </w:r>
            <w:r>
              <w:rPr>
                <w:rStyle w:val="IndexLink"/>
              </w:rPr>
              <w:t>369</w:t>
            </w:r>
          </w:hyperlink>
        </w:p>
        <w:p>
          <w:pPr>
            <w:pStyle w:val="Contents5"/>
            <w:tabs>
              <w:tab w:val="clear" w:pos="7892"/>
              <w:tab w:val="right" w:pos="9026" w:leader="dot"/>
            </w:tabs>
            <w:rPr/>
          </w:pPr>
          <w:hyperlink w:anchor="__RefHeading___Toc7189911_7370918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7189913_73709187">
            <w:r>
              <w:rPr>
                <w:webHidden/>
                <w:rStyle w:val="IndexLink"/>
              </w:rPr>
              <w:t>1</w:t>
            </w:r>
            <w:r>
              <w:rPr>
                <w:rStyle w:val="IndexLink"/>
                <w:rtl w:val="true"/>
              </w:rPr>
              <w:t xml:space="preserve">. </w:t>
            </w:r>
            <w:r>
              <w:rPr>
                <w:rStyle w:val="IndexLink"/>
                <w:rtl w:val="true"/>
              </w:rPr>
              <w:t>الجمع بين الصلاتين في عرفة والمزدلفة</w:t>
            </w:r>
            <w:r>
              <w:rPr>
                <w:rStyle w:val="IndexLink"/>
                <w:rtl w:val="true"/>
              </w:rPr>
              <w:tab/>
            </w:r>
            <w:r>
              <w:rPr>
                <w:rStyle w:val="IndexLink"/>
              </w:rPr>
              <w:t>369</w:t>
            </w:r>
          </w:hyperlink>
        </w:p>
        <w:p>
          <w:pPr>
            <w:pStyle w:val="Contents5"/>
            <w:tabs>
              <w:tab w:val="clear" w:pos="7892"/>
              <w:tab w:val="right" w:pos="9026" w:leader="dot"/>
            </w:tabs>
            <w:rPr/>
          </w:pPr>
          <w:hyperlink w:anchor="__RefHeading___Toc7189915_73709187">
            <w:r>
              <w:rPr>
                <w:webHidden/>
                <w:rStyle w:val="IndexLink"/>
              </w:rPr>
              <w:t>2</w:t>
            </w:r>
            <w:r>
              <w:rPr>
                <w:rStyle w:val="IndexLink"/>
                <w:rtl w:val="true"/>
              </w:rPr>
              <w:t xml:space="preserve">. </w:t>
            </w:r>
            <w:r>
              <w:rPr>
                <w:rStyle w:val="IndexLink"/>
                <w:rtl w:val="true"/>
              </w:rPr>
              <w:t>الجمع بين الصلاتين في السفر</w:t>
            </w:r>
            <w:r>
              <w:rPr>
                <w:rStyle w:val="IndexLink"/>
                <w:rtl w:val="true"/>
              </w:rPr>
              <w:tab/>
            </w:r>
            <w:r>
              <w:rPr>
                <w:rStyle w:val="IndexLink"/>
              </w:rPr>
              <w:t>370</w:t>
            </w:r>
          </w:hyperlink>
        </w:p>
        <w:p>
          <w:pPr>
            <w:pStyle w:val="Contents5"/>
            <w:tabs>
              <w:tab w:val="clear" w:pos="7892"/>
              <w:tab w:val="right" w:pos="9026" w:leader="dot"/>
            </w:tabs>
            <w:rPr/>
          </w:pPr>
          <w:hyperlink w:anchor="__RefHeading___Toc7189917_73709187">
            <w:r>
              <w:rPr>
                <w:webHidden/>
                <w:rStyle w:val="IndexLink"/>
              </w:rPr>
              <w:t>3</w:t>
            </w:r>
            <w:r>
              <w:rPr>
                <w:rStyle w:val="IndexLink"/>
                <w:rtl w:val="true"/>
              </w:rPr>
              <w:t xml:space="preserve">. </w:t>
            </w:r>
            <w:r>
              <w:rPr>
                <w:rStyle w:val="IndexLink"/>
                <w:rtl w:val="true"/>
              </w:rPr>
              <w:t>الجمع بين الصلاتين في الحضر لأجل العذر</w:t>
            </w:r>
            <w:r>
              <w:rPr>
                <w:rStyle w:val="IndexLink"/>
                <w:rtl w:val="true"/>
              </w:rPr>
              <w:tab/>
            </w:r>
            <w:r>
              <w:rPr>
                <w:rStyle w:val="IndexLink"/>
              </w:rPr>
              <w:t>372</w:t>
            </w:r>
          </w:hyperlink>
        </w:p>
        <w:p>
          <w:pPr>
            <w:pStyle w:val="Contents4"/>
            <w:tabs>
              <w:tab w:val="clear" w:pos="8176"/>
              <w:tab w:val="right" w:pos="9026" w:leader="dot"/>
            </w:tabs>
            <w:rPr/>
          </w:pPr>
          <w:hyperlink w:anchor="__RefHeading___Toc7189919_73709187">
            <w:r>
              <w:rPr>
                <w:webHidden/>
                <w:rStyle w:val="IndexLink"/>
              </w:rPr>
              <w:t>6</w:t>
            </w:r>
            <w:r>
              <w:rPr>
                <w:rStyle w:val="IndexLink"/>
                <w:rtl w:val="true"/>
              </w:rPr>
              <w:t xml:space="preserve"> </w:t>
            </w:r>
            <w:r>
              <w:rPr>
                <w:rStyle w:val="IndexLink"/>
                <w:rtl w:val="true"/>
              </w:rPr>
              <w:t>الجمع بين الصلاتين في الحضر اختياراً</w:t>
            </w:r>
            <w:r>
              <w:rPr>
                <w:rStyle w:val="IndexLink"/>
                <w:rtl w:val="true"/>
              </w:rPr>
              <w:tab/>
            </w:r>
            <w:r>
              <w:rPr>
                <w:rStyle w:val="IndexLink"/>
              </w:rPr>
              <w:t>372</w:t>
            </w:r>
          </w:hyperlink>
        </w:p>
        <w:p>
          <w:pPr>
            <w:pStyle w:val="Contents5"/>
            <w:tabs>
              <w:tab w:val="clear" w:pos="7892"/>
              <w:tab w:val="right" w:pos="9026" w:leader="dot"/>
            </w:tabs>
            <w:rPr/>
          </w:pPr>
          <w:hyperlink w:anchor="__RefHeading___Toc7189921_7370918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7189923_73709187">
            <w:r>
              <w:rPr>
                <w:webHidden/>
                <w:rStyle w:val="IndexLink"/>
              </w:rPr>
              <w:t>1</w:t>
            </w:r>
            <w:r>
              <w:rPr>
                <w:rStyle w:val="IndexLink"/>
                <w:rtl w:val="true"/>
              </w:rPr>
              <w:t xml:space="preserve">. </w:t>
            </w:r>
            <w:r>
              <w:rPr>
                <w:rStyle w:val="IndexLink"/>
                <w:rtl w:val="true"/>
              </w:rPr>
              <w:t>ما دلّ على الجمع معلّلاً بعدم إحراج الأُمة، أو للتوسعة عليها</w:t>
            </w:r>
            <w:r>
              <w:rPr>
                <w:rStyle w:val="IndexLink"/>
                <w:rtl w:val="true"/>
              </w:rPr>
              <w:tab/>
            </w:r>
            <w:r>
              <w:rPr>
                <w:rStyle w:val="IndexLink"/>
              </w:rPr>
              <w:t>373</w:t>
            </w:r>
          </w:hyperlink>
        </w:p>
        <w:p>
          <w:pPr>
            <w:pStyle w:val="Contents5"/>
            <w:tabs>
              <w:tab w:val="clear" w:pos="7892"/>
              <w:tab w:val="right" w:pos="9026" w:leader="dot"/>
            </w:tabs>
            <w:rPr/>
          </w:pPr>
          <w:hyperlink w:anchor="__RefHeading___Toc7189925_73709187">
            <w:r>
              <w:rPr>
                <w:webHidden/>
                <w:rStyle w:val="IndexLink"/>
              </w:rPr>
              <w:t>2</w:t>
            </w:r>
            <w:r>
              <w:rPr>
                <w:rStyle w:val="IndexLink"/>
                <w:rtl w:val="true"/>
              </w:rPr>
              <w:t xml:space="preserve">. </w:t>
            </w:r>
            <w:r>
              <w:rPr>
                <w:rStyle w:val="IndexLink"/>
                <w:rtl w:val="true"/>
              </w:rPr>
              <w:t>ما دلّ على الجمع، من غير ذكر السّبب</w:t>
            </w:r>
            <w:r>
              <w:rPr>
                <w:rStyle w:val="IndexLink"/>
                <w:rtl w:val="true"/>
              </w:rPr>
              <w:tab/>
            </w:r>
            <w:r>
              <w:rPr>
                <w:rStyle w:val="IndexLink"/>
              </w:rPr>
              <w:t>376</w:t>
            </w:r>
          </w:hyperlink>
        </w:p>
        <w:p>
          <w:pPr>
            <w:pStyle w:val="Contents5"/>
            <w:tabs>
              <w:tab w:val="clear" w:pos="7892"/>
              <w:tab w:val="right" w:pos="9026" w:leader="dot"/>
            </w:tabs>
            <w:rPr/>
          </w:pPr>
          <w:hyperlink w:anchor="__RefHeading___Toc7189927_73709187">
            <w:r>
              <w:rPr>
                <w:webHidden/>
                <w:rStyle w:val="IndexLink"/>
              </w:rPr>
              <w:t>3</w:t>
            </w:r>
            <w:r>
              <w:rPr>
                <w:rStyle w:val="IndexLink"/>
                <w:rtl w:val="true"/>
              </w:rPr>
              <w:t xml:space="preserve">. </w:t>
            </w:r>
            <w:r>
              <w:rPr>
                <w:rStyle w:val="IndexLink"/>
                <w:rtl w:val="true"/>
              </w:rPr>
              <w:t>ابن عباس يجمع بين الصلاتين، اقتداءً بسنّة النبيّ صلى الله عليه و آله و سلم</w:t>
            </w:r>
            <w:r>
              <w:rPr>
                <w:rStyle w:val="IndexLink"/>
                <w:rtl w:val="true"/>
              </w:rPr>
              <w:tab/>
            </w:r>
            <w:r>
              <w:rPr>
                <w:rStyle w:val="IndexLink"/>
              </w:rPr>
              <w:t>378</w:t>
            </w:r>
          </w:hyperlink>
        </w:p>
        <w:p>
          <w:pPr>
            <w:pStyle w:val="Contents4"/>
            <w:tabs>
              <w:tab w:val="clear" w:pos="8176"/>
              <w:tab w:val="right" w:pos="9026" w:leader="dot"/>
            </w:tabs>
            <w:rPr/>
          </w:pPr>
          <w:hyperlink w:anchor="__RefHeading___Toc7189929_73709187">
            <w:r>
              <w:rPr>
                <w:webHidden/>
                <w:rStyle w:val="IndexLink"/>
              </w:rPr>
              <w:t>7</w:t>
            </w:r>
            <w:r>
              <w:rPr>
                <w:rStyle w:val="IndexLink"/>
                <w:rtl w:val="true"/>
              </w:rPr>
              <w:t xml:space="preserve"> </w:t>
            </w:r>
            <w:r>
              <w:rPr>
                <w:rStyle w:val="IndexLink"/>
                <w:rtl w:val="true"/>
              </w:rPr>
              <w:t>تأويل النصوص لنصرة المذهب</w:t>
            </w:r>
            <w:r>
              <w:rPr>
                <w:rStyle w:val="IndexLink"/>
                <w:rtl w:val="true"/>
              </w:rPr>
              <w:tab/>
            </w:r>
            <w:r>
              <w:rPr>
                <w:rStyle w:val="IndexLink"/>
              </w:rPr>
              <w:t>380</w:t>
            </w:r>
          </w:hyperlink>
        </w:p>
        <w:p>
          <w:pPr>
            <w:pStyle w:val="Contents5"/>
            <w:tabs>
              <w:tab w:val="clear" w:pos="7892"/>
              <w:tab w:val="right" w:pos="9026" w:leader="dot"/>
            </w:tabs>
            <w:rPr/>
          </w:pPr>
          <w:hyperlink w:anchor="__RefHeading___Toc7189931_7370918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7189933_73709187">
            <w:r>
              <w:rPr>
                <w:webHidden/>
                <w:rStyle w:val="IndexLink"/>
                <w:rtl w:val="true"/>
              </w:rPr>
              <w:t>التأويل الأوّل</w:t>
            </w:r>
            <w:r>
              <w:rPr>
                <w:rStyle w:val="IndexLink"/>
                <w:rtl w:val="true"/>
              </w:rPr>
              <w:t xml:space="preserve">: </w:t>
            </w:r>
            <w:r>
              <w:rPr>
                <w:rStyle w:val="IndexLink"/>
                <w:rtl w:val="true"/>
              </w:rPr>
              <w:t>الجمع لأجل وجود المطر</w:t>
            </w:r>
            <w:r>
              <w:rPr>
                <w:rStyle w:val="IndexLink"/>
                <w:rtl w:val="true"/>
              </w:rPr>
              <w:tab/>
            </w:r>
            <w:r>
              <w:rPr>
                <w:rStyle w:val="IndexLink"/>
              </w:rPr>
              <w:t>380</w:t>
            </w:r>
          </w:hyperlink>
        </w:p>
        <w:p>
          <w:pPr>
            <w:pStyle w:val="Contents5"/>
            <w:tabs>
              <w:tab w:val="clear" w:pos="7892"/>
              <w:tab w:val="right" w:pos="9026" w:leader="dot"/>
            </w:tabs>
            <w:rPr/>
          </w:pPr>
          <w:hyperlink w:anchor="__RefHeading___Toc7189935_73709187">
            <w:r>
              <w:rPr>
                <w:webHidden/>
                <w:rStyle w:val="IndexLink"/>
                <w:rtl w:val="true"/>
              </w:rPr>
              <w:t>التأويل الثاني</w:t>
            </w:r>
            <w:r>
              <w:rPr>
                <w:rStyle w:val="IndexLink"/>
                <w:rtl w:val="true"/>
              </w:rPr>
              <w:t xml:space="preserve">: </w:t>
            </w:r>
            <w:r>
              <w:rPr>
                <w:rStyle w:val="IndexLink"/>
                <w:rtl w:val="true"/>
              </w:rPr>
              <w:t>الجمع كان صورياً</w:t>
            </w:r>
            <w:r>
              <w:rPr>
                <w:rStyle w:val="IndexLink"/>
                <w:rtl w:val="true"/>
              </w:rPr>
              <w:tab/>
            </w:r>
            <w:r>
              <w:rPr>
                <w:rStyle w:val="IndexLink"/>
              </w:rPr>
              <w:t>383</w:t>
            </w:r>
          </w:hyperlink>
        </w:p>
        <w:p>
          <w:pPr>
            <w:pStyle w:val="Contents6"/>
            <w:tabs>
              <w:tab w:val="clear" w:pos="7609"/>
              <w:tab w:val="right" w:pos="9026" w:leader="dot"/>
            </w:tabs>
            <w:rPr/>
          </w:pPr>
          <w:hyperlink w:anchor="__RefHeading___Toc7189937_73709187">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7189939_73709187">
            <w:r>
              <w:rPr>
                <w:webHidden/>
                <w:rStyle w:val="IndexLink"/>
                <w:rtl w:val="true"/>
              </w:rPr>
              <w:t>مفهوم الجمع في عامة الموارد واحد</w:t>
            </w:r>
            <w:r>
              <w:rPr>
                <w:rStyle w:val="IndexLink"/>
                <w:rtl w:val="true"/>
              </w:rPr>
              <w:tab/>
            </w:r>
            <w:r>
              <w:rPr>
                <w:rStyle w:val="IndexLink"/>
              </w:rPr>
              <w:t>384</w:t>
            </w:r>
          </w:hyperlink>
        </w:p>
        <w:p>
          <w:pPr>
            <w:pStyle w:val="Contents6"/>
            <w:tabs>
              <w:tab w:val="clear" w:pos="7609"/>
              <w:tab w:val="right" w:pos="9026" w:leader="dot"/>
            </w:tabs>
            <w:rPr/>
          </w:pPr>
          <w:hyperlink w:anchor="__RefHeading___Toc7189941_73709187">
            <w:r>
              <w:rPr>
                <w:webHidden/>
                <w:rStyle w:val="IndexLink"/>
                <w:rtl w:val="true"/>
              </w:rPr>
              <w:t>مع الشوكاني في قوله</w:t>
            </w:r>
            <w:r>
              <w:rPr>
                <w:rStyle w:val="IndexLink"/>
                <w:rtl w:val="true"/>
              </w:rPr>
              <w:t xml:space="preserve">: </w:t>
            </w:r>
            <w:r>
              <w:rPr>
                <w:rStyle w:val="IndexLink"/>
                <w:rtl w:val="true"/>
              </w:rPr>
              <w:t>إن الجمع كان صورياً</w:t>
            </w:r>
            <w:r>
              <w:rPr>
                <w:rStyle w:val="IndexLink"/>
                <w:rtl w:val="true"/>
              </w:rPr>
              <w:tab/>
            </w:r>
            <w:r>
              <w:rPr>
                <w:rStyle w:val="IndexLink"/>
              </w:rPr>
              <w:t>385</w:t>
            </w:r>
          </w:hyperlink>
        </w:p>
        <w:p>
          <w:pPr>
            <w:pStyle w:val="Contents5"/>
            <w:tabs>
              <w:tab w:val="clear" w:pos="7892"/>
              <w:tab w:val="right" w:pos="9026" w:leader="dot"/>
            </w:tabs>
            <w:rPr/>
          </w:pPr>
          <w:hyperlink w:anchor="__RefHeading___Toc7189943_73709187">
            <w:r>
              <w:rPr>
                <w:webHidden/>
                <w:rStyle w:val="IndexLink"/>
                <w:rtl w:val="true"/>
              </w:rPr>
              <w:t>التأويل الثالث</w:t>
            </w:r>
            <w:r>
              <w:rPr>
                <w:rStyle w:val="IndexLink"/>
                <w:rtl w:val="true"/>
              </w:rPr>
              <w:t xml:space="preserve">: </w:t>
            </w:r>
            <w:r>
              <w:rPr>
                <w:rStyle w:val="IndexLink"/>
                <w:rtl w:val="true"/>
              </w:rPr>
              <w:t>الجمع لأجل الغيم</w:t>
            </w:r>
            <w:r>
              <w:rPr>
                <w:rStyle w:val="IndexLink"/>
                <w:rtl w:val="true"/>
              </w:rPr>
              <w:tab/>
            </w:r>
            <w:r>
              <w:rPr>
                <w:rStyle w:val="IndexLink"/>
              </w:rPr>
              <w:t>389</w:t>
            </w:r>
          </w:hyperlink>
        </w:p>
        <w:p>
          <w:pPr>
            <w:pStyle w:val="Contents5"/>
            <w:tabs>
              <w:tab w:val="clear" w:pos="7892"/>
              <w:tab w:val="right" w:pos="9026" w:leader="dot"/>
            </w:tabs>
            <w:rPr/>
          </w:pPr>
          <w:hyperlink w:anchor="__RefHeading___Toc7189945_73709187">
            <w:r>
              <w:rPr>
                <w:webHidden/>
                <w:rStyle w:val="IndexLink"/>
                <w:rtl w:val="true"/>
              </w:rPr>
              <w:t>التأويل الرابع</w:t>
            </w:r>
            <w:r>
              <w:rPr>
                <w:rStyle w:val="IndexLink"/>
                <w:rtl w:val="true"/>
              </w:rPr>
              <w:t xml:space="preserve">: </w:t>
            </w:r>
            <w:r>
              <w:rPr>
                <w:rStyle w:val="IndexLink"/>
                <w:rtl w:val="true"/>
              </w:rPr>
              <w:t>الجمع كان لمرض</w:t>
            </w:r>
            <w:r>
              <w:rPr>
                <w:rStyle w:val="IndexLink"/>
                <w:rtl w:val="true"/>
              </w:rPr>
              <w:tab/>
            </w:r>
            <w:r>
              <w:rPr>
                <w:rStyle w:val="IndexLink"/>
              </w:rPr>
              <w:t>389</w:t>
            </w:r>
          </w:hyperlink>
        </w:p>
        <w:p>
          <w:pPr>
            <w:pStyle w:val="Contents5"/>
            <w:tabs>
              <w:tab w:val="clear" w:pos="7892"/>
              <w:tab w:val="right" w:pos="9026" w:leader="dot"/>
            </w:tabs>
            <w:rPr/>
          </w:pPr>
          <w:hyperlink w:anchor="__RefHeading___Toc7189947_73709187">
            <w:r>
              <w:rPr>
                <w:webHidden/>
                <w:rStyle w:val="IndexLink"/>
                <w:rtl w:val="true"/>
              </w:rPr>
              <w:t>التأويل الخامس</w:t>
            </w:r>
            <w:r>
              <w:rPr>
                <w:rStyle w:val="IndexLink"/>
                <w:rtl w:val="true"/>
              </w:rPr>
              <w:t xml:space="preserve">: </w:t>
            </w:r>
            <w:r>
              <w:rPr>
                <w:rStyle w:val="IndexLink"/>
                <w:rtl w:val="true"/>
              </w:rPr>
              <w:t>كان الجمع لأحد الأعذار المبهمة</w:t>
            </w:r>
            <w:r>
              <w:rPr>
                <w:rStyle w:val="IndexLink"/>
                <w:rtl w:val="true"/>
              </w:rPr>
              <w:tab/>
            </w:r>
            <w:r>
              <w:rPr>
                <w:rStyle w:val="IndexLink"/>
              </w:rPr>
              <w:t>391</w:t>
            </w:r>
          </w:hyperlink>
        </w:p>
        <w:p>
          <w:pPr>
            <w:pStyle w:val="Contents4"/>
            <w:tabs>
              <w:tab w:val="clear" w:pos="8176"/>
              <w:tab w:val="right" w:pos="9026" w:leader="dot"/>
            </w:tabs>
            <w:rPr/>
          </w:pPr>
          <w:hyperlink w:anchor="__RefHeading___Toc7189949_73709187">
            <w:r>
              <w:rPr>
                <w:webHidden/>
                <w:rStyle w:val="IndexLink"/>
              </w:rPr>
              <w:t>8</w:t>
            </w:r>
            <w:r>
              <w:rPr>
                <w:rStyle w:val="IndexLink"/>
                <w:rtl w:val="true"/>
              </w:rPr>
              <w:t xml:space="preserve"> </w:t>
            </w:r>
            <w:r>
              <w:rPr>
                <w:rStyle w:val="IndexLink"/>
                <w:rtl w:val="true"/>
              </w:rPr>
              <w:t>الجمع بين الصلاتين في أحاديث أهل البيت عليهم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7189951_73709187">
            <w:r>
              <w:rPr>
                <w:webHidden/>
                <w:rStyle w:val="IndexLink"/>
                <w:rtl w:val="true"/>
              </w:rPr>
              <w:t>خاتمة تساؤلات وأجوبتها</w:t>
            </w:r>
            <w:r>
              <w:rPr>
                <w:rStyle w:val="IndexLink"/>
                <w:rtl w:val="true"/>
              </w:rPr>
              <w:tab/>
            </w:r>
            <w:r>
              <w:rPr>
                <w:rStyle w:val="IndexLink"/>
              </w:rPr>
              <w:t>401</w:t>
            </w:r>
          </w:hyperlink>
        </w:p>
        <w:p>
          <w:pPr>
            <w:pStyle w:val="Contents3"/>
            <w:tabs>
              <w:tab w:val="clear" w:pos="8459"/>
              <w:tab w:val="right" w:pos="9026" w:leader="dot"/>
            </w:tabs>
            <w:rPr/>
          </w:pPr>
          <w:hyperlink w:anchor="__RefHeading___Toc7189953_73709187">
            <w:r>
              <w:rPr>
                <w:webHidden/>
                <w:rStyle w:val="IndexLink"/>
              </w:rPr>
              <w:t>2</w:t>
            </w:r>
            <w:r>
              <w:rPr>
                <w:rStyle w:val="IndexLink"/>
                <w:rtl w:val="true"/>
              </w:rPr>
              <w:t xml:space="preserve"> </w:t>
            </w:r>
            <w:r>
              <w:rPr>
                <w:rStyle w:val="IndexLink"/>
                <w:rtl w:val="true"/>
              </w:rPr>
              <w:t>الخمس فريضة شرعية</w:t>
            </w:r>
            <w:r>
              <w:rPr>
                <w:rStyle w:val="IndexLink"/>
                <w:rtl w:val="true"/>
              </w:rPr>
              <w:tab/>
            </w:r>
            <w:r>
              <w:rPr>
                <w:rStyle w:val="IndexLink"/>
              </w:rPr>
              <w:t>408</w:t>
            </w:r>
          </w:hyperlink>
        </w:p>
        <w:p>
          <w:pPr>
            <w:pStyle w:val="Contents4"/>
            <w:tabs>
              <w:tab w:val="clear" w:pos="8176"/>
              <w:tab w:val="right" w:pos="9026" w:leader="dot"/>
            </w:tabs>
            <w:rPr/>
          </w:pPr>
          <w:hyperlink w:anchor="__RefHeading___Toc7189955_73709187">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7189957_73709187">
            <w:r>
              <w:rPr>
                <w:webHidden/>
                <w:rStyle w:val="IndexLink"/>
                <w:rtl w:val="true"/>
              </w:rPr>
              <w:t>مقدّمة المؤلّف</w:t>
            </w:r>
            <w:r>
              <w:rPr>
                <w:rStyle w:val="IndexLink"/>
                <w:rtl w:val="true"/>
              </w:rPr>
              <w:tab/>
            </w:r>
            <w:r>
              <w:rPr>
                <w:rStyle w:val="IndexLink"/>
              </w:rPr>
              <w:t>410</w:t>
            </w:r>
          </w:hyperlink>
        </w:p>
        <w:p>
          <w:pPr>
            <w:pStyle w:val="Contents4"/>
            <w:tabs>
              <w:tab w:val="clear" w:pos="8176"/>
              <w:tab w:val="right" w:pos="9026" w:leader="dot"/>
            </w:tabs>
            <w:rPr/>
          </w:pPr>
          <w:hyperlink w:anchor="__RefHeading___Toc7189959_73709187">
            <w:r>
              <w:rPr>
                <w:webHidden/>
                <w:rStyle w:val="IndexLink"/>
                <w:rtl w:val="true"/>
              </w:rPr>
              <w:t>الفصل الأوّل الخمس في الكتاب والسنة</w:t>
            </w:r>
            <w:r>
              <w:rPr>
                <w:rStyle w:val="IndexLink"/>
                <w:rtl w:val="true"/>
              </w:rPr>
              <w:tab/>
            </w:r>
            <w:r>
              <w:rPr>
                <w:rStyle w:val="IndexLink"/>
              </w:rPr>
              <w:t>414</w:t>
            </w:r>
          </w:hyperlink>
        </w:p>
        <w:p>
          <w:pPr>
            <w:pStyle w:val="Contents5"/>
            <w:tabs>
              <w:tab w:val="clear" w:pos="7892"/>
              <w:tab w:val="right" w:pos="9026" w:leader="dot"/>
            </w:tabs>
            <w:rPr/>
          </w:pPr>
          <w:hyperlink w:anchor="__RefHeading___Toc7189961_7370918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7189963_73709187">
            <w:r>
              <w:rPr>
                <w:webHidden/>
                <w:rStyle w:val="IndexLink"/>
                <w:rtl w:val="true"/>
              </w:rPr>
              <w:t>الخمس في الكتاب العزيز</w:t>
            </w:r>
            <w:r>
              <w:rPr>
                <w:rStyle w:val="IndexLink"/>
                <w:rtl w:val="true"/>
              </w:rPr>
              <w:tab/>
            </w:r>
            <w:r>
              <w:rPr>
                <w:rStyle w:val="IndexLink"/>
              </w:rPr>
              <w:t>414</w:t>
            </w:r>
          </w:hyperlink>
        </w:p>
        <w:p>
          <w:pPr>
            <w:pStyle w:val="Contents6"/>
            <w:tabs>
              <w:tab w:val="clear" w:pos="7609"/>
              <w:tab w:val="right" w:pos="9026" w:leader="dot"/>
            </w:tabs>
            <w:rPr/>
          </w:pPr>
          <w:hyperlink w:anchor="__RefHeading___Toc7189965_73709187">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7189967_73709187">
            <w:r>
              <w:rPr>
                <w:webHidden/>
                <w:rStyle w:val="IndexLink"/>
                <w:rtl w:val="true"/>
              </w:rPr>
              <w:t>الأوّل</w:t>
            </w:r>
            <w:r>
              <w:rPr>
                <w:rStyle w:val="IndexLink"/>
                <w:rtl w:val="true"/>
              </w:rPr>
              <w:t xml:space="preserve">: </w:t>
            </w:r>
            <w:r>
              <w:rPr>
                <w:rStyle w:val="IndexLink"/>
                <w:rtl w:val="true"/>
              </w:rPr>
              <w:t>الغنيمة مطلق ما يفوز به الانسان</w:t>
            </w:r>
            <w:r>
              <w:rPr>
                <w:rStyle w:val="IndexLink"/>
                <w:rtl w:val="true"/>
              </w:rPr>
              <w:t>:</w:t>
              <w:tab/>
            </w:r>
            <w:r>
              <w:rPr>
                <w:rStyle w:val="IndexLink"/>
              </w:rPr>
              <w:t>414</w:t>
            </w:r>
          </w:hyperlink>
        </w:p>
        <w:p>
          <w:pPr>
            <w:pStyle w:val="Contents6"/>
            <w:tabs>
              <w:tab w:val="clear" w:pos="7609"/>
              <w:tab w:val="right" w:pos="9026" w:leader="dot"/>
            </w:tabs>
            <w:rPr/>
          </w:pPr>
          <w:hyperlink w:anchor="__RefHeading___Toc7189969_73709187">
            <w:r>
              <w:rPr>
                <w:webHidden/>
                <w:rStyle w:val="IndexLink"/>
                <w:rtl w:val="true"/>
              </w:rPr>
              <w:t>الثاني</w:t>
            </w:r>
            <w:r>
              <w:rPr>
                <w:rStyle w:val="IndexLink"/>
                <w:rtl w:val="true"/>
              </w:rPr>
              <w:t xml:space="preserve">: </w:t>
            </w:r>
            <w:r>
              <w:rPr>
                <w:rStyle w:val="IndexLink"/>
                <w:rtl w:val="true"/>
              </w:rPr>
              <w:t>المورد لا يخصّص</w:t>
            </w:r>
            <w:r>
              <w:rPr>
                <w:rStyle w:val="IndexLink"/>
                <w:rtl w:val="true"/>
              </w:rPr>
              <w:t>:</w:t>
              <w:tab/>
            </w:r>
            <w:r>
              <w:rPr>
                <w:rStyle w:val="IndexLink"/>
              </w:rPr>
              <w:t>417</w:t>
            </w:r>
          </w:hyperlink>
        </w:p>
        <w:p>
          <w:pPr>
            <w:pStyle w:val="Contents6"/>
            <w:tabs>
              <w:tab w:val="clear" w:pos="7609"/>
              <w:tab w:val="right" w:pos="9026" w:leader="dot"/>
            </w:tabs>
            <w:rPr/>
          </w:pPr>
          <w:hyperlink w:anchor="__RefHeading___Toc7189971_73709187">
            <w:r>
              <w:rPr>
                <w:webHidden/>
                <w:rStyle w:val="IndexLink"/>
                <w:rtl w:val="true"/>
              </w:rPr>
              <w:t>استدلال الفقهاء بالآية في غير مورد الغنيمة</w:t>
            </w:r>
            <w:r>
              <w:rPr>
                <w:rStyle w:val="IndexLink"/>
                <w:rtl w:val="true"/>
              </w:rPr>
              <w:tab/>
            </w:r>
            <w:r>
              <w:rPr>
                <w:rStyle w:val="IndexLink"/>
              </w:rPr>
              <w:t>417</w:t>
            </w:r>
          </w:hyperlink>
        </w:p>
        <w:p>
          <w:pPr>
            <w:pStyle w:val="Contents5"/>
            <w:tabs>
              <w:tab w:val="clear" w:pos="7892"/>
              <w:tab w:val="right" w:pos="9026" w:leader="dot"/>
            </w:tabs>
            <w:rPr/>
          </w:pPr>
          <w:hyperlink w:anchor="__RefHeading___Toc7189973_73709187">
            <w:r>
              <w:rPr>
                <w:webHidden/>
                <w:rStyle w:val="IndexLink"/>
                <w:rtl w:val="true"/>
              </w:rPr>
              <w:t>الخمس في السنة النبويّة</w:t>
            </w:r>
            <w:r>
              <w:rPr>
                <w:rStyle w:val="IndexLink"/>
                <w:rtl w:val="true"/>
              </w:rPr>
              <w:tab/>
            </w:r>
            <w:r>
              <w:rPr>
                <w:rStyle w:val="IndexLink"/>
              </w:rPr>
              <w:t>419</w:t>
            </w:r>
          </w:hyperlink>
        </w:p>
        <w:p>
          <w:pPr>
            <w:pStyle w:val="Contents6"/>
            <w:tabs>
              <w:tab w:val="clear" w:pos="7609"/>
              <w:tab w:val="right" w:pos="9026" w:leader="dot"/>
            </w:tabs>
            <w:rPr/>
          </w:pPr>
          <w:hyperlink w:anchor="__RefHeading___Toc7189975_73709187">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7189977_73709187">
            <w:r>
              <w:rPr>
                <w:webHidden/>
                <w:rStyle w:val="IndexLink"/>
                <w:rtl w:val="true"/>
              </w:rPr>
              <w:t>تفسير ألفاظ الأحاديث</w:t>
            </w:r>
            <w:r>
              <w:rPr>
                <w:rStyle w:val="IndexLink"/>
                <w:rtl w:val="true"/>
              </w:rPr>
              <w:t>:</w:t>
              <w:tab/>
            </w:r>
            <w:r>
              <w:rPr>
                <w:rStyle w:val="IndexLink"/>
              </w:rPr>
              <w:t>421</w:t>
            </w:r>
          </w:hyperlink>
        </w:p>
        <w:p>
          <w:pPr>
            <w:pStyle w:val="Contents6"/>
            <w:tabs>
              <w:tab w:val="clear" w:pos="7609"/>
              <w:tab w:val="right" w:pos="9026" w:leader="dot"/>
            </w:tabs>
            <w:rPr/>
          </w:pPr>
          <w:hyperlink w:anchor="__RefHeading___Toc7189979_73709187">
            <w:r>
              <w:rPr>
                <w:webHidden/>
                <w:rStyle w:val="IndexLink"/>
                <w:rtl w:val="true"/>
              </w:rPr>
              <w:t>كلام أبي يوسف في المعدن والركاز</w:t>
            </w:r>
            <w:r>
              <w:rPr>
                <w:rStyle w:val="IndexLink"/>
                <w:rtl w:val="true"/>
              </w:rPr>
              <w:t>:</w:t>
              <w:tab/>
            </w:r>
            <w:r>
              <w:rPr>
                <w:rStyle w:val="IndexLink"/>
              </w:rPr>
              <w:t>422</w:t>
            </w:r>
          </w:hyperlink>
        </w:p>
        <w:p>
          <w:pPr>
            <w:pStyle w:val="Contents6"/>
            <w:tabs>
              <w:tab w:val="clear" w:pos="7609"/>
              <w:tab w:val="right" w:pos="9026" w:leader="dot"/>
            </w:tabs>
            <w:rPr/>
          </w:pPr>
          <w:hyperlink w:anchor="__RefHeading___Toc7189981_73709187">
            <w:r>
              <w:rPr>
                <w:webHidden/>
                <w:rStyle w:val="IndexLink"/>
                <w:rtl w:val="true"/>
              </w:rPr>
              <w:t>خمس أرباح المكاسب في الحديث النبوي</w:t>
            </w:r>
            <w:r>
              <w:rPr>
                <w:rStyle w:val="IndexLink"/>
                <w:rtl w:val="true"/>
              </w:rPr>
              <w:t>:</w:t>
              <w:tab/>
            </w:r>
            <w:r>
              <w:rPr>
                <w:rStyle w:val="IndexLink"/>
              </w:rPr>
              <w:t>423</w:t>
            </w:r>
          </w:hyperlink>
        </w:p>
        <w:p>
          <w:pPr>
            <w:pStyle w:val="Contents6"/>
            <w:tabs>
              <w:tab w:val="clear" w:pos="7609"/>
              <w:tab w:val="right" w:pos="9026" w:leader="dot"/>
            </w:tabs>
            <w:rPr/>
          </w:pPr>
          <w:hyperlink w:anchor="__RefHeading___Toc7189983_73709187">
            <w:r>
              <w:rPr>
                <w:webHidden/>
                <w:rStyle w:val="IndexLink"/>
                <w:rtl w:val="true"/>
              </w:rPr>
              <w:t>إيضاح الاستدلال بهذه المكاتيب</w:t>
            </w:r>
            <w:r>
              <w:rPr>
                <w:rStyle w:val="IndexLink"/>
                <w:rtl w:val="true"/>
              </w:rPr>
              <w:t>:</w:t>
              <w:tab/>
            </w:r>
            <w:r>
              <w:rPr>
                <w:rStyle w:val="IndexLink"/>
              </w:rPr>
              <w:t>426</w:t>
            </w:r>
          </w:hyperlink>
        </w:p>
        <w:p>
          <w:pPr>
            <w:pStyle w:val="Contents5"/>
            <w:tabs>
              <w:tab w:val="clear" w:pos="7892"/>
              <w:tab w:val="right" w:pos="9026" w:leader="dot"/>
            </w:tabs>
            <w:rPr/>
          </w:pPr>
          <w:hyperlink w:anchor="__RefHeading___Toc7189985_73709187">
            <w:r>
              <w:rPr>
                <w:webHidden/>
                <w:rStyle w:val="IndexLink"/>
                <w:rtl w:val="true"/>
              </w:rPr>
              <w:t>الخمس في روايات أئمة أهل البيت عليهم السلام</w:t>
            </w:r>
            <w:r>
              <w:rPr>
                <w:rStyle w:val="IndexLink"/>
                <w:rtl w:val="true"/>
              </w:rPr>
              <w:tab/>
            </w:r>
            <w:r>
              <w:rPr>
                <w:rStyle w:val="IndexLink"/>
              </w:rPr>
              <w:t>428</w:t>
            </w:r>
          </w:hyperlink>
        </w:p>
        <w:p>
          <w:pPr>
            <w:pStyle w:val="Contents6"/>
            <w:tabs>
              <w:tab w:val="clear" w:pos="7609"/>
              <w:tab w:val="right" w:pos="9026" w:leader="dot"/>
            </w:tabs>
            <w:rPr/>
          </w:pPr>
          <w:hyperlink w:anchor="__RefHeading___Toc7189987_7370918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7189989_73709187">
            <w:r>
              <w:rPr>
                <w:webHidden/>
                <w:rStyle w:val="IndexLink"/>
              </w:rPr>
              <w:t>1</w:t>
            </w:r>
            <w:r>
              <w:rPr>
                <w:rStyle w:val="IndexLink"/>
                <w:rtl w:val="true"/>
              </w:rPr>
              <w:t xml:space="preserve">. </w:t>
            </w:r>
            <w:r>
              <w:rPr>
                <w:rStyle w:val="IndexLink"/>
                <w:rtl w:val="true"/>
              </w:rPr>
              <w:t>المعادن</w:t>
            </w:r>
            <w:r>
              <w:rPr>
                <w:rStyle w:val="IndexLink"/>
                <w:rtl w:val="true"/>
              </w:rPr>
              <w:tab/>
            </w:r>
            <w:r>
              <w:rPr>
                <w:rStyle w:val="IndexLink"/>
              </w:rPr>
              <w:t>429</w:t>
            </w:r>
          </w:hyperlink>
        </w:p>
        <w:p>
          <w:pPr>
            <w:pStyle w:val="Contents6"/>
            <w:tabs>
              <w:tab w:val="clear" w:pos="7609"/>
              <w:tab w:val="right" w:pos="9026" w:leader="dot"/>
            </w:tabs>
            <w:rPr/>
          </w:pPr>
          <w:hyperlink w:anchor="__RefHeading___Toc7189991_73709187">
            <w:r>
              <w:rPr>
                <w:webHidden/>
                <w:rStyle w:val="IndexLink"/>
              </w:rPr>
              <w:t>2</w:t>
            </w:r>
            <w:r>
              <w:rPr>
                <w:rStyle w:val="IndexLink"/>
                <w:rtl w:val="true"/>
              </w:rPr>
              <w:t xml:space="preserve">. </w:t>
            </w:r>
            <w:r>
              <w:rPr>
                <w:rStyle w:val="IndexLink"/>
                <w:rtl w:val="true"/>
              </w:rPr>
              <w:t>الكنز</w:t>
            </w:r>
            <w:r>
              <w:rPr>
                <w:rStyle w:val="IndexLink"/>
                <w:rtl w:val="true"/>
              </w:rPr>
              <w:tab/>
            </w:r>
            <w:r>
              <w:rPr>
                <w:rStyle w:val="IndexLink"/>
              </w:rPr>
              <w:t>429</w:t>
            </w:r>
          </w:hyperlink>
        </w:p>
        <w:p>
          <w:pPr>
            <w:pStyle w:val="Contents6"/>
            <w:tabs>
              <w:tab w:val="clear" w:pos="7609"/>
              <w:tab w:val="right" w:pos="9026" w:leader="dot"/>
            </w:tabs>
            <w:rPr/>
          </w:pPr>
          <w:hyperlink w:anchor="__RefHeading___Toc7189993_73709187">
            <w:r>
              <w:rPr>
                <w:webHidden/>
                <w:rStyle w:val="IndexLink"/>
              </w:rPr>
              <w:t>3</w:t>
            </w:r>
            <w:r>
              <w:rPr>
                <w:rStyle w:val="IndexLink"/>
                <w:rtl w:val="true"/>
              </w:rPr>
              <w:t xml:space="preserve">. </w:t>
            </w:r>
            <w:r>
              <w:rPr>
                <w:rStyle w:val="IndexLink"/>
                <w:rtl w:val="true"/>
              </w:rPr>
              <w:t>ما يخرج من البحر بالغوص</w:t>
            </w:r>
            <w:r>
              <w:rPr>
                <w:rStyle w:val="IndexLink"/>
                <w:rtl w:val="true"/>
              </w:rPr>
              <w:tab/>
            </w:r>
            <w:r>
              <w:rPr>
                <w:rStyle w:val="IndexLink"/>
              </w:rPr>
              <w:t>429</w:t>
            </w:r>
          </w:hyperlink>
        </w:p>
        <w:p>
          <w:pPr>
            <w:pStyle w:val="Contents6"/>
            <w:tabs>
              <w:tab w:val="clear" w:pos="7609"/>
              <w:tab w:val="right" w:pos="9026" w:leader="dot"/>
            </w:tabs>
            <w:rPr/>
          </w:pPr>
          <w:hyperlink w:anchor="__RefHeading___Toc7189995_73709187">
            <w:r>
              <w:rPr>
                <w:webHidden/>
                <w:rStyle w:val="IndexLink"/>
              </w:rPr>
              <w:t>4</w:t>
            </w:r>
            <w:r>
              <w:rPr>
                <w:rStyle w:val="IndexLink"/>
                <w:rtl w:val="true"/>
              </w:rPr>
              <w:t xml:space="preserve">. </w:t>
            </w:r>
            <w:r>
              <w:rPr>
                <w:rStyle w:val="IndexLink"/>
                <w:rtl w:val="true"/>
              </w:rPr>
              <w:t>أرض الذمي إذا اشتراها من مسلم</w:t>
            </w:r>
            <w:r>
              <w:rPr>
                <w:rStyle w:val="IndexLink"/>
                <w:rtl w:val="true"/>
              </w:rPr>
              <w:tab/>
            </w:r>
            <w:r>
              <w:rPr>
                <w:rStyle w:val="IndexLink"/>
              </w:rPr>
              <w:t>429</w:t>
            </w:r>
          </w:hyperlink>
        </w:p>
        <w:p>
          <w:pPr>
            <w:pStyle w:val="Contents6"/>
            <w:tabs>
              <w:tab w:val="clear" w:pos="7609"/>
              <w:tab w:val="right" w:pos="9026" w:leader="dot"/>
            </w:tabs>
            <w:rPr/>
          </w:pPr>
          <w:hyperlink w:anchor="__RefHeading___Toc7189997_73709187">
            <w:r>
              <w:rPr>
                <w:webHidden/>
                <w:rStyle w:val="IndexLink"/>
              </w:rPr>
              <w:t>5</w:t>
            </w:r>
            <w:r>
              <w:rPr>
                <w:rStyle w:val="IndexLink"/>
                <w:rtl w:val="true"/>
              </w:rPr>
              <w:t xml:space="preserve">. </w:t>
            </w:r>
            <w:r>
              <w:rPr>
                <w:rStyle w:val="IndexLink"/>
                <w:rtl w:val="true"/>
              </w:rPr>
              <w:t>الحلال المختلط بالحرام</w:t>
            </w:r>
            <w:r>
              <w:rPr>
                <w:rStyle w:val="IndexLink"/>
                <w:rtl w:val="true"/>
              </w:rPr>
              <w:tab/>
            </w:r>
            <w:r>
              <w:rPr>
                <w:rStyle w:val="IndexLink"/>
              </w:rPr>
              <w:t>430</w:t>
            </w:r>
          </w:hyperlink>
        </w:p>
        <w:p>
          <w:pPr>
            <w:pStyle w:val="Contents6"/>
            <w:tabs>
              <w:tab w:val="clear" w:pos="7609"/>
              <w:tab w:val="right" w:pos="9026" w:leader="dot"/>
            </w:tabs>
            <w:rPr/>
          </w:pPr>
          <w:hyperlink w:anchor="__RefHeading___Toc7189999_73709187">
            <w:r>
              <w:rPr>
                <w:webHidden/>
                <w:rStyle w:val="IndexLink"/>
              </w:rPr>
              <w:t>6</w:t>
            </w:r>
            <w:r>
              <w:rPr>
                <w:rStyle w:val="IndexLink"/>
                <w:rtl w:val="true"/>
              </w:rPr>
              <w:t xml:space="preserve">. </w:t>
            </w:r>
            <w:r>
              <w:rPr>
                <w:rStyle w:val="IndexLink"/>
                <w:rtl w:val="true"/>
              </w:rPr>
              <w:t>أرباح التجارات والصناعات والزراعات</w:t>
            </w:r>
            <w:r>
              <w:rPr>
                <w:rStyle w:val="IndexLink"/>
                <w:rtl w:val="true"/>
              </w:rPr>
              <w:tab/>
            </w:r>
            <w:r>
              <w:rPr>
                <w:rStyle w:val="IndexLink"/>
              </w:rPr>
              <w:t>430</w:t>
            </w:r>
          </w:hyperlink>
        </w:p>
        <w:p>
          <w:pPr>
            <w:pStyle w:val="Contents6"/>
            <w:tabs>
              <w:tab w:val="clear" w:pos="7609"/>
              <w:tab w:val="right" w:pos="9026" w:leader="dot"/>
            </w:tabs>
            <w:rPr/>
          </w:pPr>
          <w:hyperlink w:anchor="__RefHeading___Toc7190001_73709187">
            <w:r>
              <w:rPr>
                <w:webHidden/>
                <w:rStyle w:val="IndexLink"/>
                <w:rtl w:val="true"/>
              </w:rPr>
              <w:t>الخمس في كلام الإمام الصادق عليه السلام</w:t>
            </w:r>
            <w:r>
              <w:rPr>
                <w:rStyle w:val="IndexLink"/>
                <w:rtl w:val="true"/>
              </w:rPr>
              <w:tab/>
            </w:r>
            <w:r>
              <w:rPr>
                <w:rStyle w:val="IndexLink"/>
              </w:rPr>
              <w:t>430</w:t>
            </w:r>
          </w:hyperlink>
        </w:p>
        <w:p>
          <w:pPr>
            <w:pStyle w:val="Contents6"/>
            <w:tabs>
              <w:tab w:val="clear" w:pos="7609"/>
              <w:tab w:val="right" w:pos="9026" w:leader="dot"/>
            </w:tabs>
            <w:rPr/>
          </w:pPr>
          <w:hyperlink w:anchor="__RefHeading___Toc7190003_73709187">
            <w:r>
              <w:rPr>
                <w:webHidden/>
                <w:rStyle w:val="IndexLink"/>
                <w:rtl w:val="true"/>
              </w:rPr>
              <w:t>الخمس في كلام الإمام الكاظم عليه السلام</w:t>
            </w:r>
            <w:r>
              <w:rPr>
                <w:rStyle w:val="IndexLink"/>
                <w:rtl w:val="true"/>
              </w:rPr>
              <w:tab/>
            </w:r>
            <w:r>
              <w:rPr>
                <w:rStyle w:val="IndexLink"/>
              </w:rPr>
              <w:t>431</w:t>
            </w:r>
          </w:hyperlink>
        </w:p>
        <w:p>
          <w:pPr>
            <w:pStyle w:val="Contents6"/>
            <w:tabs>
              <w:tab w:val="clear" w:pos="7609"/>
              <w:tab w:val="right" w:pos="9026" w:leader="dot"/>
            </w:tabs>
            <w:rPr/>
          </w:pPr>
          <w:hyperlink w:anchor="__RefHeading___Toc7190005_73709187">
            <w:r>
              <w:rPr>
                <w:webHidden/>
                <w:rStyle w:val="IndexLink"/>
                <w:rtl w:val="true"/>
              </w:rPr>
              <w:t>الخمس في كلام الإمام الرضا عليه السلام</w:t>
            </w:r>
            <w:r>
              <w:rPr>
                <w:rStyle w:val="IndexLink"/>
                <w:rtl w:val="true"/>
              </w:rPr>
              <w:tab/>
            </w:r>
            <w:r>
              <w:rPr>
                <w:rStyle w:val="IndexLink"/>
              </w:rPr>
              <w:t>431</w:t>
            </w:r>
          </w:hyperlink>
        </w:p>
        <w:p>
          <w:pPr>
            <w:pStyle w:val="Contents6"/>
            <w:tabs>
              <w:tab w:val="clear" w:pos="7609"/>
              <w:tab w:val="right" w:pos="9026" w:leader="dot"/>
            </w:tabs>
            <w:rPr/>
          </w:pPr>
          <w:hyperlink w:anchor="__RefHeading___Toc7190007_73709187">
            <w:r>
              <w:rPr>
                <w:webHidden/>
                <w:rStyle w:val="IndexLink"/>
                <w:rtl w:val="true"/>
              </w:rPr>
              <w:t>الخمس في كلام الإمام الجواد عليه السلام</w:t>
            </w:r>
            <w:r>
              <w:rPr>
                <w:rStyle w:val="IndexLink"/>
                <w:rtl w:val="true"/>
              </w:rPr>
              <w:tab/>
            </w:r>
            <w:r>
              <w:rPr>
                <w:rStyle w:val="IndexLink"/>
              </w:rPr>
              <w:t>433</w:t>
            </w:r>
          </w:hyperlink>
        </w:p>
        <w:p>
          <w:pPr>
            <w:pStyle w:val="Contents6"/>
            <w:tabs>
              <w:tab w:val="clear" w:pos="7609"/>
              <w:tab w:val="right" w:pos="9026" w:leader="dot"/>
            </w:tabs>
            <w:rPr/>
          </w:pPr>
          <w:hyperlink w:anchor="__RefHeading___Toc7190009_73709187">
            <w:r>
              <w:rPr>
                <w:webHidden/>
                <w:rStyle w:val="IndexLink"/>
                <w:rtl w:val="true"/>
              </w:rPr>
              <w:t>الخمس في كلام الإمام الهادي عليه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7190011_73709187">
            <w:r>
              <w:rPr>
                <w:webHidden/>
                <w:rStyle w:val="IndexLink"/>
                <w:rtl w:val="true"/>
              </w:rPr>
              <w:t>الفصل الثاني ما هو المقصود من تحليل الخمس في بعض الروايات</w:t>
            </w:r>
            <w:r>
              <w:rPr>
                <w:rStyle w:val="IndexLink"/>
                <w:rtl w:val="true"/>
              </w:rPr>
              <w:tab/>
            </w:r>
            <w:r>
              <w:rPr>
                <w:rStyle w:val="IndexLink"/>
              </w:rPr>
              <w:t>436</w:t>
            </w:r>
          </w:hyperlink>
        </w:p>
        <w:p>
          <w:pPr>
            <w:pStyle w:val="Contents5"/>
            <w:tabs>
              <w:tab w:val="clear" w:pos="7892"/>
              <w:tab w:val="right" w:pos="9026" w:leader="dot"/>
            </w:tabs>
            <w:rPr/>
          </w:pPr>
          <w:hyperlink w:anchor="__RefHeading___Toc7190013_7370918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7190015_73709187">
            <w:r>
              <w:rPr>
                <w:webHidden/>
                <w:rStyle w:val="IndexLink"/>
                <w:rtl w:val="true"/>
              </w:rPr>
              <w:t>القسم الأوّل</w:t>
            </w:r>
            <w:r>
              <w:rPr>
                <w:rStyle w:val="IndexLink"/>
                <w:rtl w:val="true"/>
              </w:rPr>
              <w:t xml:space="preserve">: </w:t>
            </w:r>
            <w:r>
              <w:rPr>
                <w:rStyle w:val="IndexLink"/>
                <w:rtl w:val="true"/>
              </w:rPr>
              <w:t>تحليل خمس الغنائم</w:t>
            </w:r>
            <w:r>
              <w:rPr>
                <w:rStyle w:val="IndexLink"/>
                <w:rtl w:val="true"/>
              </w:rPr>
              <w:tab/>
            </w:r>
            <w:r>
              <w:rPr>
                <w:rStyle w:val="IndexLink"/>
              </w:rPr>
              <w:t>437</w:t>
            </w:r>
          </w:hyperlink>
        </w:p>
        <w:p>
          <w:pPr>
            <w:pStyle w:val="Contents5"/>
            <w:tabs>
              <w:tab w:val="clear" w:pos="7892"/>
              <w:tab w:val="right" w:pos="9026" w:leader="dot"/>
            </w:tabs>
            <w:rPr/>
          </w:pPr>
          <w:hyperlink w:anchor="__RefHeading___Toc7190017_73709187">
            <w:r>
              <w:rPr>
                <w:webHidden/>
                <w:rStyle w:val="IndexLink"/>
                <w:rtl w:val="true"/>
              </w:rPr>
              <w:t>القسم الثاني</w:t>
            </w:r>
            <w:r>
              <w:rPr>
                <w:rStyle w:val="IndexLink"/>
                <w:rtl w:val="true"/>
              </w:rPr>
              <w:t xml:space="preserve">: </w:t>
            </w:r>
            <w:r>
              <w:rPr>
                <w:rStyle w:val="IndexLink"/>
                <w:rtl w:val="true"/>
              </w:rPr>
              <w:t>التحليل لمن ضاق عليه معاشه</w:t>
            </w:r>
            <w:r>
              <w:rPr>
                <w:rStyle w:val="IndexLink"/>
                <w:rtl w:val="true"/>
              </w:rPr>
              <w:tab/>
            </w:r>
            <w:r>
              <w:rPr>
                <w:rStyle w:val="IndexLink"/>
              </w:rPr>
              <w:t>440</w:t>
            </w:r>
          </w:hyperlink>
        </w:p>
        <w:p>
          <w:pPr>
            <w:pStyle w:val="Contents5"/>
            <w:tabs>
              <w:tab w:val="clear" w:pos="7892"/>
              <w:tab w:val="right" w:pos="9026" w:leader="dot"/>
            </w:tabs>
            <w:rPr/>
          </w:pPr>
          <w:hyperlink w:anchor="__RefHeading___Toc7190019_73709187">
            <w:r>
              <w:rPr>
                <w:webHidden/>
                <w:rStyle w:val="IndexLink"/>
                <w:rtl w:val="true"/>
              </w:rPr>
              <w:t>القسم الثالث</w:t>
            </w:r>
            <w:r>
              <w:rPr>
                <w:rStyle w:val="IndexLink"/>
                <w:rtl w:val="true"/>
              </w:rPr>
              <w:t xml:space="preserve">: </w:t>
            </w:r>
            <w:r>
              <w:rPr>
                <w:rStyle w:val="IndexLink"/>
                <w:rtl w:val="true"/>
              </w:rPr>
              <w:t>تحليل ما ينتقل إلى الشيعة من غير المخمّس</w:t>
            </w:r>
            <w:r>
              <w:rPr>
                <w:rStyle w:val="IndexLink"/>
                <w:rtl w:val="true"/>
              </w:rPr>
              <w:tab/>
            </w:r>
            <w:r>
              <w:rPr>
                <w:rStyle w:val="IndexLink"/>
              </w:rPr>
              <w:t>440</w:t>
            </w:r>
          </w:hyperlink>
        </w:p>
        <w:p>
          <w:pPr>
            <w:pStyle w:val="Contents5"/>
            <w:tabs>
              <w:tab w:val="clear" w:pos="7892"/>
              <w:tab w:val="right" w:pos="9026" w:leader="dot"/>
            </w:tabs>
            <w:rPr/>
          </w:pPr>
          <w:hyperlink w:anchor="__RefHeading___Toc7190021_73709187">
            <w:r>
              <w:rPr>
                <w:webHidden/>
                <w:rStyle w:val="IndexLink"/>
                <w:rtl w:val="true"/>
              </w:rPr>
              <w:t>القسم الرابع</w:t>
            </w:r>
            <w:r>
              <w:rPr>
                <w:rStyle w:val="IndexLink"/>
                <w:rtl w:val="true"/>
              </w:rPr>
              <w:t xml:space="preserve">: </w:t>
            </w:r>
            <w:r>
              <w:rPr>
                <w:rStyle w:val="IndexLink"/>
                <w:rtl w:val="true"/>
              </w:rPr>
              <w:t>التحليل لمرحلة زمنية خاصّة</w:t>
            </w:r>
            <w:r>
              <w:rPr>
                <w:rStyle w:val="IndexLink"/>
                <w:rtl w:val="true"/>
              </w:rPr>
              <w:tab/>
            </w:r>
            <w:r>
              <w:rPr>
                <w:rStyle w:val="IndexLink"/>
              </w:rPr>
              <w:t>441</w:t>
            </w:r>
          </w:hyperlink>
        </w:p>
        <w:p>
          <w:pPr>
            <w:pStyle w:val="Contents5"/>
            <w:tabs>
              <w:tab w:val="clear" w:pos="7892"/>
              <w:tab w:val="right" w:pos="9026" w:leader="dot"/>
            </w:tabs>
            <w:rPr/>
          </w:pPr>
          <w:hyperlink w:anchor="__RefHeading___Toc7190023_73709187">
            <w:r>
              <w:rPr>
                <w:webHidden/>
                <w:rStyle w:val="IndexLink"/>
                <w:rtl w:val="true"/>
              </w:rPr>
              <w:t>القسم الخامس</w:t>
            </w:r>
            <w:r>
              <w:rPr>
                <w:rStyle w:val="IndexLink"/>
                <w:rtl w:val="true"/>
              </w:rPr>
              <w:t xml:space="preserve">: </w:t>
            </w:r>
            <w:r>
              <w:rPr>
                <w:rStyle w:val="IndexLink"/>
                <w:rtl w:val="true"/>
              </w:rPr>
              <w:t>تحليل الأنفال</w:t>
            </w:r>
            <w:r>
              <w:rPr>
                <w:rStyle w:val="IndexLink"/>
                <w:rtl w:val="true"/>
              </w:rPr>
              <w:tab/>
            </w:r>
            <w:r>
              <w:rPr>
                <w:rStyle w:val="IndexLink"/>
              </w:rPr>
              <w:t>444</w:t>
            </w:r>
          </w:hyperlink>
        </w:p>
        <w:p>
          <w:pPr>
            <w:pStyle w:val="Contents5"/>
            <w:tabs>
              <w:tab w:val="clear" w:pos="7892"/>
              <w:tab w:val="right" w:pos="9026" w:leader="dot"/>
            </w:tabs>
            <w:rPr/>
          </w:pPr>
          <w:hyperlink w:anchor="__RefHeading___Toc7190025_73709187">
            <w:r>
              <w:rPr>
                <w:webHidden/>
                <w:rStyle w:val="IndexLink"/>
                <w:rtl w:val="true"/>
              </w:rPr>
              <w:t>الخمس بدل الزكاة لبني هاشم</w:t>
            </w:r>
            <w:r>
              <w:rPr>
                <w:rStyle w:val="IndexLink"/>
                <w:rtl w:val="true"/>
              </w:rPr>
              <w:tab/>
            </w:r>
            <w:r>
              <w:rPr>
                <w:rStyle w:val="IndexLink"/>
              </w:rPr>
              <w:t>445</w:t>
            </w:r>
          </w:hyperlink>
        </w:p>
        <w:p>
          <w:pPr>
            <w:pStyle w:val="Contents4"/>
            <w:tabs>
              <w:tab w:val="clear" w:pos="8176"/>
              <w:tab w:val="right" w:pos="9026" w:leader="dot"/>
            </w:tabs>
            <w:rPr/>
          </w:pPr>
          <w:hyperlink w:anchor="__RefHeading___Toc7190027_73709187">
            <w:r>
              <w:rPr>
                <w:webHidden/>
                <w:rStyle w:val="IndexLink"/>
                <w:rtl w:val="true"/>
              </w:rPr>
              <w:t>الفصل الثالث جهاز الوكالة في عصر الحضور</w:t>
            </w:r>
            <w:r>
              <w:rPr>
                <w:rStyle w:val="IndexLink"/>
                <w:rtl w:val="true"/>
              </w:rPr>
              <w:tab/>
            </w:r>
            <w:r>
              <w:rPr>
                <w:rStyle w:val="IndexLink"/>
              </w:rPr>
              <w:t>447</w:t>
            </w:r>
          </w:hyperlink>
        </w:p>
        <w:p>
          <w:pPr>
            <w:pStyle w:val="Contents5"/>
            <w:tabs>
              <w:tab w:val="clear" w:pos="7892"/>
              <w:tab w:val="right" w:pos="9026" w:leader="dot"/>
            </w:tabs>
            <w:rPr/>
          </w:pPr>
          <w:hyperlink w:anchor="__RefHeading___Toc7190029_7370918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7190031_73709187">
            <w:r>
              <w:rPr>
                <w:webHidden/>
                <w:rStyle w:val="IndexLink"/>
              </w:rPr>
              <w:t>1</w:t>
            </w:r>
            <w:r>
              <w:rPr>
                <w:rStyle w:val="IndexLink"/>
                <w:rtl w:val="true"/>
              </w:rPr>
              <w:t xml:space="preserve">. </w:t>
            </w:r>
            <w:r>
              <w:rPr>
                <w:rStyle w:val="IndexLink"/>
                <w:rtl w:val="true"/>
              </w:rPr>
              <w:t>المُعَلّى بن خُنَيس</w:t>
            </w:r>
            <w:r>
              <w:rPr>
                <w:rStyle w:val="IndexLink"/>
                <w:rtl w:val="true"/>
              </w:rPr>
              <w:tab/>
            </w:r>
            <w:r>
              <w:rPr>
                <w:rStyle w:val="IndexLink"/>
              </w:rPr>
              <w:t>447</w:t>
            </w:r>
          </w:hyperlink>
        </w:p>
        <w:p>
          <w:pPr>
            <w:pStyle w:val="Contents5"/>
            <w:tabs>
              <w:tab w:val="clear" w:pos="7892"/>
              <w:tab w:val="right" w:pos="9026" w:leader="dot"/>
            </w:tabs>
            <w:rPr/>
          </w:pPr>
          <w:hyperlink w:anchor="__RefHeading___Toc7190033_73709187">
            <w:r>
              <w:rPr>
                <w:webHidden/>
                <w:rStyle w:val="IndexLink"/>
              </w:rPr>
              <w:t>2</w:t>
            </w:r>
            <w:r>
              <w:rPr>
                <w:rStyle w:val="IndexLink"/>
                <w:rtl w:val="true"/>
              </w:rPr>
              <w:t xml:space="preserve">. </w:t>
            </w:r>
            <w:r>
              <w:rPr>
                <w:rStyle w:val="IndexLink"/>
                <w:rtl w:val="true"/>
              </w:rPr>
              <w:t>حُمران بن أعيَن</w:t>
            </w:r>
            <w:r>
              <w:rPr>
                <w:rStyle w:val="IndexLink"/>
                <w:rtl w:val="true"/>
              </w:rPr>
              <w:tab/>
            </w:r>
            <w:r>
              <w:rPr>
                <w:rStyle w:val="IndexLink"/>
              </w:rPr>
              <w:t>448</w:t>
            </w:r>
          </w:hyperlink>
        </w:p>
        <w:p>
          <w:pPr>
            <w:pStyle w:val="Contents5"/>
            <w:tabs>
              <w:tab w:val="clear" w:pos="7892"/>
              <w:tab w:val="right" w:pos="9026" w:leader="dot"/>
            </w:tabs>
            <w:rPr/>
          </w:pPr>
          <w:hyperlink w:anchor="__RefHeading___Toc7190035_73709187">
            <w:r>
              <w:rPr>
                <w:webHidden/>
                <w:rStyle w:val="IndexLink"/>
              </w:rPr>
              <w:t>3</w:t>
            </w:r>
            <w:r>
              <w:rPr>
                <w:rStyle w:val="IndexLink"/>
                <w:rtl w:val="true"/>
              </w:rPr>
              <w:t xml:space="preserve">. </w:t>
            </w:r>
            <w:r>
              <w:rPr>
                <w:rStyle w:val="IndexLink"/>
                <w:rtl w:val="true"/>
              </w:rPr>
              <w:t>نصر بن قابوس اللخمي</w:t>
            </w:r>
            <w:r>
              <w:rPr>
                <w:rStyle w:val="IndexLink"/>
                <w:rtl w:val="true"/>
              </w:rPr>
              <w:tab/>
            </w:r>
            <w:r>
              <w:rPr>
                <w:rStyle w:val="IndexLink"/>
              </w:rPr>
              <w:t>449</w:t>
            </w:r>
          </w:hyperlink>
        </w:p>
        <w:p>
          <w:pPr>
            <w:pStyle w:val="Contents5"/>
            <w:tabs>
              <w:tab w:val="clear" w:pos="7892"/>
              <w:tab w:val="right" w:pos="9026" w:leader="dot"/>
            </w:tabs>
            <w:rPr/>
          </w:pPr>
          <w:hyperlink w:anchor="__RefHeading___Toc7190037_73709187">
            <w:r>
              <w:rPr>
                <w:webHidden/>
                <w:rStyle w:val="IndexLink"/>
              </w:rPr>
              <w:t>4</w:t>
            </w:r>
            <w:r>
              <w:rPr>
                <w:rStyle w:val="IndexLink"/>
                <w:rtl w:val="true"/>
              </w:rPr>
              <w:t xml:space="preserve">. </w:t>
            </w:r>
            <w:r>
              <w:rPr>
                <w:rStyle w:val="IndexLink"/>
                <w:rtl w:val="true"/>
              </w:rPr>
              <w:t>عبدالرحمن بن الحجّاج</w:t>
            </w:r>
            <w:r>
              <w:rPr>
                <w:rStyle w:val="IndexLink"/>
                <w:rtl w:val="true"/>
              </w:rPr>
              <w:tab/>
            </w:r>
            <w:r>
              <w:rPr>
                <w:rStyle w:val="IndexLink"/>
              </w:rPr>
              <w:t>449</w:t>
            </w:r>
          </w:hyperlink>
        </w:p>
        <w:p>
          <w:pPr>
            <w:pStyle w:val="Contents5"/>
            <w:tabs>
              <w:tab w:val="clear" w:pos="7892"/>
              <w:tab w:val="right" w:pos="9026" w:leader="dot"/>
            </w:tabs>
            <w:rPr/>
          </w:pPr>
          <w:hyperlink w:anchor="__RefHeading___Toc7190039_73709187">
            <w:r>
              <w:rPr>
                <w:webHidden/>
                <w:rStyle w:val="IndexLink"/>
              </w:rPr>
              <w:t>5</w:t>
            </w:r>
            <w:r>
              <w:rPr>
                <w:rStyle w:val="IndexLink"/>
                <w:rtl w:val="true"/>
              </w:rPr>
              <w:t xml:space="preserve">. </w:t>
            </w:r>
            <w:r>
              <w:rPr>
                <w:rStyle w:val="IndexLink"/>
                <w:rtl w:val="true"/>
              </w:rPr>
              <w:t>المُفضَّل بن عمر الجُعفي</w:t>
            </w:r>
            <w:r>
              <w:rPr>
                <w:rStyle w:val="IndexLink"/>
                <w:rtl w:val="true"/>
              </w:rPr>
              <w:tab/>
            </w:r>
            <w:r>
              <w:rPr>
                <w:rStyle w:val="IndexLink"/>
              </w:rPr>
              <w:t>449</w:t>
            </w:r>
          </w:hyperlink>
        </w:p>
        <w:p>
          <w:pPr>
            <w:pStyle w:val="Contents5"/>
            <w:tabs>
              <w:tab w:val="clear" w:pos="7892"/>
              <w:tab w:val="right" w:pos="9026" w:leader="dot"/>
            </w:tabs>
            <w:rPr/>
          </w:pPr>
          <w:hyperlink w:anchor="__RefHeading___Toc7190041_73709187">
            <w:r>
              <w:rPr>
                <w:webHidden/>
                <w:rStyle w:val="IndexLink"/>
              </w:rPr>
              <w:t>6</w:t>
            </w:r>
            <w:r>
              <w:rPr>
                <w:rStyle w:val="IndexLink"/>
                <w:rtl w:val="true"/>
              </w:rPr>
              <w:t xml:space="preserve">. </w:t>
            </w:r>
            <w:r>
              <w:rPr>
                <w:rStyle w:val="IndexLink"/>
                <w:rtl w:val="true"/>
              </w:rPr>
              <w:t>عبداللّه بن جندب البجلي</w:t>
            </w:r>
            <w:r>
              <w:rPr>
                <w:rStyle w:val="IndexLink"/>
                <w:rtl w:val="true"/>
              </w:rPr>
              <w:tab/>
            </w:r>
            <w:r>
              <w:rPr>
                <w:rStyle w:val="IndexLink"/>
              </w:rPr>
              <w:t>450</w:t>
            </w:r>
          </w:hyperlink>
        </w:p>
        <w:p>
          <w:pPr>
            <w:pStyle w:val="Contents5"/>
            <w:tabs>
              <w:tab w:val="clear" w:pos="7892"/>
              <w:tab w:val="right" w:pos="9026" w:leader="dot"/>
            </w:tabs>
            <w:rPr/>
          </w:pPr>
          <w:hyperlink w:anchor="__RefHeading___Toc7190043_73709187">
            <w:r>
              <w:rPr>
                <w:webHidden/>
                <w:rStyle w:val="IndexLink"/>
              </w:rPr>
              <w:t>7</w:t>
            </w:r>
            <w:r>
              <w:rPr>
                <w:rStyle w:val="IndexLink"/>
                <w:rtl w:val="true"/>
              </w:rPr>
              <w:t xml:space="preserve">. </w:t>
            </w:r>
            <w:r>
              <w:rPr>
                <w:rStyle w:val="IndexLink"/>
                <w:rtl w:val="true"/>
              </w:rPr>
              <w:t>محمد بن سنان</w:t>
            </w:r>
            <w:r>
              <w:rPr>
                <w:rStyle w:val="IndexLink"/>
                <w:rtl w:val="true"/>
              </w:rPr>
              <w:tab/>
            </w:r>
            <w:r>
              <w:rPr>
                <w:rStyle w:val="IndexLink"/>
              </w:rPr>
              <w:t>450</w:t>
            </w:r>
          </w:hyperlink>
        </w:p>
        <w:p>
          <w:pPr>
            <w:pStyle w:val="Contents5"/>
            <w:tabs>
              <w:tab w:val="clear" w:pos="7892"/>
              <w:tab w:val="right" w:pos="9026" w:leader="dot"/>
            </w:tabs>
            <w:rPr/>
          </w:pPr>
          <w:hyperlink w:anchor="__RefHeading___Toc7190045_73709187">
            <w:r>
              <w:rPr>
                <w:webHidden/>
                <w:rStyle w:val="IndexLink"/>
              </w:rPr>
              <w:t>8</w:t>
            </w:r>
            <w:r>
              <w:rPr>
                <w:rStyle w:val="IndexLink"/>
                <w:rtl w:val="true"/>
              </w:rPr>
              <w:t xml:space="preserve">. </w:t>
            </w:r>
            <w:r>
              <w:rPr>
                <w:rStyle w:val="IndexLink"/>
                <w:rtl w:val="true"/>
              </w:rPr>
              <w:t>علي بن مهزيار</w:t>
            </w:r>
            <w:r>
              <w:rPr>
                <w:rStyle w:val="IndexLink"/>
                <w:rtl w:val="true"/>
              </w:rPr>
              <w:tab/>
            </w:r>
            <w:r>
              <w:rPr>
                <w:rStyle w:val="IndexLink"/>
              </w:rPr>
              <w:t>450</w:t>
            </w:r>
          </w:hyperlink>
        </w:p>
        <w:p>
          <w:pPr>
            <w:pStyle w:val="Contents5"/>
            <w:tabs>
              <w:tab w:val="clear" w:pos="7892"/>
              <w:tab w:val="right" w:pos="9026" w:leader="dot"/>
            </w:tabs>
            <w:rPr/>
          </w:pPr>
          <w:hyperlink w:anchor="__RefHeading___Toc7190047_73709187">
            <w:r>
              <w:rPr>
                <w:webHidden/>
                <w:rStyle w:val="IndexLink"/>
              </w:rPr>
              <w:t>9</w:t>
            </w:r>
            <w:r>
              <w:rPr>
                <w:rStyle w:val="IndexLink"/>
                <w:rtl w:val="true"/>
              </w:rPr>
              <w:t xml:space="preserve">. </w:t>
            </w:r>
            <w:r>
              <w:rPr>
                <w:rStyle w:val="IndexLink"/>
                <w:rtl w:val="true"/>
              </w:rPr>
              <w:t>أيوب بن نوح بن درّاج</w:t>
            </w:r>
            <w:r>
              <w:rPr>
                <w:rStyle w:val="IndexLink"/>
                <w:rtl w:val="true"/>
              </w:rPr>
              <w:tab/>
            </w:r>
            <w:r>
              <w:rPr>
                <w:rStyle w:val="IndexLink"/>
              </w:rPr>
              <w:t>451</w:t>
            </w:r>
          </w:hyperlink>
        </w:p>
        <w:p>
          <w:pPr>
            <w:pStyle w:val="Contents5"/>
            <w:tabs>
              <w:tab w:val="clear" w:pos="7892"/>
              <w:tab w:val="right" w:pos="9026" w:leader="dot"/>
            </w:tabs>
            <w:rPr/>
          </w:pPr>
          <w:hyperlink w:anchor="__RefHeading___Toc7190049_73709187">
            <w:r>
              <w:rPr>
                <w:webHidden/>
                <w:rStyle w:val="IndexLink"/>
              </w:rPr>
              <w:t>10</w:t>
            </w:r>
            <w:r>
              <w:rPr>
                <w:rStyle w:val="IndexLink"/>
                <w:rtl w:val="true"/>
              </w:rPr>
              <w:t xml:space="preserve">. </w:t>
            </w:r>
            <w:r>
              <w:rPr>
                <w:rStyle w:val="IndexLink"/>
                <w:rtl w:val="true"/>
              </w:rPr>
              <w:t>علي بن جعفر الهمّاني</w:t>
            </w:r>
            <w:r>
              <w:rPr>
                <w:rStyle w:val="IndexLink"/>
                <w:rtl w:val="true"/>
              </w:rPr>
              <w:tab/>
            </w:r>
            <w:r>
              <w:rPr>
                <w:rStyle w:val="IndexLink"/>
              </w:rPr>
              <w:t>451</w:t>
            </w:r>
          </w:hyperlink>
        </w:p>
        <w:p>
          <w:pPr>
            <w:pStyle w:val="Contents5"/>
            <w:tabs>
              <w:tab w:val="clear" w:pos="7892"/>
              <w:tab w:val="right" w:pos="9026" w:leader="dot"/>
            </w:tabs>
            <w:rPr/>
          </w:pPr>
          <w:hyperlink w:anchor="__RefHeading___Toc7190051_73709187">
            <w:r>
              <w:rPr>
                <w:webHidden/>
                <w:rStyle w:val="IndexLink"/>
              </w:rPr>
              <w:t>11</w:t>
            </w:r>
            <w:r>
              <w:rPr>
                <w:rStyle w:val="IndexLink"/>
                <w:rtl w:val="true"/>
              </w:rPr>
              <w:t xml:space="preserve">. </w:t>
            </w:r>
            <w:r>
              <w:rPr>
                <w:rStyle w:val="IndexLink"/>
                <w:rtl w:val="true"/>
              </w:rPr>
              <w:t>أبو علي الحسن بن راشد</w:t>
            </w:r>
            <w:r>
              <w:rPr>
                <w:rStyle w:val="IndexLink"/>
                <w:rtl w:val="true"/>
              </w:rPr>
              <w:tab/>
            </w:r>
            <w:r>
              <w:rPr>
                <w:rStyle w:val="IndexLink"/>
              </w:rPr>
              <w:t>451</w:t>
            </w:r>
          </w:hyperlink>
        </w:p>
        <w:p>
          <w:pPr>
            <w:pStyle w:val="Contents5"/>
            <w:tabs>
              <w:tab w:val="clear" w:pos="7892"/>
              <w:tab w:val="right" w:pos="9026" w:leader="dot"/>
            </w:tabs>
            <w:rPr/>
          </w:pPr>
          <w:hyperlink w:anchor="__RefHeading___Toc7190053_73709187">
            <w:r>
              <w:rPr>
                <w:webHidden/>
                <w:rStyle w:val="IndexLink"/>
              </w:rPr>
              <w:t>12</w:t>
            </w:r>
            <w:r>
              <w:rPr>
                <w:rStyle w:val="IndexLink"/>
                <w:rtl w:val="true"/>
              </w:rPr>
              <w:t xml:space="preserve">. </w:t>
            </w:r>
            <w:r>
              <w:rPr>
                <w:rStyle w:val="IndexLink"/>
                <w:rtl w:val="true"/>
              </w:rPr>
              <w:t>صالح بن محمد بن سهل الهمداني</w:t>
            </w:r>
            <w:r>
              <w:rPr>
                <w:rStyle w:val="IndexLink"/>
                <w:rtl w:val="true"/>
              </w:rPr>
              <w:tab/>
            </w:r>
            <w:r>
              <w:rPr>
                <w:rStyle w:val="IndexLink"/>
              </w:rPr>
              <w:t>452</w:t>
            </w:r>
          </w:hyperlink>
        </w:p>
        <w:p>
          <w:pPr>
            <w:pStyle w:val="Contents5"/>
            <w:tabs>
              <w:tab w:val="clear" w:pos="7892"/>
              <w:tab w:val="right" w:pos="9026" w:leader="dot"/>
            </w:tabs>
            <w:rPr/>
          </w:pPr>
          <w:hyperlink w:anchor="__RefHeading___Toc7190055_73709187">
            <w:r>
              <w:rPr>
                <w:webHidden/>
                <w:rStyle w:val="IndexLink"/>
              </w:rPr>
              <w:t>13</w:t>
            </w:r>
            <w:r>
              <w:rPr>
                <w:rStyle w:val="IndexLink"/>
                <w:rtl w:val="true"/>
              </w:rPr>
              <w:t xml:space="preserve">. </w:t>
            </w:r>
            <w:r>
              <w:rPr>
                <w:rStyle w:val="IndexLink"/>
                <w:rtl w:val="true"/>
              </w:rPr>
              <w:t>علي بن أبي حمزة البطائني</w:t>
            </w:r>
            <w:r>
              <w:rPr>
                <w:rStyle w:val="IndexLink"/>
                <w:rtl w:val="true"/>
              </w:rPr>
              <w:tab/>
            </w:r>
            <w:r>
              <w:rPr>
                <w:rStyle w:val="IndexLink"/>
              </w:rPr>
              <w:t>452</w:t>
            </w:r>
          </w:hyperlink>
        </w:p>
        <w:p>
          <w:pPr>
            <w:pStyle w:val="Contents5"/>
            <w:tabs>
              <w:tab w:val="clear" w:pos="7892"/>
              <w:tab w:val="right" w:pos="9026" w:leader="dot"/>
            </w:tabs>
            <w:rPr/>
          </w:pPr>
          <w:hyperlink w:anchor="__RefHeading___Toc7190057_73709187">
            <w:r>
              <w:rPr>
                <w:webHidden/>
                <w:rStyle w:val="IndexLink"/>
              </w:rPr>
              <w:t>14</w:t>
            </w:r>
            <w:r>
              <w:rPr>
                <w:rStyle w:val="IndexLink"/>
                <w:rtl w:val="true"/>
              </w:rPr>
              <w:t xml:space="preserve">. </w:t>
            </w:r>
            <w:r>
              <w:rPr>
                <w:rStyle w:val="IndexLink"/>
                <w:rtl w:val="true"/>
              </w:rPr>
              <w:t>زياد بن مروان القندي</w:t>
            </w:r>
            <w:r>
              <w:rPr>
                <w:rStyle w:val="IndexLink"/>
                <w:rtl w:val="true"/>
              </w:rPr>
              <w:tab/>
            </w:r>
            <w:r>
              <w:rPr>
                <w:rStyle w:val="IndexLink"/>
              </w:rPr>
              <w:t>452</w:t>
            </w:r>
          </w:hyperlink>
        </w:p>
        <w:p>
          <w:pPr>
            <w:pStyle w:val="Contents5"/>
            <w:tabs>
              <w:tab w:val="clear" w:pos="7892"/>
              <w:tab w:val="right" w:pos="9026" w:leader="dot"/>
            </w:tabs>
            <w:rPr/>
          </w:pPr>
          <w:hyperlink w:anchor="__RefHeading___Toc7190059_73709187">
            <w:r>
              <w:rPr>
                <w:webHidden/>
                <w:rStyle w:val="IndexLink"/>
              </w:rPr>
              <w:t>15</w:t>
            </w:r>
            <w:r>
              <w:rPr>
                <w:rStyle w:val="IndexLink"/>
                <w:rtl w:val="true"/>
              </w:rPr>
              <w:t xml:space="preserve">. </w:t>
            </w:r>
            <w:r>
              <w:rPr>
                <w:rStyle w:val="IndexLink"/>
                <w:rtl w:val="true"/>
              </w:rPr>
              <w:t>عثمان بن عيسى الرواسي</w:t>
            </w:r>
            <w:r>
              <w:rPr>
                <w:rStyle w:val="IndexLink"/>
                <w:rtl w:val="true"/>
              </w:rPr>
              <w:tab/>
            </w:r>
            <w:r>
              <w:rPr>
                <w:rStyle w:val="IndexLink"/>
              </w:rPr>
              <w:t>452</w:t>
            </w:r>
          </w:hyperlink>
        </w:p>
        <w:p>
          <w:pPr>
            <w:pStyle w:val="Contents5"/>
            <w:tabs>
              <w:tab w:val="clear" w:pos="7892"/>
              <w:tab w:val="right" w:pos="9026" w:leader="dot"/>
            </w:tabs>
            <w:rPr/>
          </w:pPr>
          <w:hyperlink w:anchor="__RefHeading___Toc7190061_73709187">
            <w:r>
              <w:rPr>
                <w:webHidden/>
                <w:rStyle w:val="IndexLink"/>
              </w:rPr>
              <w:t>16</w:t>
            </w:r>
            <w:r>
              <w:rPr>
                <w:rStyle w:val="IndexLink"/>
                <w:rtl w:val="true"/>
              </w:rPr>
              <w:t xml:space="preserve">. </w:t>
            </w:r>
            <w:r>
              <w:rPr>
                <w:rStyle w:val="IndexLink"/>
                <w:rtl w:val="true"/>
              </w:rPr>
              <w:t>عثمان بن سعيد العمري</w:t>
            </w:r>
            <w:r>
              <w:rPr>
                <w:rStyle w:val="IndexLink"/>
                <w:rtl w:val="true"/>
              </w:rPr>
              <w:tab/>
            </w:r>
            <w:r>
              <w:rPr>
                <w:rStyle w:val="IndexLink"/>
              </w:rPr>
              <w:t>452</w:t>
            </w:r>
          </w:hyperlink>
        </w:p>
        <w:p>
          <w:pPr>
            <w:pStyle w:val="Contents5"/>
            <w:tabs>
              <w:tab w:val="clear" w:pos="7892"/>
              <w:tab w:val="right" w:pos="9026" w:leader="dot"/>
            </w:tabs>
            <w:rPr/>
          </w:pPr>
          <w:hyperlink w:anchor="__RefHeading___Toc7190063_73709187">
            <w:r>
              <w:rPr>
                <w:webHidden/>
                <w:rStyle w:val="IndexLink"/>
              </w:rPr>
              <w:t>17</w:t>
            </w:r>
            <w:r>
              <w:rPr>
                <w:rStyle w:val="IndexLink"/>
                <w:rtl w:val="true"/>
              </w:rPr>
              <w:t xml:space="preserve">. </w:t>
            </w:r>
            <w:r>
              <w:rPr>
                <w:rStyle w:val="IndexLink"/>
                <w:rtl w:val="true"/>
              </w:rPr>
              <w:t>أبو جعفر محمد بن عثمان بن سعيد العمري</w:t>
            </w:r>
            <w:r>
              <w:rPr>
                <w:rStyle w:val="IndexLink"/>
                <w:rtl w:val="true"/>
              </w:rPr>
              <w:tab/>
            </w:r>
            <w:r>
              <w:rPr>
                <w:rStyle w:val="IndexLink"/>
              </w:rPr>
              <w:t>453</w:t>
            </w:r>
          </w:hyperlink>
        </w:p>
        <w:p>
          <w:pPr>
            <w:pStyle w:val="Contents5"/>
            <w:tabs>
              <w:tab w:val="clear" w:pos="7892"/>
              <w:tab w:val="right" w:pos="9026" w:leader="dot"/>
            </w:tabs>
            <w:rPr/>
          </w:pPr>
          <w:hyperlink w:anchor="__RefHeading___Toc7190065_73709187">
            <w:r>
              <w:rPr>
                <w:webHidden/>
                <w:rStyle w:val="IndexLink"/>
              </w:rPr>
              <w:t>18</w:t>
            </w:r>
            <w:r>
              <w:rPr>
                <w:rStyle w:val="IndexLink"/>
                <w:rtl w:val="true"/>
              </w:rPr>
              <w:t xml:space="preserve">. </w:t>
            </w:r>
            <w:r>
              <w:rPr>
                <w:rStyle w:val="IndexLink"/>
                <w:rtl w:val="true"/>
              </w:rPr>
              <w:t>الحسين بن روح النوبختي</w:t>
            </w:r>
            <w:r>
              <w:rPr>
                <w:rStyle w:val="IndexLink"/>
                <w:rtl w:val="true"/>
              </w:rPr>
              <w:tab/>
            </w:r>
            <w:r>
              <w:rPr>
                <w:rStyle w:val="IndexLink"/>
              </w:rPr>
              <w:t>453</w:t>
            </w:r>
          </w:hyperlink>
        </w:p>
        <w:p>
          <w:pPr>
            <w:pStyle w:val="Contents4"/>
            <w:tabs>
              <w:tab w:val="clear" w:pos="8176"/>
              <w:tab w:val="right" w:pos="9026" w:leader="dot"/>
            </w:tabs>
            <w:rPr/>
          </w:pPr>
          <w:hyperlink w:anchor="__RefHeading___Toc7190067_73709187">
            <w:r>
              <w:rPr>
                <w:webHidden/>
                <w:rStyle w:val="IndexLink"/>
                <w:rtl w:val="true"/>
              </w:rPr>
              <w:t>الفصل الرابع فريضة الخمس وتولّي الفقيه</w:t>
            </w:r>
            <w:r>
              <w:rPr>
                <w:rStyle w:val="IndexLink"/>
                <w:rtl w:val="true"/>
              </w:rPr>
              <w:tab/>
            </w:r>
            <w:r>
              <w:rPr>
                <w:rStyle w:val="IndexLink"/>
              </w:rPr>
              <w:t>455</w:t>
            </w:r>
          </w:hyperlink>
        </w:p>
        <w:p>
          <w:pPr>
            <w:pStyle w:val="Contents5"/>
            <w:tabs>
              <w:tab w:val="clear" w:pos="7892"/>
              <w:tab w:val="right" w:pos="9026" w:leader="dot"/>
            </w:tabs>
            <w:rPr/>
          </w:pPr>
          <w:hyperlink w:anchor="__RefHeading___Toc7190069_7370918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7190071_73709187">
            <w:r>
              <w:rPr>
                <w:webHidden/>
                <w:rStyle w:val="IndexLink"/>
                <w:rtl w:val="true"/>
              </w:rPr>
              <w:t>بيان ما يدل على تولّي الفقيه</w:t>
            </w:r>
            <w:r>
              <w:rPr>
                <w:rStyle w:val="IndexLink"/>
                <w:rtl w:val="true"/>
              </w:rPr>
              <w:tab/>
            </w:r>
            <w:r>
              <w:rPr>
                <w:rStyle w:val="IndexLink"/>
              </w:rPr>
              <w:t>461</w:t>
            </w:r>
          </w:hyperlink>
        </w:p>
        <w:p>
          <w:pPr>
            <w:pStyle w:val="Contents5"/>
            <w:tabs>
              <w:tab w:val="clear" w:pos="7892"/>
              <w:tab w:val="right" w:pos="9026" w:leader="dot"/>
            </w:tabs>
            <w:rPr/>
          </w:pPr>
          <w:hyperlink w:anchor="__RefHeading___Toc7190073_73709187">
            <w:r>
              <w:rPr>
                <w:webHidden/>
                <w:rStyle w:val="IndexLink"/>
                <w:rtl w:val="true"/>
              </w:rPr>
              <w:t>بانت الحقيقة بأجلى صورها</w:t>
            </w:r>
            <w:r>
              <w:rPr>
                <w:rStyle w:val="IndexLink"/>
                <w:rtl w:val="true"/>
              </w:rPr>
              <w:tab/>
            </w:r>
            <w:r>
              <w:rPr>
                <w:rStyle w:val="IndexLink"/>
              </w:rPr>
              <w:t>464</w:t>
            </w:r>
          </w:hyperlink>
        </w:p>
        <w:p>
          <w:pPr>
            <w:pStyle w:val="Contents4"/>
            <w:tabs>
              <w:tab w:val="clear" w:pos="8176"/>
              <w:tab w:val="right" w:pos="9026" w:leader="dot"/>
            </w:tabs>
            <w:rPr/>
          </w:pPr>
          <w:hyperlink w:anchor="__RefHeading___Toc7190075_73709187">
            <w:r>
              <w:rPr>
                <w:webHidden/>
                <w:rStyle w:val="IndexLink"/>
                <w:rtl w:val="true"/>
              </w:rPr>
              <w:t>الفصل الخامس دراسة نقدية للكتاب</w:t>
            </w:r>
            <w:r>
              <w:rPr>
                <w:rStyle w:val="IndexLink"/>
                <w:rtl w:val="true"/>
              </w:rPr>
              <w:tab/>
            </w:r>
            <w:r>
              <w:rPr>
                <w:rStyle w:val="IndexLink"/>
              </w:rPr>
              <w:t>466</w:t>
            </w:r>
          </w:hyperlink>
        </w:p>
        <w:p>
          <w:pPr>
            <w:pStyle w:val="Contents5"/>
            <w:tabs>
              <w:tab w:val="clear" w:pos="7892"/>
              <w:tab w:val="right" w:pos="9026" w:leader="dot"/>
            </w:tabs>
            <w:rPr/>
          </w:pPr>
          <w:hyperlink w:anchor="__RefHeading___Toc7190077_7370918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7190079_73709187">
            <w:r>
              <w:rPr>
                <w:webHidden/>
                <w:rStyle w:val="IndexLink"/>
                <w:rtl w:val="true"/>
              </w:rPr>
              <w:t>الأوّل</w:t>
            </w:r>
            <w:r>
              <w:rPr>
                <w:rStyle w:val="IndexLink"/>
                <w:rtl w:val="true"/>
              </w:rPr>
              <w:t xml:space="preserve">: </w:t>
            </w:r>
            <w:r>
              <w:rPr>
                <w:rStyle w:val="IndexLink"/>
                <w:rtl w:val="true"/>
              </w:rPr>
              <w:t>افتراؤه على السيد محمد الصدر</w:t>
            </w:r>
            <w:r>
              <w:rPr>
                <w:rStyle w:val="IndexLink"/>
                <w:rtl w:val="true"/>
              </w:rPr>
              <w:tab/>
            </w:r>
            <w:r>
              <w:rPr>
                <w:rStyle w:val="IndexLink"/>
              </w:rPr>
              <w:t>467</w:t>
            </w:r>
          </w:hyperlink>
        </w:p>
        <w:p>
          <w:pPr>
            <w:pStyle w:val="Contents5"/>
            <w:tabs>
              <w:tab w:val="clear" w:pos="7892"/>
              <w:tab w:val="right" w:pos="9026" w:leader="dot"/>
            </w:tabs>
            <w:rPr/>
          </w:pPr>
          <w:hyperlink w:anchor="__RefHeading___Toc7190081_73709187">
            <w:r>
              <w:rPr>
                <w:webHidden/>
                <w:rStyle w:val="IndexLink"/>
                <w:rtl w:val="true"/>
              </w:rPr>
              <w:t>الثاني</w:t>
            </w:r>
            <w:r>
              <w:rPr>
                <w:rStyle w:val="IndexLink"/>
                <w:rtl w:val="true"/>
              </w:rPr>
              <w:t xml:space="preserve">: </w:t>
            </w:r>
            <w:r>
              <w:rPr>
                <w:rStyle w:val="IndexLink"/>
                <w:rtl w:val="true"/>
              </w:rPr>
              <w:t>تحريفه لكلام الشيخ الطوسي</w:t>
            </w:r>
            <w:r>
              <w:rPr>
                <w:rStyle w:val="IndexLink"/>
                <w:rtl w:val="true"/>
              </w:rPr>
              <w:tab/>
            </w:r>
            <w:r>
              <w:rPr>
                <w:rStyle w:val="IndexLink"/>
              </w:rPr>
              <w:t>468</w:t>
            </w:r>
          </w:hyperlink>
        </w:p>
        <w:p>
          <w:pPr>
            <w:pStyle w:val="Contents5"/>
            <w:tabs>
              <w:tab w:val="clear" w:pos="7892"/>
              <w:tab w:val="right" w:pos="9026" w:leader="dot"/>
            </w:tabs>
            <w:rPr/>
          </w:pPr>
          <w:hyperlink w:anchor="__RefHeading___Toc7190083_73709187">
            <w:r>
              <w:rPr>
                <w:webHidden/>
                <w:rStyle w:val="IndexLink"/>
                <w:rtl w:val="true"/>
              </w:rPr>
              <w:t>الثالث</w:t>
            </w:r>
            <w:r>
              <w:rPr>
                <w:rStyle w:val="IndexLink"/>
                <w:rtl w:val="true"/>
              </w:rPr>
              <w:t>: «</w:t>
            </w:r>
            <w:r>
              <w:rPr>
                <w:rStyle w:val="IndexLink"/>
                <w:rtl w:val="true"/>
              </w:rPr>
              <w:t>حقائق ثمانية</w:t>
            </w:r>
            <w:r>
              <w:rPr>
                <w:rStyle w:val="IndexLink"/>
                <w:rtl w:val="true"/>
              </w:rPr>
              <w:t xml:space="preserve">» </w:t>
            </w:r>
            <w:r>
              <w:rPr>
                <w:rStyle w:val="IndexLink"/>
                <w:rtl w:val="true"/>
              </w:rPr>
              <w:t>أو انطباعات خاطئة‌؟</w:t>
            </w:r>
            <w:r>
              <w:rPr>
                <w:rStyle w:val="IndexLink"/>
                <w:rtl w:val="true"/>
              </w:rPr>
              <w:t>!</w:t>
              <w:tab/>
            </w:r>
            <w:r>
              <w:rPr>
                <w:rStyle w:val="IndexLink"/>
              </w:rPr>
              <w:t>471</w:t>
            </w:r>
          </w:hyperlink>
        </w:p>
        <w:p>
          <w:pPr>
            <w:pStyle w:val="Contents6"/>
            <w:tabs>
              <w:tab w:val="clear" w:pos="7609"/>
              <w:tab w:val="right" w:pos="9026" w:leader="dot"/>
            </w:tabs>
            <w:rPr/>
          </w:pPr>
          <w:hyperlink w:anchor="__RefHeading___Toc7190085_73709187">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7190087_73709187">
            <w:r>
              <w:rPr>
                <w:webHidden/>
                <w:rStyle w:val="IndexLink"/>
              </w:rPr>
              <w:t>1</w:t>
            </w:r>
            <w:r>
              <w:rPr>
                <w:rStyle w:val="IndexLink"/>
                <w:rtl w:val="true"/>
              </w:rPr>
              <w:t xml:space="preserve">. </w:t>
            </w:r>
            <w:r>
              <w:rPr>
                <w:rStyle w:val="IndexLink"/>
                <w:rtl w:val="true"/>
              </w:rPr>
              <w:t>عدم الدليل على إعطاء الخمس للفقيه</w:t>
            </w:r>
            <w:r>
              <w:rPr>
                <w:rStyle w:val="IndexLink"/>
                <w:rtl w:val="true"/>
              </w:rPr>
              <w:tab/>
            </w:r>
            <w:r>
              <w:rPr>
                <w:rStyle w:val="IndexLink"/>
              </w:rPr>
              <w:t>473</w:t>
            </w:r>
          </w:hyperlink>
        </w:p>
        <w:p>
          <w:pPr>
            <w:pStyle w:val="Contents6"/>
            <w:tabs>
              <w:tab w:val="clear" w:pos="7609"/>
              <w:tab w:val="right" w:pos="9026" w:leader="dot"/>
            </w:tabs>
            <w:rPr/>
          </w:pPr>
          <w:hyperlink w:anchor="__RefHeading___Toc7190089_73709187">
            <w:r>
              <w:rPr>
                <w:webHidden/>
                <w:rStyle w:val="IndexLink"/>
              </w:rPr>
              <w:t>2</w:t>
            </w:r>
            <w:r>
              <w:rPr>
                <w:rStyle w:val="IndexLink"/>
                <w:rtl w:val="true"/>
              </w:rPr>
              <w:t xml:space="preserve">. </w:t>
            </w:r>
            <w:r>
              <w:rPr>
                <w:rStyle w:val="IndexLink"/>
                <w:rtl w:val="true"/>
              </w:rPr>
              <w:t>خلوّ القرآن والسنة عن ذكر الخمس</w:t>
            </w:r>
            <w:r>
              <w:rPr>
                <w:rStyle w:val="IndexLink"/>
                <w:rtl w:val="true"/>
              </w:rPr>
              <w:tab/>
            </w:r>
            <w:r>
              <w:rPr>
                <w:rStyle w:val="IndexLink"/>
              </w:rPr>
              <w:t>473</w:t>
            </w:r>
          </w:hyperlink>
        </w:p>
        <w:p>
          <w:pPr>
            <w:pStyle w:val="Contents6"/>
            <w:tabs>
              <w:tab w:val="clear" w:pos="7609"/>
              <w:tab w:val="right" w:pos="9026" w:leader="dot"/>
            </w:tabs>
            <w:rPr/>
          </w:pPr>
          <w:hyperlink w:anchor="__RefHeading___Toc7190091_73709187">
            <w:r>
              <w:rPr>
                <w:webHidden/>
                <w:rStyle w:val="IndexLink"/>
              </w:rPr>
              <w:t>3</w:t>
            </w:r>
            <w:r>
              <w:rPr>
                <w:rStyle w:val="IndexLink"/>
                <w:rtl w:val="true"/>
              </w:rPr>
              <w:t xml:space="preserve">. </w:t>
            </w:r>
            <w:r>
              <w:rPr>
                <w:rStyle w:val="IndexLink"/>
                <w:rtl w:val="true"/>
              </w:rPr>
              <w:t>ارتقاء الحكم من الاستحباب إلى الوجوب</w:t>
            </w:r>
            <w:r>
              <w:rPr>
                <w:rStyle w:val="IndexLink"/>
                <w:rtl w:val="true"/>
              </w:rPr>
              <w:tab/>
            </w:r>
            <w:r>
              <w:rPr>
                <w:rStyle w:val="IndexLink"/>
              </w:rPr>
              <w:t>474</w:t>
            </w:r>
          </w:hyperlink>
        </w:p>
        <w:p>
          <w:pPr>
            <w:pStyle w:val="Contents6"/>
            <w:tabs>
              <w:tab w:val="clear" w:pos="7609"/>
              <w:tab w:val="right" w:pos="9026" w:leader="dot"/>
            </w:tabs>
            <w:rPr/>
          </w:pPr>
          <w:hyperlink w:anchor="__RefHeading___Toc7190093_73709187">
            <w:r>
              <w:rPr>
                <w:webHidden/>
                <w:rStyle w:val="IndexLink"/>
              </w:rPr>
              <w:t>4</w:t>
            </w:r>
            <w:r>
              <w:rPr>
                <w:rStyle w:val="IndexLink"/>
                <w:rtl w:val="true"/>
              </w:rPr>
              <w:t xml:space="preserve">. </w:t>
            </w:r>
            <w:r>
              <w:rPr>
                <w:rStyle w:val="IndexLink"/>
                <w:rtl w:val="true"/>
              </w:rPr>
              <w:t>أخذ الفقيه الخمس كلّه</w:t>
            </w:r>
            <w:r>
              <w:rPr>
                <w:rStyle w:val="IndexLink"/>
                <w:rtl w:val="true"/>
              </w:rPr>
              <w:tab/>
            </w:r>
            <w:r>
              <w:rPr>
                <w:rStyle w:val="IndexLink"/>
              </w:rPr>
              <w:t>474</w:t>
            </w:r>
          </w:hyperlink>
        </w:p>
        <w:p>
          <w:pPr>
            <w:pStyle w:val="Contents6"/>
            <w:tabs>
              <w:tab w:val="clear" w:pos="7609"/>
              <w:tab w:val="right" w:pos="9026" w:leader="dot"/>
            </w:tabs>
            <w:rPr/>
          </w:pPr>
          <w:hyperlink w:anchor="__RefHeading___Toc7190095_73709187">
            <w:r>
              <w:rPr>
                <w:webHidden/>
                <w:rStyle w:val="IndexLink"/>
              </w:rPr>
              <w:t>5</w:t>
            </w:r>
            <w:r>
              <w:rPr>
                <w:rStyle w:val="IndexLink"/>
                <w:rtl w:val="true"/>
              </w:rPr>
              <w:t xml:space="preserve">. </w:t>
            </w:r>
            <w:r>
              <w:rPr>
                <w:rStyle w:val="IndexLink"/>
                <w:rtl w:val="true"/>
              </w:rPr>
              <w:t>أخذ اغنياء بني هاشم الخمس</w:t>
            </w:r>
            <w:r>
              <w:rPr>
                <w:rStyle w:val="IndexLink"/>
                <w:rtl w:val="true"/>
              </w:rPr>
              <w:tab/>
            </w:r>
            <w:r>
              <w:rPr>
                <w:rStyle w:val="IndexLink"/>
              </w:rPr>
              <w:t>475</w:t>
            </w:r>
          </w:hyperlink>
        </w:p>
        <w:p>
          <w:pPr>
            <w:pStyle w:val="Contents6"/>
            <w:tabs>
              <w:tab w:val="clear" w:pos="7609"/>
              <w:tab w:val="right" w:pos="9026" w:leader="dot"/>
            </w:tabs>
            <w:rPr/>
          </w:pPr>
          <w:hyperlink w:anchor="__RefHeading___Toc7190097_73709187">
            <w:r>
              <w:rPr>
                <w:webHidden/>
                <w:rStyle w:val="IndexLink"/>
              </w:rPr>
              <w:t>6</w:t>
            </w:r>
            <w:r>
              <w:rPr>
                <w:rStyle w:val="IndexLink"/>
                <w:rtl w:val="true"/>
              </w:rPr>
              <w:t xml:space="preserve">. </w:t>
            </w:r>
            <w:r>
              <w:rPr>
                <w:rStyle w:val="IndexLink"/>
                <w:rtl w:val="true"/>
              </w:rPr>
              <w:t>لم يذكر أحد المتقدمين تولّي الفقيه</w:t>
            </w:r>
            <w:r>
              <w:rPr>
                <w:rStyle w:val="IndexLink"/>
                <w:rtl w:val="true"/>
              </w:rPr>
              <w:tab/>
            </w:r>
            <w:r>
              <w:rPr>
                <w:rStyle w:val="IndexLink"/>
              </w:rPr>
              <w:t>475</w:t>
            </w:r>
          </w:hyperlink>
        </w:p>
        <w:p>
          <w:pPr>
            <w:pStyle w:val="Contents5"/>
            <w:tabs>
              <w:tab w:val="clear" w:pos="7892"/>
              <w:tab w:val="right" w:pos="9026" w:leader="dot"/>
            </w:tabs>
            <w:rPr/>
          </w:pPr>
          <w:hyperlink w:anchor="__RefHeading___Toc7190099_73709187">
            <w:r>
              <w:rPr>
                <w:webHidden/>
                <w:rStyle w:val="IndexLink"/>
                <w:rtl w:val="true"/>
              </w:rPr>
              <w:t>الرابع</w:t>
            </w:r>
            <w:r>
              <w:rPr>
                <w:rStyle w:val="IndexLink"/>
                <w:rtl w:val="true"/>
              </w:rPr>
              <w:t xml:space="preserve">: </w:t>
            </w:r>
            <w:r>
              <w:rPr>
                <w:rStyle w:val="IndexLink"/>
                <w:rtl w:val="true"/>
              </w:rPr>
              <w:t>مصدر شرعية الخمس</w:t>
            </w:r>
            <w:r>
              <w:rPr>
                <w:rStyle w:val="IndexLink"/>
                <w:rtl w:val="true"/>
              </w:rPr>
              <w:tab/>
            </w:r>
            <w:r>
              <w:rPr>
                <w:rStyle w:val="IndexLink"/>
              </w:rPr>
              <w:t>476</w:t>
            </w:r>
          </w:hyperlink>
        </w:p>
        <w:p>
          <w:pPr>
            <w:pStyle w:val="Contents5"/>
            <w:tabs>
              <w:tab w:val="clear" w:pos="7892"/>
              <w:tab w:val="right" w:pos="9026" w:leader="dot"/>
            </w:tabs>
            <w:rPr/>
          </w:pPr>
          <w:hyperlink w:anchor="__RefHeading___Toc7190101_73709187">
            <w:r>
              <w:rPr>
                <w:webHidden/>
                <w:rStyle w:val="IndexLink"/>
                <w:rtl w:val="true"/>
              </w:rPr>
              <w:t>الخامس</w:t>
            </w:r>
            <w:r>
              <w:rPr>
                <w:rStyle w:val="IndexLink"/>
                <w:rtl w:val="true"/>
              </w:rPr>
              <w:t xml:space="preserve">: </w:t>
            </w:r>
            <w:r>
              <w:rPr>
                <w:rStyle w:val="IndexLink"/>
                <w:rtl w:val="true"/>
              </w:rPr>
              <w:t>مهمّات الشرع رهن الدليل القاطع</w:t>
            </w:r>
            <w:r>
              <w:rPr>
                <w:rStyle w:val="IndexLink"/>
                <w:rtl w:val="true"/>
              </w:rPr>
              <w:tab/>
            </w:r>
            <w:r>
              <w:rPr>
                <w:rStyle w:val="IndexLink"/>
              </w:rPr>
              <w:t>477</w:t>
            </w:r>
          </w:hyperlink>
        </w:p>
        <w:p>
          <w:pPr>
            <w:pStyle w:val="Contents5"/>
            <w:tabs>
              <w:tab w:val="clear" w:pos="7892"/>
              <w:tab w:val="right" w:pos="9026" w:leader="dot"/>
            </w:tabs>
            <w:rPr/>
          </w:pPr>
          <w:hyperlink w:anchor="__RefHeading___Toc7190103_73709187">
            <w:r>
              <w:rPr>
                <w:webHidden/>
                <w:rStyle w:val="IndexLink"/>
                <w:rtl w:val="true"/>
              </w:rPr>
              <w:t>السادس</w:t>
            </w:r>
            <w:r>
              <w:rPr>
                <w:rStyle w:val="IndexLink"/>
                <w:rtl w:val="true"/>
              </w:rPr>
              <w:t xml:space="preserve">: </w:t>
            </w:r>
            <w:r>
              <w:rPr>
                <w:rStyle w:val="IndexLink"/>
                <w:rtl w:val="true"/>
              </w:rPr>
              <w:t>تكرّر ذكر الزكاة دون الخمس</w:t>
            </w:r>
            <w:r>
              <w:rPr>
                <w:rStyle w:val="IndexLink"/>
                <w:rtl w:val="true"/>
              </w:rPr>
              <w:tab/>
            </w:r>
            <w:r>
              <w:rPr>
                <w:rStyle w:val="IndexLink"/>
              </w:rPr>
              <w:t>478</w:t>
            </w:r>
          </w:hyperlink>
        </w:p>
        <w:p>
          <w:pPr>
            <w:pStyle w:val="Contents5"/>
            <w:tabs>
              <w:tab w:val="clear" w:pos="7892"/>
              <w:tab w:val="right" w:pos="9026" w:leader="dot"/>
            </w:tabs>
            <w:rPr/>
          </w:pPr>
          <w:hyperlink w:anchor="__RefHeading___Toc7190105_73709187">
            <w:r>
              <w:rPr>
                <w:webHidden/>
                <w:rStyle w:val="IndexLink"/>
                <w:rtl w:val="true"/>
              </w:rPr>
              <w:t>السابع</w:t>
            </w:r>
            <w:r>
              <w:rPr>
                <w:rStyle w:val="IndexLink"/>
                <w:rtl w:val="true"/>
              </w:rPr>
              <w:t xml:space="preserve">: </w:t>
            </w:r>
            <w:r>
              <w:rPr>
                <w:rStyle w:val="IndexLink"/>
                <w:rtl w:val="true"/>
              </w:rPr>
              <w:t>المقارنة بين الزكاة وخمس المكاسب</w:t>
            </w:r>
            <w:r>
              <w:rPr>
                <w:rStyle w:val="IndexLink"/>
                <w:rtl w:val="true"/>
              </w:rPr>
              <w:tab/>
            </w:r>
            <w:r>
              <w:rPr>
                <w:rStyle w:val="IndexLink"/>
              </w:rPr>
              <w:t>481</w:t>
            </w:r>
          </w:hyperlink>
        </w:p>
        <w:p>
          <w:pPr>
            <w:pStyle w:val="Contents6"/>
            <w:tabs>
              <w:tab w:val="clear" w:pos="7609"/>
              <w:tab w:val="right" w:pos="9026" w:leader="dot"/>
            </w:tabs>
            <w:rPr/>
          </w:pPr>
          <w:hyperlink w:anchor="__RefHeading___Toc7190107_73709187">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7190109_73709187">
            <w:r>
              <w:rPr>
                <w:webHidden/>
                <w:rStyle w:val="IndexLink"/>
                <w:rtl w:val="true"/>
              </w:rPr>
              <w:t>تمثيل باطل للمقارنة</w:t>
            </w:r>
            <w:r>
              <w:rPr>
                <w:rStyle w:val="IndexLink"/>
                <w:rtl w:val="true"/>
              </w:rPr>
              <w:t>!!</w:t>
              <w:tab/>
            </w:r>
            <w:r>
              <w:rPr>
                <w:rStyle w:val="IndexLink"/>
              </w:rPr>
              <w:t>482</w:t>
            </w:r>
          </w:hyperlink>
        </w:p>
        <w:p>
          <w:pPr>
            <w:pStyle w:val="Contents6"/>
            <w:tabs>
              <w:tab w:val="clear" w:pos="7609"/>
              <w:tab w:val="right" w:pos="9026" w:leader="dot"/>
            </w:tabs>
            <w:rPr/>
          </w:pPr>
          <w:hyperlink w:anchor="__RefHeading___Toc7190111_73709187">
            <w:r>
              <w:rPr>
                <w:webHidden/>
                <w:rStyle w:val="IndexLink"/>
                <w:rtl w:val="true"/>
              </w:rPr>
              <w:t xml:space="preserve">أخطاؤه حول </w:t>
            </w:r>
            <w:r>
              <w:rPr>
                <w:rStyle w:val="IndexLink"/>
                <w:rtl w:val="true"/>
              </w:rPr>
              <w:t>«</w:t>
            </w:r>
            <w:r>
              <w:rPr>
                <w:rStyle w:val="IndexLink"/>
                <w:rtl w:val="true"/>
              </w:rPr>
              <w:t>الزكاة</w:t>
            </w:r>
            <w:r>
              <w:rPr>
                <w:rStyle w:val="IndexLink"/>
                <w:rtl w:val="true"/>
              </w:rPr>
              <w:t xml:space="preserve">» </w:t>
            </w:r>
            <w:r>
              <w:rPr>
                <w:rStyle w:val="IndexLink"/>
                <w:rtl w:val="true"/>
              </w:rPr>
              <w:t>في الفقه الشيعي</w:t>
            </w:r>
            <w:r>
              <w:rPr>
                <w:rStyle w:val="IndexLink"/>
                <w:rtl w:val="true"/>
              </w:rPr>
              <w:tab/>
            </w:r>
            <w:r>
              <w:rPr>
                <w:rStyle w:val="IndexLink"/>
              </w:rPr>
              <w:t>485</w:t>
            </w:r>
          </w:hyperlink>
        </w:p>
        <w:p>
          <w:pPr>
            <w:pStyle w:val="Contents6"/>
            <w:tabs>
              <w:tab w:val="clear" w:pos="7609"/>
              <w:tab w:val="right" w:pos="9026" w:leader="dot"/>
            </w:tabs>
            <w:rPr/>
          </w:pPr>
          <w:hyperlink w:anchor="__RefHeading___Toc7190113_73709187">
            <w:r>
              <w:rPr>
                <w:webHidden/>
                <w:rStyle w:val="IndexLink"/>
                <w:rtl w:val="true"/>
              </w:rPr>
              <w:t xml:space="preserve">أخطاؤه حول </w:t>
            </w:r>
            <w:r>
              <w:rPr>
                <w:rStyle w:val="IndexLink"/>
                <w:rtl w:val="true"/>
              </w:rPr>
              <w:t>«</w:t>
            </w:r>
            <w:r>
              <w:rPr>
                <w:rStyle w:val="IndexLink"/>
                <w:rtl w:val="true"/>
              </w:rPr>
              <w:t>الخمس</w:t>
            </w:r>
            <w:r>
              <w:rPr>
                <w:rStyle w:val="IndexLink"/>
                <w:rtl w:val="true"/>
              </w:rPr>
              <w:t xml:space="preserve">» </w:t>
            </w:r>
            <w:r>
              <w:rPr>
                <w:rStyle w:val="IndexLink"/>
                <w:rtl w:val="true"/>
              </w:rPr>
              <w:t>في الفقه الشيعي</w:t>
            </w:r>
            <w:r>
              <w:rPr>
                <w:rStyle w:val="IndexLink"/>
                <w:rtl w:val="true"/>
              </w:rPr>
              <w:tab/>
            </w:r>
            <w:r>
              <w:rPr>
                <w:rStyle w:val="IndexLink"/>
              </w:rPr>
              <w:t>486</w:t>
            </w:r>
          </w:hyperlink>
        </w:p>
        <w:p>
          <w:pPr>
            <w:pStyle w:val="Contents5"/>
            <w:tabs>
              <w:tab w:val="clear" w:pos="7892"/>
              <w:tab w:val="right" w:pos="9026" w:leader="dot"/>
            </w:tabs>
            <w:rPr/>
          </w:pPr>
          <w:hyperlink w:anchor="__RefHeading___Toc7190115_73709187">
            <w:r>
              <w:rPr>
                <w:webHidden/>
                <w:rStyle w:val="IndexLink"/>
                <w:rtl w:val="true"/>
              </w:rPr>
              <w:t>الأمر الثامن</w:t>
            </w:r>
            <w:r>
              <w:rPr>
                <w:rStyle w:val="IndexLink"/>
                <w:rtl w:val="true"/>
              </w:rPr>
              <w:t xml:space="preserve">: </w:t>
            </w:r>
            <w:r>
              <w:rPr>
                <w:rStyle w:val="IndexLink"/>
                <w:rtl w:val="true"/>
              </w:rPr>
              <w:t>الخمس سياسة يوسفية لا فرعونية</w:t>
            </w:r>
            <w:r>
              <w:rPr>
                <w:rStyle w:val="IndexLink"/>
                <w:rtl w:val="true"/>
              </w:rPr>
              <w:t>!</w:t>
              <w:tab/>
            </w:r>
            <w:r>
              <w:rPr>
                <w:rStyle w:val="IndexLink"/>
              </w:rPr>
              <w:t>488</w:t>
            </w:r>
          </w:hyperlink>
        </w:p>
        <w:p>
          <w:pPr>
            <w:pStyle w:val="Contents5"/>
            <w:tabs>
              <w:tab w:val="clear" w:pos="7892"/>
              <w:tab w:val="right" w:pos="9026" w:leader="dot"/>
            </w:tabs>
            <w:rPr/>
          </w:pPr>
          <w:hyperlink w:anchor="__RefHeading___Toc7190117_73709187">
            <w:r>
              <w:rPr>
                <w:webHidden/>
                <w:rStyle w:val="IndexLink"/>
                <w:rtl w:val="true"/>
              </w:rPr>
              <w:t>الخاتمة أسئلة وأجوبة</w:t>
            </w:r>
            <w:r>
              <w:rPr>
                <w:rStyle w:val="IndexLink"/>
                <w:rtl w:val="true"/>
              </w:rPr>
              <w:tab/>
            </w:r>
            <w:r>
              <w:rPr>
                <w:rStyle w:val="IndexLink"/>
              </w:rPr>
              <w:t>491</w:t>
            </w:r>
          </w:hyperlink>
        </w:p>
        <w:p>
          <w:pPr>
            <w:pStyle w:val="Contents3"/>
            <w:tabs>
              <w:tab w:val="clear" w:pos="8459"/>
              <w:tab w:val="right" w:pos="9026" w:leader="dot"/>
            </w:tabs>
            <w:rPr/>
          </w:pPr>
          <w:hyperlink w:anchor="__RefHeading___Toc7190119_73709187">
            <w:r>
              <w:rPr>
                <w:webHidden/>
                <w:rStyle w:val="IndexLink"/>
              </w:rPr>
              <w:t>3</w:t>
            </w:r>
            <w:r>
              <w:rPr>
                <w:rStyle w:val="IndexLink"/>
                <w:rtl w:val="true"/>
              </w:rPr>
              <w:t xml:space="preserve"> </w:t>
            </w:r>
            <w:r>
              <w:rPr>
                <w:rStyle w:val="IndexLink"/>
                <w:rtl w:val="true"/>
              </w:rPr>
              <w:t>رسالة حول توسعة المسعى‌</w:t>
            </w:r>
            <w:r>
              <w:rPr>
                <w:rStyle w:val="IndexLink"/>
                <w:rtl w:val="true"/>
              </w:rPr>
              <w:tab/>
            </w:r>
            <w:r>
              <w:rPr>
                <w:rStyle w:val="IndexLink"/>
              </w:rPr>
              <w:t>494</w:t>
            </w:r>
          </w:hyperlink>
        </w:p>
        <w:p>
          <w:pPr>
            <w:pStyle w:val="Contents4"/>
            <w:tabs>
              <w:tab w:val="clear" w:pos="8176"/>
              <w:tab w:val="right" w:pos="9026" w:leader="dot"/>
            </w:tabs>
            <w:rPr/>
          </w:pPr>
          <w:hyperlink w:anchor="__RefHeading___Toc7190121_73709187">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7190123_73709187">
            <w:r>
              <w:rPr>
                <w:webHidden/>
                <w:rStyle w:val="IndexLink"/>
                <w:rtl w:val="true"/>
              </w:rPr>
              <w:t>رسالة حول توسعة المسعى</w:t>
            </w:r>
            <w:r>
              <w:rPr>
                <w:rStyle w:val="IndexLink"/>
                <w:rtl w:val="true"/>
              </w:rPr>
              <w:tab/>
            </w:r>
            <w:r>
              <w:rPr>
                <w:rStyle w:val="IndexLink"/>
              </w:rPr>
              <w:t>496</w:t>
            </w:r>
          </w:hyperlink>
        </w:p>
        <w:p>
          <w:pPr>
            <w:pStyle w:val="Contents3"/>
            <w:tabs>
              <w:tab w:val="clear" w:pos="8459"/>
              <w:tab w:val="right" w:pos="9026" w:leader="dot"/>
            </w:tabs>
            <w:rPr/>
          </w:pPr>
          <w:hyperlink w:anchor="__RefHeading___Toc7190125_73709187">
            <w:r>
              <w:rPr>
                <w:webHidden/>
                <w:rStyle w:val="IndexLink"/>
              </w:rPr>
              <w:t>4</w:t>
            </w:r>
            <w:r>
              <w:rPr>
                <w:rStyle w:val="IndexLink"/>
                <w:rtl w:val="true"/>
              </w:rPr>
              <w:t xml:space="preserve"> </w:t>
            </w:r>
            <w:r>
              <w:rPr>
                <w:rStyle w:val="IndexLink"/>
                <w:rtl w:val="true"/>
              </w:rPr>
              <w:t>فقه المزار في أحاديث الأئمة الأطهار عليهم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7190127_73709187">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7190129_73709187">
            <w:r>
              <w:rPr>
                <w:webHidden/>
                <w:rStyle w:val="IndexLink"/>
                <w:rtl w:val="true"/>
              </w:rPr>
              <w:t>المقدمة</w:t>
            </w:r>
            <w:r>
              <w:rPr>
                <w:rStyle w:val="IndexLink"/>
                <w:rtl w:val="true"/>
              </w:rPr>
              <w:tab/>
            </w:r>
            <w:r>
              <w:rPr>
                <w:rStyle w:val="IndexLink"/>
              </w:rPr>
              <w:t>508</w:t>
            </w:r>
          </w:hyperlink>
        </w:p>
        <w:p>
          <w:pPr>
            <w:pStyle w:val="Contents4"/>
            <w:tabs>
              <w:tab w:val="clear" w:pos="8176"/>
              <w:tab w:val="right" w:pos="9026" w:leader="dot"/>
            </w:tabs>
            <w:rPr/>
          </w:pPr>
          <w:hyperlink w:anchor="__RefHeading___Toc7190131_73709187">
            <w:r>
              <w:rPr>
                <w:webHidden/>
                <w:rStyle w:val="IndexLink"/>
                <w:rtl w:val="true"/>
              </w:rPr>
              <w:t>الفصل الأوّل زيارة القبور وآثارها البنّاءة في الكتاب والسنة</w:t>
            </w:r>
            <w:r>
              <w:rPr>
                <w:rStyle w:val="IndexLink"/>
                <w:rtl w:val="true"/>
              </w:rPr>
              <w:tab/>
            </w:r>
            <w:r>
              <w:rPr>
                <w:rStyle w:val="IndexLink"/>
              </w:rPr>
              <w:t>510</w:t>
            </w:r>
          </w:hyperlink>
        </w:p>
        <w:p>
          <w:pPr>
            <w:pStyle w:val="Contents5"/>
            <w:tabs>
              <w:tab w:val="clear" w:pos="7892"/>
              <w:tab w:val="right" w:pos="9026" w:leader="dot"/>
            </w:tabs>
            <w:rPr/>
          </w:pPr>
          <w:hyperlink w:anchor="__RefHeading___Toc7190133_7370918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7190135_73709187">
            <w:r>
              <w:rPr>
                <w:webHidden/>
                <w:rStyle w:val="IndexLink"/>
                <w:rtl w:val="true"/>
              </w:rPr>
              <w:t>الآثار الإيجابية للزيارة</w:t>
            </w:r>
            <w:r>
              <w:rPr>
                <w:rStyle w:val="IndexLink"/>
                <w:rtl w:val="true"/>
              </w:rPr>
              <w:tab/>
            </w:r>
            <w:r>
              <w:rPr>
                <w:rStyle w:val="IndexLink"/>
              </w:rPr>
              <w:t>511</w:t>
            </w:r>
          </w:hyperlink>
        </w:p>
        <w:p>
          <w:pPr>
            <w:pStyle w:val="Contents5"/>
            <w:tabs>
              <w:tab w:val="clear" w:pos="7892"/>
              <w:tab w:val="right" w:pos="9026" w:leader="dot"/>
            </w:tabs>
            <w:rPr/>
          </w:pPr>
          <w:hyperlink w:anchor="__RefHeading___Toc7190137_73709187">
            <w:r>
              <w:rPr>
                <w:webHidden/>
                <w:rStyle w:val="IndexLink"/>
                <w:rtl w:val="true"/>
              </w:rPr>
              <w:t>زيارة مراقد العلماء والشهداء</w:t>
            </w:r>
            <w:r>
              <w:rPr>
                <w:rStyle w:val="IndexLink"/>
                <w:rtl w:val="true"/>
              </w:rPr>
              <w:tab/>
            </w:r>
            <w:r>
              <w:rPr>
                <w:rStyle w:val="IndexLink"/>
              </w:rPr>
              <w:t>513</w:t>
            </w:r>
          </w:hyperlink>
        </w:p>
        <w:p>
          <w:pPr>
            <w:pStyle w:val="Contents5"/>
            <w:tabs>
              <w:tab w:val="clear" w:pos="7892"/>
              <w:tab w:val="right" w:pos="9026" w:leader="dot"/>
            </w:tabs>
            <w:rPr/>
          </w:pPr>
          <w:hyperlink w:anchor="__RefHeading___Toc7190139_73709187">
            <w:r>
              <w:rPr>
                <w:webHidden/>
                <w:rStyle w:val="IndexLink"/>
                <w:rtl w:val="true"/>
              </w:rPr>
              <w:t>زيارة قبر النبي الأكرم صلى الله عليه و آله و سلم في الروايات الشريفة</w:t>
            </w:r>
            <w:r>
              <w:rPr>
                <w:rStyle w:val="IndexLink"/>
                <w:rtl w:val="true"/>
              </w:rPr>
              <w:tab/>
            </w:r>
            <w:r>
              <w:rPr>
                <w:rStyle w:val="IndexLink"/>
              </w:rPr>
              <w:t>516</w:t>
            </w:r>
          </w:hyperlink>
        </w:p>
        <w:p>
          <w:pPr>
            <w:pStyle w:val="Contents5"/>
            <w:tabs>
              <w:tab w:val="clear" w:pos="7892"/>
              <w:tab w:val="right" w:pos="9026" w:leader="dot"/>
            </w:tabs>
            <w:rPr/>
          </w:pPr>
          <w:hyperlink w:anchor="__RefHeading___Toc7190141_73709187">
            <w:r>
              <w:rPr>
                <w:webHidden/>
                <w:rStyle w:val="IndexLink"/>
                <w:rtl w:val="true"/>
              </w:rPr>
              <w:t>رأي ابن القيّم في زيارة قبر النبي صلى الله عليه و آله و سلم</w:t>
            </w:r>
            <w:r>
              <w:rPr>
                <w:rStyle w:val="IndexLink"/>
                <w:rtl w:val="true"/>
              </w:rPr>
              <w:tab/>
            </w:r>
            <w:r>
              <w:rPr>
                <w:rStyle w:val="IndexLink"/>
              </w:rPr>
              <w:t>518</w:t>
            </w:r>
          </w:hyperlink>
        </w:p>
        <w:p>
          <w:pPr>
            <w:pStyle w:val="Contents5"/>
            <w:tabs>
              <w:tab w:val="clear" w:pos="7892"/>
              <w:tab w:val="right" w:pos="9026" w:leader="dot"/>
            </w:tabs>
            <w:rPr/>
          </w:pPr>
          <w:hyperlink w:anchor="__RefHeading___Toc7190143_73709187">
            <w:r>
              <w:rPr>
                <w:webHidden/>
                <w:rStyle w:val="IndexLink"/>
                <w:rtl w:val="true"/>
              </w:rPr>
              <w:t>طلب الاستغفار من النبي صلى الله عليه و آله و سلم</w:t>
            </w:r>
            <w:r>
              <w:rPr>
                <w:rStyle w:val="IndexLink"/>
                <w:rtl w:val="true"/>
              </w:rPr>
              <w:tab/>
            </w:r>
            <w:r>
              <w:rPr>
                <w:rStyle w:val="IndexLink"/>
              </w:rPr>
              <w:t>519</w:t>
            </w:r>
          </w:hyperlink>
        </w:p>
        <w:p>
          <w:pPr>
            <w:pStyle w:val="Contents5"/>
            <w:tabs>
              <w:tab w:val="clear" w:pos="7892"/>
              <w:tab w:val="right" w:pos="9026" w:leader="dot"/>
            </w:tabs>
            <w:rPr/>
          </w:pPr>
          <w:hyperlink w:anchor="__RefHeading___Toc7190145_73709187">
            <w:r>
              <w:rPr>
                <w:webHidden/>
                <w:rStyle w:val="IndexLink"/>
                <w:rtl w:val="true"/>
              </w:rPr>
              <w:t>اهتمام العلماء بزيارة النبي الأكرم صلى الله عليه و آله و سلم</w:t>
            </w:r>
            <w:r>
              <w:rPr>
                <w:rStyle w:val="IndexLink"/>
                <w:rtl w:val="true"/>
              </w:rPr>
              <w:tab/>
            </w:r>
            <w:r>
              <w:rPr>
                <w:rStyle w:val="IndexLink"/>
              </w:rPr>
              <w:t>520</w:t>
            </w:r>
          </w:hyperlink>
        </w:p>
        <w:p>
          <w:pPr>
            <w:pStyle w:val="Contents5"/>
            <w:tabs>
              <w:tab w:val="clear" w:pos="7892"/>
              <w:tab w:val="right" w:pos="9026" w:leader="dot"/>
            </w:tabs>
            <w:rPr/>
          </w:pPr>
          <w:hyperlink w:anchor="__RefHeading___Toc7190147_73709187">
            <w:r>
              <w:rPr>
                <w:webHidden/>
                <w:rStyle w:val="IndexLink"/>
                <w:rtl w:val="true"/>
              </w:rPr>
              <w:t>زيارة القبور في السنة النبوية</w:t>
            </w:r>
            <w:r>
              <w:rPr>
                <w:rStyle w:val="IndexLink"/>
                <w:rtl w:val="true"/>
              </w:rPr>
              <w:tab/>
            </w:r>
            <w:r>
              <w:rPr>
                <w:rStyle w:val="IndexLink"/>
              </w:rPr>
              <w:t>522</w:t>
            </w:r>
          </w:hyperlink>
        </w:p>
        <w:p>
          <w:pPr>
            <w:pStyle w:val="Contents5"/>
            <w:tabs>
              <w:tab w:val="clear" w:pos="7892"/>
              <w:tab w:val="right" w:pos="9026" w:leader="dot"/>
            </w:tabs>
            <w:rPr/>
          </w:pPr>
          <w:hyperlink w:anchor="__RefHeading___Toc7190149_73709187">
            <w:r>
              <w:rPr>
                <w:webHidden/>
                <w:rStyle w:val="IndexLink"/>
                <w:rtl w:val="true"/>
              </w:rPr>
              <w:t>حديث لا تشدّ الرّحال</w:t>
            </w:r>
            <w:r>
              <w:rPr>
                <w:rStyle w:val="IndexLink"/>
                <w:rtl w:val="true"/>
              </w:rPr>
              <w:tab/>
            </w:r>
            <w:r>
              <w:rPr>
                <w:rStyle w:val="IndexLink"/>
              </w:rPr>
              <w:t>524</w:t>
            </w:r>
          </w:hyperlink>
        </w:p>
        <w:p>
          <w:pPr>
            <w:pStyle w:val="Contents5"/>
            <w:tabs>
              <w:tab w:val="clear" w:pos="7892"/>
              <w:tab w:val="right" w:pos="9026" w:leader="dot"/>
            </w:tabs>
            <w:rPr/>
          </w:pPr>
          <w:hyperlink w:anchor="__RefHeading___Toc7190151_73709187">
            <w:r>
              <w:rPr>
                <w:webHidden/>
                <w:rStyle w:val="IndexLink"/>
                <w:rtl w:val="true"/>
              </w:rPr>
              <w:t>شدّ الرحال إلى المساجد السبعة</w:t>
            </w:r>
            <w:r>
              <w:rPr>
                <w:rStyle w:val="IndexLink"/>
                <w:rtl w:val="true"/>
              </w:rPr>
              <w:tab/>
            </w:r>
            <w:r>
              <w:rPr>
                <w:rStyle w:val="IndexLink"/>
              </w:rPr>
              <w:t>526</w:t>
            </w:r>
          </w:hyperlink>
        </w:p>
        <w:p>
          <w:pPr>
            <w:pStyle w:val="Contents5"/>
            <w:tabs>
              <w:tab w:val="clear" w:pos="7892"/>
              <w:tab w:val="right" w:pos="9026" w:leader="dot"/>
            </w:tabs>
            <w:rPr/>
          </w:pPr>
          <w:hyperlink w:anchor="__RefHeading___Toc7190153_73709187">
            <w:r>
              <w:rPr>
                <w:webHidden/>
                <w:rStyle w:val="IndexLink"/>
                <w:rtl w:val="true"/>
              </w:rPr>
              <w:t>صيانة آثار الصالحين</w:t>
            </w:r>
            <w:r>
              <w:rPr>
                <w:rStyle w:val="IndexLink"/>
                <w:rtl w:val="true"/>
              </w:rPr>
              <w:tab/>
            </w:r>
            <w:r>
              <w:rPr>
                <w:rStyle w:val="IndexLink"/>
              </w:rPr>
              <w:t>526</w:t>
            </w:r>
          </w:hyperlink>
        </w:p>
        <w:p>
          <w:pPr>
            <w:pStyle w:val="Contents5"/>
            <w:tabs>
              <w:tab w:val="clear" w:pos="7892"/>
              <w:tab w:val="right" w:pos="9026" w:leader="dot"/>
            </w:tabs>
            <w:rPr/>
          </w:pPr>
          <w:hyperlink w:anchor="__RefHeading___Toc7190155_73709187">
            <w:r>
              <w:rPr>
                <w:webHidden/>
                <w:rStyle w:val="IndexLink"/>
                <w:rtl w:val="true"/>
              </w:rPr>
              <w:t>البيوت التي أذن اللّه أن ترفع</w:t>
            </w:r>
            <w:r>
              <w:rPr>
                <w:rStyle w:val="IndexLink"/>
                <w:rtl w:val="true"/>
              </w:rPr>
              <w:tab/>
            </w:r>
            <w:r>
              <w:rPr>
                <w:rStyle w:val="IndexLink"/>
              </w:rPr>
              <w:t>528</w:t>
            </w:r>
          </w:hyperlink>
        </w:p>
        <w:p>
          <w:pPr>
            <w:pStyle w:val="Contents4"/>
            <w:tabs>
              <w:tab w:val="clear" w:pos="8176"/>
              <w:tab w:val="right" w:pos="9026" w:leader="dot"/>
            </w:tabs>
            <w:rPr/>
          </w:pPr>
          <w:hyperlink w:anchor="__RefHeading___Toc7190157_73709187">
            <w:r>
              <w:rPr>
                <w:webHidden/>
                <w:rStyle w:val="IndexLink"/>
                <w:rtl w:val="true"/>
              </w:rPr>
              <w:t>الفصل الثاني صيانة مراقد الأنبياء والأئمة</w:t>
            </w:r>
            <w:r>
              <w:rPr>
                <w:rStyle w:val="IndexLink"/>
                <w:rtl w:val="true"/>
              </w:rPr>
              <w:tab/>
            </w:r>
            <w:r>
              <w:rPr>
                <w:rStyle w:val="IndexLink"/>
              </w:rPr>
              <w:t>530</w:t>
            </w:r>
          </w:hyperlink>
        </w:p>
        <w:p>
          <w:pPr>
            <w:pStyle w:val="Contents5"/>
            <w:tabs>
              <w:tab w:val="clear" w:pos="7892"/>
              <w:tab w:val="right" w:pos="9026" w:leader="dot"/>
            </w:tabs>
            <w:rPr/>
          </w:pPr>
          <w:hyperlink w:anchor="__RefHeading___Toc7190159_7370918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7190161_73709187">
            <w:r>
              <w:rPr>
                <w:webHidden/>
                <w:rStyle w:val="IndexLink"/>
                <w:rtl w:val="true"/>
              </w:rPr>
              <w:t>حدّ التوحيد والشرك</w:t>
            </w:r>
            <w:r>
              <w:rPr>
                <w:rStyle w:val="IndexLink"/>
                <w:rtl w:val="true"/>
              </w:rPr>
              <w:tab/>
            </w:r>
            <w:r>
              <w:rPr>
                <w:rStyle w:val="IndexLink"/>
              </w:rPr>
              <w:t>531</w:t>
            </w:r>
          </w:hyperlink>
        </w:p>
        <w:p>
          <w:pPr>
            <w:pStyle w:val="Contents5"/>
            <w:tabs>
              <w:tab w:val="clear" w:pos="7892"/>
              <w:tab w:val="right" w:pos="9026" w:leader="dot"/>
            </w:tabs>
            <w:rPr/>
          </w:pPr>
          <w:hyperlink w:anchor="__RefHeading___Toc7190163_73709187">
            <w:r>
              <w:rPr>
                <w:webHidden/>
                <w:rStyle w:val="IndexLink"/>
                <w:rtl w:val="true"/>
              </w:rPr>
              <w:t>البناء على القبور والبدعة</w:t>
            </w:r>
            <w:r>
              <w:rPr>
                <w:rStyle w:val="IndexLink"/>
                <w:rtl w:val="true"/>
              </w:rPr>
              <w:tab/>
            </w:r>
            <w:r>
              <w:rPr>
                <w:rStyle w:val="IndexLink"/>
              </w:rPr>
              <w:t>535</w:t>
            </w:r>
          </w:hyperlink>
        </w:p>
        <w:p>
          <w:pPr>
            <w:pStyle w:val="Contents6"/>
            <w:tabs>
              <w:tab w:val="clear" w:pos="7609"/>
              <w:tab w:val="right" w:pos="9026" w:leader="dot"/>
            </w:tabs>
            <w:rPr/>
          </w:pPr>
          <w:hyperlink w:anchor="__RefHeading___Toc7190165_73709187">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7190167_73709187">
            <w:r>
              <w:rPr>
                <w:webHidden/>
                <w:rStyle w:val="IndexLink"/>
              </w:rPr>
              <w:t>1</w:t>
            </w:r>
            <w:r>
              <w:rPr>
                <w:rStyle w:val="IndexLink"/>
                <w:rtl w:val="true"/>
              </w:rPr>
              <w:t xml:space="preserve">. </w:t>
            </w:r>
            <w:r>
              <w:rPr>
                <w:rStyle w:val="IndexLink"/>
                <w:rtl w:val="true"/>
              </w:rPr>
              <w:t>حكم البناء على القبور في الكتاب</w:t>
            </w:r>
            <w:r>
              <w:rPr>
                <w:rStyle w:val="IndexLink"/>
                <w:rtl w:val="true"/>
              </w:rPr>
              <w:tab/>
            </w:r>
            <w:r>
              <w:rPr>
                <w:rStyle w:val="IndexLink"/>
              </w:rPr>
              <w:t>538</w:t>
            </w:r>
          </w:hyperlink>
        </w:p>
        <w:p>
          <w:pPr>
            <w:pStyle w:val="Contents6"/>
            <w:tabs>
              <w:tab w:val="clear" w:pos="7609"/>
              <w:tab w:val="right" w:pos="9026" w:leader="dot"/>
            </w:tabs>
            <w:rPr/>
          </w:pPr>
          <w:hyperlink w:anchor="__RefHeading___Toc7190169_73709187">
            <w:r>
              <w:rPr>
                <w:webHidden/>
                <w:rStyle w:val="IndexLink"/>
              </w:rPr>
              <w:t>2</w:t>
            </w:r>
            <w:r>
              <w:rPr>
                <w:rStyle w:val="IndexLink"/>
                <w:rtl w:val="true"/>
              </w:rPr>
              <w:t xml:space="preserve">. </w:t>
            </w:r>
            <w:r>
              <w:rPr>
                <w:rStyle w:val="IndexLink"/>
                <w:rtl w:val="true"/>
              </w:rPr>
              <w:t>البناء على القبور وإظهار المودّة</w:t>
            </w:r>
            <w:r>
              <w:rPr>
                <w:rStyle w:val="IndexLink"/>
                <w:rtl w:val="true"/>
              </w:rPr>
              <w:tab/>
            </w:r>
            <w:r>
              <w:rPr>
                <w:rStyle w:val="IndexLink"/>
              </w:rPr>
              <w:t>539</w:t>
            </w:r>
          </w:hyperlink>
        </w:p>
        <w:p>
          <w:pPr>
            <w:pStyle w:val="Contents6"/>
            <w:tabs>
              <w:tab w:val="clear" w:pos="7609"/>
              <w:tab w:val="right" w:pos="9026" w:leader="dot"/>
            </w:tabs>
            <w:rPr/>
          </w:pPr>
          <w:hyperlink w:anchor="__RefHeading___Toc7190171_73709187">
            <w:r>
              <w:rPr>
                <w:webHidden/>
                <w:rStyle w:val="IndexLink"/>
              </w:rPr>
              <w:t>3</w:t>
            </w:r>
            <w:r>
              <w:rPr>
                <w:rStyle w:val="IndexLink"/>
                <w:rtl w:val="true"/>
              </w:rPr>
              <w:t xml:space="preserve">. </w:t>
            </w:r>
            <w:r>
              <w:rPr>
                <w:rStyle w:val="IndexLink"/>
                <w:rtl w:val="true"/>
              </w:rPr>
              <w:t>موقف الخلفاء من البناء على قبور الأنبياء</w:t>
            </w:r>
            <w:r>
              <w:rPr>
                <w:rStyle w:val="IndexLink"/>
                <w:rtl w:val="true"/>
              </w:rPr>
              <w:tab/>
            </w:r>
            <w:r>
              <w:rPr>
                <w:rStyle w:val="IndexLink"/>
              </w:rPr>
              <w:t>539</w:t>
            </w:r>
          </w:hyperlink>
        </w:p>
        <w:p>
          <w:pPr>
            <w:pStyle w:val="Contents6"/>
            <w:tabs>
              <w:tab w:val="clear" w:pos="7609"/>
              <w:tab w:val="right" w:pos="9026" w:leader="dot"/>
            </w:tabs>
            <w:rPr/>
          </w:pPr>
          <w:hyperlink w:anchor="__RefHeading___Toc7190173_73709187">
            <w:r>
              <w:rPr>
                <w:webHidden/>
                <w:rStyle w:val="IndexLink"/>
              </w:rPr>
              <w:t>4</w:t>
            </w:r>
            <w:r>
              <w:rPr>
                <w:rStyle w:val="IndexLink"/>
                <w:rtl w:val="true"/>
              </w:rPr>
              <w:t xml:space="preserve">. </w:t>
            </w:r>
            <w:r>
              <w:rPr>
                <w:rStyle w:val="IndexLink"/>
                <w:rtl w:val="true"/>
              </w:rPr>
              <w:t>سيرة المسلمين والبناء على القبور</w:t>
            </w:r>
            <w:r>
              <w:rPr>
                <w:rStyle w:val="IndexLink"/>
                <w:rtl w:val="true"/>
              </w:rPr>
              <w:tab/>
            </w:r>
            <w:r>
              <w:rPr>
                <w:rStyle w:val="IndexLink"/>
              </w:rPr>
              <w:t>540</w:t>
            </w:r>
          </w:hyperlink>
        </w:p>
        <w:p>
          <w:pPr>
            <w:pStyle w:val="Contents6"/>
            <w:tabs>
              <w:tab w:val="clear" w:pos="7609"/>
              <w:tab w:val="right" w:pos="9026" w:leader="dot"/>
            </w:tabs>
            <w:rPr/>
          </w:pPr>
          <w:hyperlink w:anchor="__RefHeading___Toc7190175_73709187">
            <w:r>
              <w:rPr>
                <w:webHidden/>
                <w:rStyle w:val="IndexLink"/>
                <w:rtl w:val="true"/>
              </w:rPr>
              <w:t>مشاهدات الرحالة ابن جبير الأندلسي</w:t>
            </w:r>
            <w:r>
              <w:rPr>
                <w:rStyle w:val="IndexLink"/>
                <w:rtl w:val="true"/>
              </w:rPr>
              <w:tab/>
            </w:r>
            <w:r>
              <w:rPr>
                <w:rStyle w:val="IndexLink"/>
              </w:rPr>
              <w:t>541</w:t>
            </w:r>
          </w:hyperlink>
        </w:p>
        <w:p>
          <w:pPr>
            <w:pStyle w:val="Contents6"/>
            <w:tabs>
              <w:tab w:val="clear" w:pos="7609"/>
              <w:tab w:val="right" w:pos="9026" w:leader="dot"/>
            </w:tabs>
            <w:rPr/>
          </w:pPr>
          <w:hyperlink w:anchor="__RefHeading___Toc7190177_73709187">
            <w:r>
              <w:rPr>
                <w:webHidden/>
                <w:rStyle w:val="IndexLink"/>
                <w:rtl w:val="true"/>
              </w:rPr>
              <w:t xml:space="preserve">مشاهدات الرحالة ابن النجّار </w:t>
            </w:r>
            <w:r>
              <w:rPr>
                <w:rStyle w:val="IndexLink"/>
                <w:rtl w:val="true"/>
              </w:rPr>
              <w:t>(</w:t>
            </w:r>
            <w:r>
              <w:rPr>
                <w:rStyle w:val="IndexLink"/>
              </w:rPr>
              <w:t>578</w:t>
            </w:r>
            <w:r>
              <w:rPr>
                <w:rStyle w:val="IndexLink"/>
                <w:rtl w:val="true"/>
              </w:rPr>
              <w:t>-</w:t>
            </w:r>
            <w:r>
              <w:rPr>
                <w:rStyle w:val="IndexLink"/>
              </w:rPr>
              <w:t>643</w:t>
            </w:r>
            <w:r>
              <w:rPr>
                <w:rStyle w:val="IndexLink"/>
                <w:rtl w:val="true"/>
              </w:rPr>
              <w:t xml:space="preserve"> </w:t>
            </w:r>
            <w:r>
              <w:rPr>
                <w:rStyle w:val="IndexLink"/>
                <w:rtl w:val="true"/>
              </w:rPr>
              <w:t>ه‍</w:t>
            </w:r>
            <w:r>
              <w:rPr>
                <w:rStyle w:val="IndexLink"/>
                <w:rtl w:val="true"/>
              </w:rPr>
              <w:t>)</w:t>
              <w:tab/>
            </w:r>
            <w:r>
              <w:rPr>
                <w:rStyle w:val="IndexLink"/>
              </w:rPr>
              <w:t>543</w:t>
            </w:r>
          </w:hyperlink>
        </w:p>
        <w:p>
          <w:pPr>
            <w:pStyle w:val="Contents6"/>
            <w:tabs>
              <w:tab w:val="clear" w:pos="7609"/>
              <w:tab w:val="right" w:pos="9026" w:leader="dot"/>
            </w:tabs>
            <w:rPr/>
          </w:pPr>
          <w:hyperlink w:anchor="__RefHeading___Toc7190179_73709187">
            <w:r>
              <w:rPr>
                <w:webHidden/>
                <w:rStyle w:val="IndexLink"/>
                <w:rtl w:val="true"/>
              </w:rPr>
              <w:t xml:space="preserve">مشاهدات ابن الحجّاج </w:t>
            </w:r>
            <w:r>
              <w:rPr>
                <w:rStyle w:val="IndexLink"/>
                <w:rtl w:val="true"/>
              </w:rPr>
              <w:t>(</w:t>
            </w:r>
            <w:r>
              <w:rPr>
                <w:rStyle w:val="IndexLink"/>
                <w:rtl w:val="true"/>
              </w:rPr>
              <w:t xml:space="preserve">المتوفّى </w:t>
            </w:r>
            <w:r>
              <w:rPr>
                <w:rStyle w:val="IndexLink"/>
              </w:rPr>
              <w:t>391</w:t>
            </w:r>
            <w:r>
              <w:rPr>
                <w:rStyle w:val="IndexLink"/>
                <w:rtl w:val="true"/>
              </w:rPr>
              <w:t xml:space="preserve"> </w:t>
            </w:r>
            <w:r>
              <w:rPr>
                <w:rStyle w:val="IndexLink"/>
                <w:rtl w:val="true"/>
              </w:rPr>
              <w:t>ه‍</w:t>
            </w:r>
            <w:r>
              <w:rPr>
                <w:rStyle w:val="IndexLink"/>
                <w:rtl w:val="true"/>
              </w:rPr>
              <w:t>)</w:t>
              <w:tab/>
            </w:r>
            <w:r>
              <w:rPr>
                <w:rStyle w:val="IndexLink"/>
              </w:rPr>
              <w:t>543</w:t>
            </w:r>
          </w:hyperlink>
        </w:p>
        <w:p>
          <w:pPr>
            <w:pStyle w:val="Contents6"/>
            <w:tabs>
              <w:tab w:val="clear" w:pos="7609"/>
              <w:tab w:val="right" w:pos="9026" w:leader="dot"/>
            </w:tabs>
            <w:rPr/>
          </w:pPr>
          <w:hyperlink w:anchor="__RefHeading___Toc7190181_73709187">
            <w:r>
              <w:rPr>
                <w:webHidden/>
                <w:rStyle w:val="IndexLink"/>
              </w:rPr>
              <w:t>5</w:t>
            </w:r>
            <w:r>
              <w:rPr>
                <w:rStyle w:val="IndexLink"/>
                <w:rtl w:val="true"/>
              </w:rPr>
              <w:t xml:space="preserve">. </w:t>
            </w:r>
            <w:r>
              <w:rPr>
                <w:rStyle w:val="IndexLink"/>
                <w:rtl w:val="true"/>
              </w:rPr>
              <w:t>صيانة القبور في أحاديث العترة</w:t>
            </w:r>
            <w:r>
              <w:rPr>
                <w:rStyle w:val="IndexLink"/>
                <w:rtl w:val="true"/>
              </w:rPr>
              <w:tab/>
            </w:r>
            <w:r>
              <w:rPr>
                <w:rStyle w:val="IndexLink"/>
              </w:rPr>
              <w:t>545</w:t>
            </w:r>
          </w:hyperlink>
        </w:p>
        <w:p>
          <w:pPr>
            <w:pStyle w:val="Contents6"/>
            <w:tabs>
              <w:tab w:val="clear" w:pos="7609"/>
              <w:tab w:val="right" w:pos="9026" w:leader="dot"/>
            </w:tabs>
            <w:rPr/>
          </w:pPr>
          <w:hyperlink w:anchor="__RefHeading___Toc7190183_73709187">
            <w:r>
              <w:rPr>
                <w:webHidden/>
                <w:rStyle w:val="IndexLink"/>
                <w:rtl w:val="true"/>
              </w:rPr>
              <w:t>الأوّل</w:t>
            </w:r>
            <w:r>
              <w:rPr>
                <w:rStyle w:val="IndexLink"/>
                <w:rtl w:val="true"/>
              </w:rPr>
              <w:t xml:space="preserve">: </w:t>
            </w:r>
            <w:r>
              <w:rPr>
                <w:rStyle w:val="IndexLink"/>
                <w:rtl w:val="true"/>
              </w:rPr>
              <w:t>ما يدل على استحباب تعمير القبور</w:t>
            </w:r>
            <w:r>
              <w:rPr>
                <w:rStyle w:val="IndexLink"/>
                <w:rtl w:val="true"/>
              </w:rPr>
              <w:tab/>
            </w:r>
            <w:r>
              <w:rPr>
                <w:rStyle w:val="IndexLink"/>
              </w:rPr>
              <w:t>545</w:t>
            </w:r>
          </w:hyperlink>
        </w:p>
        <w:p>
          <w:pPr>
            <w:pStyle w:val="Contents6"/>
            <w:tabs>
              <w:tab w:val="clear" w:pos="7609"/>
              <w:tab w:val="right" w:pos="9026" w:leader="dot"/>
            </w:tabs>
            <w:rPr/>
          </w:pPr>
          <w:hyperlink w:anchor="__RefHeading___Toc7190185_73709187">
            <w:r>
              <w:rPr>
                <w:webHidden/>
                <w:rStyle w:val="IndexLink"/>
                <w:rtl w:val="true"/>
              </w:rPr>
              <w:t>الثاني</w:t>
            </w:r>
            <w:r>
              <w:rPr>
                <w:rStyle w:val="IndexLink"/>
                <w:rtl w:val="true"/>
              </w:rPr>
              <w:t xml:space="preserve">: </w:t>
            </w:r>
            <w:r>
              <w:rPr>
                <w:rStyle w:val="IndexLink"/>
                <w:rtl w:val="true"/>
              </w:rPr>
              <w:t>آداب الزيارة تدل على وجود البناء</w:t>
            </w:r>
            <w:r>
              <w:rPr>
                <w:rStyle w:val="IndexLink"/>
                <w:rtl w:val="true"/>
              </w:rPr>
              <w:tab/>
            </w:r>
            <w:r>
              <w:rPr>
                <w:rStyle w:val="IndexLink"/>
              </w:rPr>
              <w:t>546</w:t>
            </w:r>
          </w:hyperlink>
        </w:p>
        <w:p>
          <w:pPr>
            <w:pStyle w:val="Contents6"/>
            <w:tabs>
              <w:tab w:val="clear" w:pos="7609"/>
              <w:tab w:val="right" w:pos="9026" w:leader="dot"/>
            </w:tabs>
            <w:rPr/>
          </w:pPr>
          <w:hyperlink w:anchor="__RefHeading___Toc7190187_73709187">
            <w:r>
              <w:rPr>
                <w:webHidden/>
                <w:rStyle w:val="IndexLink"/>
                <w:rtl w:val="true"/>
              </w:rPr>
              <w:t>الثالث</w:t>
            </w:r>
            <w:r>
              <w:rPr>
                <w:rStyle w:val="IndexLink"/>
                <w:rtl w:val="true"/>
              </w:rPr>
              <w:t xml:space="preserve">: </w:t>
            </w:r>
            <w:r>
              <w:rPr>
                <w:rStyle w:val="IndexLink"/>
                <w:rtl w:val="true"/>
              </w:rPr>
              <w:t>الدعوة إلى زيارة المشاهد</w:t>
            </w:r>
            <w:r>
              <w:rPr>
                <w:rStyle w:val="IndexLink"/>
                <w:rtl w:val="true"/>
              </w:rPr>
              <w:tab/>
            </w:r>
            <w:r>
              <w:rPr>
                <w:rStyle w:val="IndexLink"/>
              </w:rPr>
              <w:t>548</w:t>
            </w:r>
          </w:hyperlink>
        </w:p>
        <w:p>
          <w:pPr>
            <w:pStyle w:val="Contents4"/>
            <w:tabs>
              <w:tab w:val="clear" w:pos="8176"/>
              <w:tab w:val="right" w:pos="9026" w:leader="dot"/>
            </w:tabs>
            <w:rPr/>
          </w:pPr>
          <w:hyperlink w:anchor="__RefHeading___Toc7190189_73709187">
            <w:r>
              <w:rPr>
                <w:webHidden/>
                <w:rStyle w:val="IndexLink"/>
                <w:rtl w:val="true"/>
              </w:rPr>
              <w:t>الفصل الثالث حجج المؤلف وذرائعه</w:t>
            </w:r>
            <w:r>
              <w:rPr>
                <w:rStyle w:val="IndexLink"/>
                <w:rtl w:val="true"/>
              </w:rPr>
              <w:tab/>
            </w:r>
            <w:r>
              <w:rPr>
                <w:rStyle w:val="IndexLink"/>
              </w:rPr>
              <w:t>550</w:t>
            </w:r>
          </w:hyperlink>
        </w:p>
        <w:p>
          <w:pPr>
            <w:pStyle w:val="Contents5"/>
            <w:tabs>
              <w:tab w:val="clear" w:pos="7892"/>
              <w:tab w:val="right" w:pos="9026" w:leader="dot"/>
            </w:tabs>
            <w:rPr/>
          </w:pPr>
          <w:hyperlink w:anchor="__RefHeading___Toc7190191_7370918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7190193_73709187">
            <w:r>
              <w:rPr>
                <w:webHidden/>
                <w:rStyle w:val="IndexLink"/>
                <w:rtl w:val="true"/>
              </w:rPr>
              <w:t>الأوّل</w:t>
            </w:r>
            <w:r>
              <w:rPr>
                <w:rStyle w:val="IndexLink"/>
                <w:rtl w:val="true"/>
              </w:rPr>
              <w:t xml:space="preserve">: </w:t>
            </w:r>
            <w:r>
              <w:rPr>
                <w:rStyle w:val="IndexLink"/>
                <w:rtl w:val="true"/>
              </w:rPr>
              <w:t>النهي عن زيادة التراب على القبر</w:t>
            </w:r>
            <w:r>
              <w:rPr>
                <w:rStyle w:val="IndexLink"/>
                <w:rtl w:val="true"/>
              </w:rPr>
              <w:tab/>
            </w:r>
            <w:r>
              <w:rPr>
                <w:rStyle w:val="IndexLink"/>
              </w:rPr>
              <w:t>550</w:t>
            </w:r>
          </w:hyperlink>
        </w:p>
        <w:p>
          <w:pPr>
            <w:pStyle w:val="Contents6"/>
            <w:tabs>
              <w:tab w:val="clear" w:pos="7609"/>
              <w:tab w:val="right" w:pos="9026" w:leader="dot"/>
            </w:tabs>
            <w:rPr/>
          </w:pPr>
          <w:hyperlink w:anchor="__RefHeading___Toc7190195_73709187">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7190197_73709187">
            <w:r>
              <w:rPr>
                <w:webHidden/>
                <w:rStyle w:val="IndexLink"/>
                <w:rtl w:val="true"/>
              </w:rPr>
              <w:t>دراسة الروايات</w:t>
            </w:r>
            <w:r>
              <w:rPr>
                <w:rStyle w:val="IndexLink"/>
                <w:rtl w:val="true"/>
              </w:rPr>
              <w:tab/>
            </w:r>
            <w:r>
              <w:rPr>
                <w:rStyle w:val="IndexLink"/>
              </w:rPr>
              <w:t>550</w:t>
            </w:r>
          </w:hyperlink>
        </w:p>
        <w:p>
          <w:pPr>
            <w:pStyle w:val="Contents5"/>
            <w:tabs>
              <w:tab w:val="clear" w:pos="7892"/>
              <w:tab w:val="right" w:pos="9026" w:leader="dot"/>
            </w:tabs>
            <w:rPr/>
          </w:pPr>
          <w:hyperlink w:anchor="__RefHeading___Toc7190199_73709187">
            <w:r>
              <w:rPr>
                <w:webHidden/>
                <w:rStyle w:val="IndexLink"/>
                <w:rtl w:val="true"/>
              </w:rPr>
              <w:t>الثاني</w:t>
            </w:r>
            <w:r>
              <w:rPr>
                <w:rStyle w:val="IndexLink"/>
                <w:rtl w:val="true"/>
              </w:rPr>
              <w:t xml:space="preserve">: </w:t>
            </w:r>
            <w:r>
              <w:rPr>
                <w:rStyle w:val="IndexLink"/>
                <w:rtl w:val="true"/>
              </w:rPr>
              <w:t>النهي عن البناء على القبور</w:t>
            </w:r>
            <w:r>
              <w:rPr>
                <w:rStyle w:val="IndexLink"/>
                <w:rtl w:val="true"/>
              </w:rPr>
              <w:tab/>
            </w:r>
            <w:r>
              <w:rPr>
                <w:rStyle w:val="IndexLink"/>
              </w:rPr>
              <w:t>551</w:t>
            </w:r>
          </w:hyperlink>
        </w:p>
        <w:p>
          <w:pPr>
            <w:pStyle w:val="Contents6"/>
            <w:tabs>
              <w:tab w:val="clear" w:pos="7609"/>
              <w:tab w:val="right" w:pos="9026" w:leader="dot"/>
            </w:tabs>
            <w:rPr/>
          </w:pPr>
          <w:hyperlink w:anchor="__RefHeading___Toc7190201_73709187">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7190203_73709187">
            <w:r>
              <w:rPr>
                <w:webHidden/>
                <w:rStyle w:val="IndexLink"/>
                <w:rtl w:val="true"/>
              </w:rPr>
              <w:t>تحليل الروايات</w:t>
            </w:r>
            <w:r>
              <w:rPr>
                <w:rStyle w:val="IndexLink"/>
                <w:rtl w:val="true"/>
              </w:rPr>
              <w:tab/>
            </w:r>
            <w:r>
              <w:rPr>
                <w:rStyle w:val="IndexLink"/>
              </w:rPr>
              <w:t>552</w:t>
            </w:r>
          </w:hyperlink>
        </w:p>
        <w:p>
          <w:pPr>
            <w:pStyle w:val="Contents5"/>
            <w:tabs>
              <w:tab w:val="clear" w:pos="7892"/>
              <w:tab w:val="right" w:pos="9026" w:leader="dot"/>
            </w:tabs>
            <w:rPr/>
          </w:pPr>
          <w:hyperlink w:anchor="__RefHeading___Toc7190205_73709187">
            <w:r>
              <w:rPr>
                <w:webHidden/>
                <w:rStyle w:val="IndexLink"/>
                <w:rtl w:val="true"/>
              </w:rPr>
              <w:t>الثالث</w:t>
            </w:r>
            <w:r>
              <w:rPr>
                <w:rStyle w:val="IndexLink"/>
                <w:rtl w:val="true"/>
              </w:rPr>
              <w:t xml:space="preserve">: </w:t>
            </w:r>
            <w:r>
              <w:rPr>
                <w:rStyle w:val="IndexLink"/>
                <w:rtl w:val="true"/>
              </w:rPr>
              <w:t>النهي عن التجصيص والتطيين</w:t>
            </w:r>
            <w:r>
              <w:rPr>
                <w:rStyle w:val="IndexLink"/>
                <w:rtl w:val="true"/>
              </w:rPr>
              <w:tab/>
            </w:r>
            <w:r>
              <w:rPr>
                <w:rStyle w:val="IndexLink"/>
              </w:rPr>
              <w:t>554</w:t>
            </w:r>
          </w:hyperlink>
        </w:p>
        <w:p>
          <w:pPr>
            <w:pStyle w:val="Contents5"/>
            <w:tabs>
              <w:tab w:val="clear" w:pos="7892"/>
              <w:tab w:val="right" w:pos="9026" w:leader="dot"/>
            </w:tabs>
            <w:rPr/>
          </w:pPr>
          <w:hyperlink w:anchor="__RefHeading___Toc7190207_73709187">
            <w:r>
              <w:rPr>
                <w:webHidden/>
                <w:rStyle w:val="IndexLink"/>
                <w:rtl w:val="true"/>
              </w:rPr>
              <w:t>الرابع</w:t>
            </w:r>
            <w:r>
              <w:rPr>
                <w:rStyle w:val="IndexLink"/>
                <w:rtl w:val="true"/>
              </w:rPr>
              <w:t xml:space="preserve">: </w:t>
            </w:r>
            <w:r>
              <w:rPr>
                <w:rStyle w:val="IndexLink"/>
                <w:rtl w:val="true"/>
              </w:rPr>
              <w:t>استحباب رفع القبر شبراً</w:t>
            </w:r>
            <w:r>
              <w:rPr>
                <w:rStyle w:val="IndexLink"/>
                <w:rtl w:val="true"/>
              </w:rPr>
              <w:tab/>
            </w:r>
            <w:r>
              <w:rPr>
                <w:rStyle w:val="IndexLink"/>
              </w:rPr>
              <w:t>555</w:t>
            </w:r>
          </w:hyperlink>
        </w:p>
        <w:p>
          <w:pPr>
            <w:pStyle w:val="Contents5"/>
            <w:tabs>
              <w:tab w:val="clear" w:pos="7892"/>
              <w:tab w:val="right" w:pos="9026" w:leader="dot"/>
            </w:tabs>
            <w:rPr/>
          </w:pPr>
          <w:hyperlink w:anchor="__RefHeading___Toc7190209_73709187">
            <w:r>
              <w:rPr>
                <w:webHidden/>
                <w:rStyle w:val="IndexLink"/>
                <w:rtl w:val="true"/>
              </w:rPr>
              <w:t>الخامس</w:t>
            </w:r>
            <w:r>
              <w:rPr>
                <w:rStyle w:val="IndexLink"/>
                <w:rtl w:val="true"/>
              </w:rPr>
              <w:t xml:space="preserve">: </w:t>
            </w:r>
            <w:r>
              <w:rPr>
                <w:rStyle w:val="IndexLink"/>
                <w:rtl w:val="true"/>
              </w:rPr>
              <w:t>تسوية القبور</w:t>
            </w:r>
            <w:r>
              <w:rPr>
                <w:rStyle w:val="IndexLink"/>
                <w:rtl w:val="true"/>
              </w:rPr>
              <w:tab/>
            </w:r>
            <w:r>
              <w:rPr>
                <w:rStyle w:val="IndexLink"/>
              </w:rPr>
              <w:t>556</w:t>
            </w:r>
          </w:hyperlink>
        </w:p>
        <w:p>
          <w:pPr>
            <w:pStyle w:val="Contents6"/>
            <w:tabs>
              <w:tab w:val="clear" w:pos="7609"/>
              <w:tab w:val="right" w:pos="9026" w:leader="dot"/>
            </w:tabs>
            <w:rPr/>
          </w:pPr>
          <w:hyperlink w:anchor="__RefHeading___Toc7190211_73709187">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7190213_73709187">
            <w:r>
              <w:rPr>
                <w:webHidden/>
                <w:rStyle w:val="IndexLink"/>
                <w:rtl w:val="true"/>
              </w:rPr>
              <w:t>مناقشة الحديث</w:t>
            </w:r>
            <w:r>
              <w:rPr>
                <w:rStyle w:val="IndexLink"/>
                <w:rtl w:val="true"/>
              </w:rPr>
              <w:tab/>
            </w:r>
            <w:r>
              <w:rPr>
                <w:rStyle w:val="IndexLink"/>
              </w:rPr>
              <w:t>557</w:t>
            </w:r>
          </w:hyperlink>
        </w:p>
        <w:p>
          <w:pPr>
            <w:pStyle w:val="Contents4"/>
            <w:tabs>
              <w:tab w:val="clear" w:pos="8176"/>
              <w:tab w:val="right" w:pos="9026" w:leader="dot"/>
            </w:tabs>
            <w:rPr/>
          </w:pPr>
          <w:hyperlink w:anchor="__RefHeading___Toc7190215_73709187">
            <w:r>
              <w:rPr>
                <w:webHidden/>
                <w:rStyle w:val="IndexLink"/>
                <w:rtl w:val="true"/>
              </w:rPr>
              <w:t>الفصل الرابع بناء المساجد جنب المشاهد</w:t>
            </w:r>
            <w:r>
              <w:rPr>
                <w:rStyle w:val="IndexLink"/>
                <w:rtl w:val="true"/>
              </w:rPr>
              <w:tab/>
            </w:r>
            <w:r>
              <w:rPr>
                <w:rStyle w:val="IndexLink"/>
              </w:rPr>
              <w:t>560</w:t>
            </w:r>
          </w:hyperlink>
        </w:p>
        <w:p>
          <w:pPr>
            <w:pStyle w:val="Contents5"/>
            <w:tabs>
              <w:tab w:val="clear" w:pos="7892"/>
              <w:tab w:val="right" w:pos="9026" w:leader="dot"/>
            </w:tabs>
            <w:rPr/>
          </w:pPr>
          <w:hyperlink w:anchor="__RefHeading___Toc7190217_73709187">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7190219_73709187">
            <w:r>
              <w:rPr>
                <w:webHidden/>
                <w:rStyle w:val="IndexLink"/>
              </w:rPr>
              <w:t>1</w:t>
            </w:r>
            <w:r>
              <w:rPr>
                <w:rStyle w:val="IndexLink"/>
                <w:rtl w:val="true"/>
              </w:rPr>
              <w:t xml:space="preserve">. </w:t>
            </w:r>
            <w:r>
              <w:rPr>
                <w:rStyle w:val="IndexLink"/>
                <w:rtl w:val="true"/>
              </w:rPr>
              <w:t>عمل الموحّدين في عصر أصحاب الكهف</w:t>
            </w:r>
            <w:r>
              <w:rPr>
                <w:rStyle w:val="IndexLink"/>
                <w:rtl w:val="true"/>
              </w:rPr>
              <w:tab/>
            </w:r>
            <w:r>
              <w:rPr>
                <w:rStyle w:val="IndexLink"/>
              </w:rPr>
              <w:t>561</w:t>
            </w:r>
          </w:hyperlink>
        </w:p>
        <w:p>
          <w:pPr>
            <w:pStyle w:val="Contents5"/>
            <w:tabs>
              <w:tab w:val="clear" w:pos="7892"/>
              <w:tab w:val="right" w:pos="9026" w:leader="dot"/>
            </w:tabs>
            <w:rPr/>
          </w:pPr>
          <w:hyperlink w:anchor="__RefHeading___Toc7190221_73709187">
            <w:r>
              <w:rPr>
                <w:webHidden/>
                <w:rStyle w:val="IndexLink"/>
              </w:rPr>
              <w:t>2</w:t>
            </w:r>
            <w:r>
              <w:rPr>
                <w:rStyle w:val="IndexLink"/>
                <w:rtl w:val="true"/>
              </w:rPr>
              <w:t xml:space="preserve">. </w:t>
            </w:r>
            <w:r>
              <w:rPr>
                <w:rStyle w:val="IndexLink"/>
                <w:rtl w:val="true"/>
              </w:rPr>
              <w:t>المسجد النبوي ومرقد الرسول صلى الله عليه و آله و سلم</w:t>
            </w:r>
            <w:r>
              <w:rPr>
                <w:rStyle w:val="IndexLink"/>
                <w:rtl w:val="true"/>
              </w:rPr>
              <w:tab/>
            </w:r>
            <w:r>
              <w:rPr>
                <w:rStyle w:val="IndexLink"/>
              </w:rPr>
              <w:t>563</w:t>
            </w:r>
          </w:hyperlink>
        </w:p>
        <w:p>
          <w:pPr>
            <w:pStyle w:val="Contents5"/>
            <w:tabs>
              <w:tab w:val="clear" w:pos="7892"/>
              <w:tab w:val="right" w:pos="9026" w:leader="dot"/>
            </w:tabs>
            <w:rPr/>
          </w:pPr>
          <w:hyperlink w:anchor="__RefHeading___Toc7190223_73709187">
            <w:r>
              <w:rPr>
                <w:webHidden/>
                <w:rStyle w:val="IndexLink"/>
              </w:rPr>
              <w:t>3</w:t>
            </w:r>
            <w:r>
              <w:rPr>
                <w:rStyle w:val="IndexLink"/>
                <w:rtl w:val="true"/>
              </w:rPr>
              <w:t xml:space="preserve">. </w:t>
            </w:r>
            <w:r>
              <w:rPr>
                <w:rStyle w:val="IndexLink"/>
                <w:rtl w:val="true"/>
              </w:rPr>
              <w:t>سيرة المسلمين وبناء المساجد عند المشاهد</w:t>
            </w:r>
            <w:r>
              <w:rPr>
                <w:rStyle w:val="IndexLink"/>
                <w:rtl w:val="true"/>
              </w:rPr>
              <w:tab/>
            </w:r>
            <w:r>
              <w:rPr>
                <w:rStyle w:val="IndexLink"/>
              </w:rPr>
              <w:t>564</w:t>
            </w:r>
          </w:hyperlink>
        </w:p>
        <w:p>
          <w:pPr>
            <w:pStyle w:val="Contents5"/>
            <w:tabs>
              <w:tab w:val="clear" w:pos="7892"/>
              <w:tab w:val="right" w:pos="9026" w:leader="dot"/>
            </w:tabs>
            <w:rPr/>
          </w:pPr>
          <w:hyperlink w:anchor="__RefHeading___Toc7190225_73709187">
            <w:r>
              <w:rPr>
                <w:webHidden/>
                <w:rStyle w:val="IndexLink"/>
                <w:rtl w:val="true"/>
              </w:rPr>
              <w:t>الصلاة في المشاهد في أحاديث العترة الطاهرة</w:t>
            </w:r>
            <w:r>
              <w:rPr>
                <w:rStyle w:val="IndexLink"/>
                <w:rtl w:val="true"/>
              </w:rPr>
              <w:tab/>
            </w:r>
            <w:r>
              <w:rPr>
                <w:rStyle w:val="IndexLink"/>
              </w:rPr>
              <w:t>565</w:t>
            </w:r>
          </w:hyperlink>
        </w:p>
        <w:p>
          <w:pPr>
            <w:pStyle w:val="Contents5"/>
            <w:tabs>
              <w:tab w:val="clear" w:pos="7892"/>
              <w:tab w:val="right" w:pos="9026" w:leader="dot"/>
            </w:tabs>
            <w:rPr/>
          </w:pPr>
          <w:hyperlink w:anchor="__RefHeading___Toc7190227_73709187">
            <w:r>
              <w:rPr>
                <w:webHidden/>
                <w:rStyle w:val="IndexLink"/>
                <w:rtl w:val="true"/>
              </w:rPr>
              <w:t>ذرائع الكاتب وحججه</w:t>
            </w:r>
            <w:r>
              <w:rPr>
                <w:rStyle w:val="IndexLink"/>
                <w:rtl w:val="true"/>
              </w:rPr>
              <w:tab/>
            </w:r>
            <w:r>
              <w:rPr>
                <w:rStyle w:val="IndexLink"/>
              </w:rPr>
              <w:t>566</w:t>
            </w:r>
          </w:hyperlink>
        </w:p>
        <w:p>
          <w:pPr>
            <w:pStyle w:val="Contents4"/>
            <w:tabs>
              <w:tab w:val="clear" w:pos="8176"/>
              <w:tab w:val="right" w:pos="9026" w:leader="dot"/>
            </w:tabs>
            <w:rPr/>
          </w:pPr>
          <w:hyperlink w:anchor="__RefHeading___Toc7190229_73709187">
            <w:r>
              <w:rPr>
                <w:webHidden/>
                <w:rStyle w:val="IndexLink"/>
                <w:rtl w:val="true"/>
              </w:rPr>
              <w:t>الفصل الخامس البكاء على الميّت وإقامة العزاء عليه</w:t>
            </w:r>
            <w:r>
              <w:rPr>
                <w:rStyle w:val="IndexLink"/>
                <w:rtl w:val="true"/>
              </w:rPr>
              <w:tab/>
            </w:r>
            <w:r>
              <w:rPr>
                <w:rStyle w:val="IndexLink"/>
              </w:rPr>
              <w:t>569</w:t>
            </w:r>
          </w:hyperlink>
        </w:p>
        <w:p>
          <w:pPr>
            <w:pStyle w:val="Contents5"/>
            <w:tabs>
              <w:tab w:val="clear" w:pos="7892"/>
              <w:tab w:val="right" w:pos="9026" w:leader="dot"/>
            </w:tabs>
            <w:rPr/>
          </w:pPr>
          <w:hyperlink w:anchor="__RefHeading___Toc7190231_73709187">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7190233_73709187">
            <w:r>
              <w:rPr>
                <w:webHidden/>
                <w:rStyle w:val="IndexLink"/>
                <w:rtl w:val="true"/>
              </w:rPr>
              <w:t>إقامة العزاء على موت الأحباب</w:t>
            </w:r>
            <w:r>
              <w:rPr>
                <w:rStyle w:val="IndexLink"/>
                <w:rtl w:val="true"/>
              </w:rPr>
              <w:tab/>
            </w:r>
            <w:r>
              <w:rPr>
                <w:rStyle w:val="IndexLink"/>
              </w:rPr>
              <w:t>572</w:t>
            </w:r>
          </w:hyperlink>
        </w:p>
        <w:p>
          <w:pPr>
            <w:pStyle w:val="Contents5"/>
            <w:tabs>
              <w:tab w:val="clear" w:pos="7892"/>
              <w:tab w:val="right" w:pos="9026" w:leader="dot"/>
            </w:tabs>
            <w:rPr/>
          </w:pPr>
          <w:hyperlink w:anchor="__RefHeading___Toc7190235_73709187">
            <w:r>
              <w:rPr>
                <w:webHidden/>
                <w:rStyle w:val="IndexLink"/>
                <w:rtl w:val="true"/>
              </w:rPr>
              <w:t>إقامة العزاء على سيّد الشهداء عليه السلام</w:t>
            </w:r>
            <w:r>
              <w:rPr>
                <w:rStyle w:val="IndexLink"/>
                <w:rtl w:val="true"/>
              </w:rPr>
              <w:tab/>
            </w:r>
            <w:r>
              <w:rPr>
                <w:rStyle w:val="IndexLink"/>
              </w:rPr>
              <w:t>572</w:t>
            </w:r>
          </w:hyperlink>
        </w:p>
        <w:p>
          <w:pPr>
            <w:pStyle w:val="Contents4"/>
            <w:tabs>
              <w:tab w:val="clear" w:pos="8176"/>
              <w:tab w:val="right" w:pos="9026" w:leader="dot"/>
            </w:tabs>
            <w:rPr/>
          </w:pPr>
          <w:hyperlink w:anchor="__RefHeading___Toc7190237_73709187">
            <w:r>
              <w:rPr>
                <w:webHidden/>
                <w:rStyle w:val="IndexLink"/>
                <w:rtl w:val="true"/>
              </w:rPr>
              <w:t>خاتمة المطاف</w:t>
            </w:r>
            <w:r>
              <w:rPr>
                <w:rStyle w:val="IndexLink"/>
                <w:rtl w:val="true"/>
              </w:rPr>
              <w:t xml:space="preserve">: </w:t>
            </w:r>
            <w:r>
              <w:rPr>
                <w:rStyle w:val="IndexLink"/>
                <w:rtl w:val="true"/>
              </w:rPr>
              <w:t>تضخيم بعض الممارسات</w:t>
            </w:r>
            <w:r>
              <w:rPr>
                <w:rStyle w:val="IndexLink"/>
                <w:rtl w:val="true"/>
              </w:rPr>
              <w:tab/>
            </w:r>
            <w:r>
              <w:rPr>
                <w:rStyle w:val="IndexLink"/>
              </w:rPr>
              <w:t>575</w:t>
            </w:r>
          </w:hyperlink>
        </w:p>
        <w:p>
          <w:pPr>
            <w:pStyle w:val="Contents5"/>
            <w:tabs>
              <w:tab w:val="clear" w:pos="7892"/>
              <w:tab w:val="right" w:pos="9026" w:leader="dot"/>
            </w:tabs>
            <w:rPr/>
          </w:pPr>
          <w:hyperlink w:anchor="__RefHeading___Toc7190239_73709187">
            <w:r>
              <w:rPr>
                <w:webHidden/>
                <w:rStyle w:val="IndexLink"/>
                <w:rtl w:val="true"/>
              </w:rPr>
              <w:t>اشارة</w:t>
            </w:r>
            <w:r>
              <w:rPr>
                <w:rStyle w:val="IndexLink"/>
                <w:rtl w:val="true"/>
              </w:rPr>
              <w:tab/>
            </w:r>
            <w:r>
              <w:rPr>
                <w:rStyle w:val="IndexLink"/>
              </w:rPr>
              <w:t>575</w:t>
            </w:r>
          </w:hyperlink>
        </w:p>
        <w:p>
          <w:pPr>
            <w:pStyle w:val="Contents5"/>
            <w:tabs>
              <w:tab w:val="clear" w:pos="7892"/>
              <w:tab w:val="right" w:pos="9026" w:leader="dot"/>
            </w:tabs>
            <w:rPr/>
          </w:pPr>
          <w:hyperlink w:anchor="__RefHeading___Toc7190241_73709187">
            <w:r>
              <w:rPr>
                <w:webHidden/>
                <w:rStyle w:val="IndexLink"/>
                <w:rtl w:val="true"/>
              </w:rPr>
              <w:t>الأوّل</w:t>
            </w:r>
            <w:r>
              <w:rPr>
                <w:rStyle w:val="IndexLink"/>
                <w:rtl w:val="true"/>
              </w:rPr>
              <w:t xml:space="preserve">: </w:t>
            </w:r>
            <w:r>
              <w:rPr>
                <w:rStyle w:val="IndexLink"/>
                <w:rtl w:val="true"/>
              </w:rPr>
              <w:t>الاعتقاد بأنّ النبي والولي ينفع ويضر</w:t>
            </w:r>
            <w:r>
              <w:rPr>
                <w:rStyle w:val="IndexLink"/>
                <w:rtl w:val="true"/>
              </w:rPr>
              <w:tab/>
            </w:r>
            <w:r>
              <w:rPr>
                <w:rStyle w:val="IndexLink"/>
              </w:rPr>
              <w:t>575</w:t>
            </w:r>
          </w:hyperlink>
        </w:p>
        <w:p>
          <w:pPr>
            <w:pStyle w:val="Contents5"/>
            <w:tabs>
              <w:tab w:val="clear" w:pos="7892"/>
              <w:tab w:val="right" w:pos="9026" w:leader="dot"/>
            </w:tabs>
            <w:rPr/>
          </w:pPr>
          <w:hyperlink w:anchor="__RefHeading___Toc7190243_73709187">
            <w:r>
              <w:rPr>
                <w:webHidden/>
                <w:rStyle w:val="IndexLink"/>
                <w:rtl w:val="true"/>
              </w:rPr>
              <w:t>الثاني</w:t>
            </w:r>
            <w:r>
              <w:rPr>
                <w:rStyle w:val="IndexLink"/>
                <w:rtl w:val="true"/>
              </w:rPr>
              <w:t xml:space="preserve">: </w:t>
            </w:r>
            <w:r>
              <w:rPr>
                <w:rStyle w:val="IndexLink"/>
                <w:rtl w:val="true"/>
              </w:rPr>
              <w:t>اتخاذ أصحاب القبور شفعاء</w:t>
            </w:r>
            <w:r>
              <w:rPr>
                <w:rStyle w:val="IndexLink"/>
                <w:rtl w:val="true"/>
              </w:rPr>
              <w:tab/>
            </w:r>
            <w:r>
              <w:rPr>
                <w:rStyle w:val="IndexLink"/>
              </w:rPr>
              <w:t>576</w:t>
            </w:r>
          </w:hyperlink>
        </w:p>
        <w:p>
          <w:pPr>
            <w:pStyle w:val="Contents5"/>
            <w:tabs>
              <w:tab w:val="clear" w:pos="7892"/>
              <w:tab w:val="right" w:pos="9026" w:leader="dot"/>
            </w:tabs>
            <w:rPr/>
          </w:pPr>
          <w:hyperlink w:anchor="__RefHeading___Toc7190245_73709187">
            <w:r>
              <w:rPr>
                <w:webHidden/>
                <w:rStyle w:val="IndexLink"/>
                <w:rtl w:val="true"/>
              </w:rPr>
              <w:t>الثالث</w:t>
            </w:r>
            <w:r>
              <w:rPr>
                <w:rStyle w:val="IndexLink"/>
                <w:rtl w:val="true"/>
              </w:rPr>
              <w:t xml:space="preserve">: </w:t>
            </w:r>
            <w:r>
              <w:rPr>
                <w:rStyle w:val="IndexLink"/>
                <w:rtl w:val="true"/>
              </w:rPr>
              <w:t>الاستغاثة بأصحاب القبور</w:t>
            </w:r>
            <w:r>
              <w:rPr>
                <w:rStyle w:val="IndexLink"/>
                <w:rtl w:val="true"/>
              </w:rPr>
              <w:tab/>
            </w:r>
            <w:r>
              <w:rPr>
                <w:rStyle w:val="IndexLink"/>
              </w:rPr>
              <w:t>577</w:t>
            </w:r>
          </w:hyperlink>
        </w:p>
        <w:p>
          <w:pPr>
            <w:pStyle w:val="Contents5"/>
            <w:tabs>
              <w:tab w:val="clear" w:pos="7892"/>
              <w:tab w:val="right" w:pos="9026" w:leader="dot"/>
            </w:tabs>
            <w:rPr/>
          </w:pPr>
          <w:hyperlink w:anchor="__RefHeading___Toc7190247_73709187">
            <w:r>
              <w:rPr>
                <w:webHidden/>
                <w:rStyle w:val="IndexLink"/>
                <w:rtl w:val="true"/>
              </w:rPr>
              <w:t>الرابع</w:t>
            </w:r>
            <w:r>
              <w:rPr>
                <w:rStyle w:val="IndexLink"/>
                <w:rtl w:val="true"/>
              </w:rPr>
              <w:t xml:space="preserve">: </w:t>
            </w:r>
            <w:r>
              <w:rPr>
                <w:rStyle w:val="IndexLink"/>
                <w:rtl w:val="true"/>
              </w:rPr>
              <w:t>الذبح والنذر للقبور</w:t>
            </w:r>
            <w:r>
              <w:rPr>
                <w:rStyle w:val="IndexLink"/>
                <w:rtl w:val="true"/>
              </w:rPr>
              <w:tab/>
            </w:r>
            <w:r>
              <w:rPr>
                <w:rStyle w:val="IndexLink"/>
              </w:rPr>
              <w:t>580</w:t>
            </w:r>
          </w:hyperlink>
        </w:p>
        <w:p>
          <w:pPr>
            <w:pStyle w:val="Contents5"/>
            <w:tabs>
              <w:tab w:val="clear" w:pos="7892"/>
              <w:tab w:val="right" w:pos="9026" w:leader="dot"/>
            </w:tabs>
            <w:rPr/>
          </w:pPr>
          <w:hyperlink w:anchor="__RefHeading___Toc7190249_73709187">
            <w:r>
              <w:rPr>
                <w:webHidden/>
                <w:rStyle w:val="IndexLink"/>
                <w:rtl w:val="true"/>
              </w:rPr>
              <w:t>الخامس</w:t>
            </w:r>
            <w:r>
              <w:rPr>
                <w:rStyle w:val="IndexLink"/>
                <w:rtl w:val="true"/>
              </w:rPr>
              <w:t xml:space="preserve">: </w:t>
            </w:r>
            <w:r>
              <w:rPr>
                <w:rStyle w:val="IndexLink"/>
                <w:rtl w:val="true"/>
              </w:rPr>
              <w:t>الحلف بأصحاب القبور</w:t>
            </w:r>
            <w:r>
              <w:rPr>
                <w:rStyle w:val="IndexLink"/>
                <w:rtl w:val="true"/>
              </w:rPr>
              <w:tab/>
            </w:r>
            <w:r>
              <w:rPr>
                <w:rStyle w:val="IndexLink"/>
              </w:rPr>
              <w:t>581</w:t>
            </w:r>
          </w:hyperlink>
        </w:p>
        <w:p>
          <w:pPr>
            <w:pStyle w:val="Contents5"/>
            <w:tabs>
              <w:tab w:val="clear" w:pos="7892"/>
              <w:tab w:val="right" w:pos="9026" w:leader="dot"/>
            </w:tabs>
            <w:rPr/>
          </w:pPr>
          <w:hyperlink w:anchor="__RefHeading___Toc7190251_73709187">
            <w:r>
              <w:rPr>
                <w:webHidden/>
                <w:rStyle w:val="IndexLink"/>
                <w:rtl w:val="true"/>
              </w:rPr>
              <w:t>السادس</w:t>
            </w:r>
            <w:r>
              <w:rPr>
                <w:rStyle w:val="IndexLink"/>
                <w:rtl w:val="true"/>
              </w:rPr>
              <w:t xml:space="preserve">: </w:t>
            </w:r>
            <w:r>
              <w:rPr>
                <w:rStyle w:val="IndexLink"/>
                <w:rtl w:val="true"/>
              </w:rPr>
              <w:t>الطواف حول القبور</w:t>
            </w:r>
            <w:r>
              <w:rPr>
                <w:rStyle w:val="IndexLink"/>
                <w:rtl w:val="true"/>
              </w:rPr>
              <w:tab/>
            </w:r>
            <w:r>
              <w:rPr>
                <w:rStyle w:val="IndexLink"/>
              </w:rPr>
              <w:t>583</w:t>
            </w:r>
          </w:hyperlink>
        </w:p>
        <w:p>
          <w:pPr>
            <w:pStyle w:val="Contents5"/>
            <w:tabs>
              <w:tab w:val="clear" w:pos="7892"/>
              <w:tab w:val="right" w:pos="9026" w:leader="dot"/>
            </w:tabs>
            <w:rPr/>
          </w:pPr>
          <w:hyperlink w:anchor="__RefHeading___Toc7190253_73709187">
            <w:r>
              <w:rPr>
                <w:webHidden/>
                <w:rStyle w:val="IndexLink"/>
                <w:rtl w:val="true"/>
              </w:rPr>
              <w:t>السابع</w:t>
            </w:r>
            <w:r>
              <w:rPr>
                <w:rStyle w:val="IndexLink"/>
                <w:rtl w:val="true"/>
              </w:rPr>
              <w:t xml:space="preserve">: </w:t>
            </w:r>
            <w:r>
              <w:rPr>
                <w:rStyle w:val="IndexLink"/>
                <w:rtl w:val="true"/>
              </w:rPr>
              <w:t>اللطم وضرب الخدود والصدور</w:t>
            </w:r>
            <w:r>
              <w:rPr>
                <w:rStyle w:val="IndexLink"/>
                <w:rtl w:val="true"/>
              </w:rPr>
              <w:tab/>
            </w:r>
            <w:r>
              <w:rPr>
                <w:rStyle w:val="IndexLink"/>
              </w:rPr>
              <w:t>583</w:t>
            </w:r>
          </w:hyperlink>
        </w:p>
        <w:p>
          <w:pPr>
            <w:pStyle w:val="Contents5"/>
            <w:tabs>
              <w:tab w:val="clear" w:pos="7892"/>
              <w:tab w:val="right" w:pos="9026" w:leader="dot"/>
            </w:tabs>
            <w:rPr/>
          </w:pPr>
          <w:hyperlink w:anchor="__RefHeading___Toc7190255_73709187">
            <w:r>
              <w:rPr>
                <w:webHidden/>
                <w:rStyle w:val="IndexLink"/>
                <w:rtl w:val="true"/>
              </w:rPr>
              <w:t>الثامن</w:t>
            </w:r>
            <w:r>
              <w:rPr>
                <w:rStyle w:val="IndexLink"/>
                <w:rtl w:val="true"/>
              </w:rPr>
              <w:t xml:space="preserve">: </w:t>
            </w:r>
            <w:r>
              <w:rPr>
                <w:rStyle w:val="IndexLink"/>
                <w:rtl w:val="true"/>
              </w:rPr>
              <w:t>اختلاط النساء بالرجال</w:t>
            </w:r>
            <w:r>
              <w:rPr>
                <w:rStyle w:val="IndexLink"/>
                <w:rtl w:val="true"/>
              </w:rPr>
              <w:tab/>
            </w:r>
            <w:r>
              <w:rPr>
                <w:rStyle w:val="IndexLink"/>
              </w:rPr>
              <w:t>588</w:t>
            </w:r>
          </w:hyperlink>
        </w:p>
        <w:p>
          <w:pPr>
            <w:pStyle w:val="Contents4"/>
            <w:tabs>
              <w:tab w:val="clear" w:pos="8176"/>
              <w:tab w:val="right" w:pos="9026" w:leader="dot"/>
            </w:tabs>
            <w:rPr/>
          </w:pPr>
          <w:hyperlink w:anchor="__RefHeading___Toc7190257_73709187">
            <w:r>
              <w:rPr>
                <w:webHidden/>
                <w:rStyle w:val="IndexLink"/>
                <w:rtl w:val="true"/>
              </w:rPr>
              <w:t>ردود على أجوبة المؤلف</w:t>
            </w:r>
            <w:r>
              <w:rPr>
                <w:rStyle w:val="IndexLink"/>
                <w:rtl w:val="true"/>
              </w:rPr>
              <w:tab/>
            </w:r>
            <w:r>
              <w:rPr>
                <w:rStyle w:val="IndexLink"/>
              </w:rPr>
              <w:t>589</w:t>
            </w:r>
          </w:hyperlink>
        </w:p>
        <w:p>
          <w:pPr>
            <w:pStyle w:val="Contents2"/>
            <w:tabs>
              <w:tab w:val="clear" w:pos="8743"/>
              <w:tab w:val="right" w:pos="9026" w:leader="dot"/>
            </w:tabs>
            <w:rPr/>
          </w:pPr>
          <w:hyperlink w:anchor="__RefHeading___Toc7190259_73709187">
            <w:r>
              <w:rPr>
                <w:webHidden/>
                <w:rStyle w:val="IndexLink"/>
                <w:rtl w:val="true"/>
              </w:rPr>
              <w:t>الفصل الثالث</w:t>
            </w:r>
            <w:r>
              <w:rPr>
                <w:rStyle w:val="IndexLink"/>
                <w:rtl w:val="true"/>
              </w:rPr>
              <w:tab/>
            </w:r>
            <w:r>
              <w:rPr>
                <w:rStyle w:val="IndexLink"/>
              </w:rPr>
              <w:t>593</w:t>
            </w:r>
          </w:hyperlink>
        </w:p>
        <w:p>
          <w:pPr>
            <w:pStyle w:val="Contents3"/>
            <w:tabs>
              <w:tab w:val="clear" w:pos="8459"/>
              <w:tab w:val="right" w:pos="9026" w:leader="dot"/>
            </w:tabs>
            <w:rPr/>
          </w:pPr>
          <w:hyperlink w:anchor="__RefHeading___Toc7190261_73709187">
            <w:r>
              <w:rPr>
                <w:webHidden/>
                <w:rStyle w:val="IndexLink"/>
                <w:rtl w:val="true"/>
              </w:rPr>
              <w:t>اشارة</w:t>
            </w:r>
            <w:r>
              <w:rPr>
                <w:rStyle w:val="IndexLink"/>
                <w:rtl w:val="true"/>
              </w:rPr>
              <w:tab/>
            </w:r>
            <w:r>
              <w:rPr>
                <w:rStyle w:val="IndexLink"/>
              </w:rPr>
              <w:t>593</w:t>
            </w:r>
          </w:hyperlink>
        </w:p>
        <w:p>
          <w:pPr>
            <w:pStyle w:val="Contents3"/>
            <w:tabs>
              <w:tab w:val="clear" w:pos="8459"/>
              <w:tab w:val="right" w:pos="9026" w:leader="dot"/>
            </w:tabs>
            <w:rPr/>
          </w:pPr>
          <w:hyperlink w:anchor="__RefHeading___Toc7190263_73709187">
            <w:r>
              <w:rPr>
                <w:webHidden/>
                <w:rStyle w:val="IndexLink"/>
              </w:rPr>
              <w:t>1</w:t>
            </w:r>
            <w:r>
              <w:rPr>
                <w:rStyle w:val="IndexLink"/>
                <w:rtl w:val="true"/>
              </w:rPr>
              <w:t xml:space="preserve"> </w:t>
            </w:r>
            <w:r>
              <w:rPr>
                <w:rStyle w:val="IndexLink"/>
                <w:rtl w:val="true"/>
              </w:rPr>
              <w:t xml:space="preserve">فضيلة الأُستاذ الشيخ علي رضا الأعرافي </w:t>
            </w:r>
            <w:r>
              <w:rPr>
                <w:rStyle w:val="IndexLink"/>
                <w:rtl w:val="true"/>
              </w:rPr>
              <w:t>(</w:t>
            </w:r>
            <w:r>
              <w:rPr>
                <w:rStyle w:val="IndexLink"/>
                <w:rtl w:val="true"/>
              </w:rPr>
              <w:t>دام عُلاه</w:t>
            </w:r>
            <w:r>
              <w:rPr>
                <w:rStyle w:val="IndexLink"/>
                <w:rtl w:val="true"/>
              </w:rPr>
              <w:t>)</w:t>
              <w:tab/>
            </w:r>
            <w:r>
              <w:rPr>
                <w:rStyle w:val="IndexLink"/>
              </w:rPr>
              <w:t>594</w:t>
            </w:r>
          </w:hyperlink>
        </w:p>
        <w:p>
          <w:pPr>
            <w:pStyle w:val="Contents3"/>
            <w:tabs>
              <w:tab w:val="clear" w:pos="8459"/>
              <w:tab w:val="right" w:pos="9026" w:leader="dot"/>
            </w:tabs>
            <w:rPr/>
          </w:pPr>
          <w:hyperlink w:anchor="__RefHeading___Toc7190265_73709187">
            <w:r>
              <w:rPr>
                <w:webHidden/>
                <w:rStyle w:val="IndexLink"/>
              </w:rPr>
              <w:t>2</w:t>
            </w:r>
            <w:r>
              <w:rPr>
                <w:rStyle w:val="IndexLink"/>
                <w:rtl w:val="true"/>
              </w:rPr>
              <w:t xml:space="preserve"> </w:t>
            </w:r>
            <w:r>
              <w:rPr>
                <w:rStyle w:val="IndexLink"/>
                <w:rtl w:val="true"/>
              </w:rPr>
              <w:t>الأُستاذ الفاضل عبدالوهاب إبراهيم أبو سليمان حفظه اللّه تعالى</w:t>
            </w:r>
            <w:r>
              <w:rPr>
                <w:rStyle w:val="IndexLink"/>
                <w:rtl w:val="true"/>
              </w:rPr>
              <w:tab/>
            </w:r>
            <w:r>
              <w:rPr>
                <w:rStyle w:val="IndexLink"/>
              </w:rPr>
              <w:t>597</w:t>
            </w:r>
          </w:hyperlink>
        </w:p>
        <w:p>
          <w:pPr>
            <w:pStyle w:val="Contents4"/>
            <w:tabs>
              <w:tab w:val="clear" w:pos="8176"/>
              <w:tab w:val="right" w:pos="9026" w:leader="dot"/>
            </w:tabs>
            <w:rPr/>
          </w:pPr>
          <w:hyperlink w:anchor="__RefHeading___Toc7190267_73709187">
            <w:r>
              <w:rPr>
                <w:webHidden/>
                <w:rStyle w:val="IndexLink"/>
                <w:rtl w:val="true"/>
              </w:rPr>
              <w:t>اشارة</w:t>
            </w:r>
            <w:r>
              <w:rPr>
                <w:rStyle w:val="IndexLink"/>
                <w:rtl w:val="true"/>
              </w:rPr>
              <w:tab/>
            </w:r>
            <w:r>
              <w:rPr>
                <w:rStyle w:val="IndexLink"/>
              </w:rPr>
              <w:t>597</w:t>
            </w:r>
          </w:hyperlink>
        </w:p>
        <w:p>
          <w:pPr>
            <w:pStyle w:val="Contents4"/>
            <w:tabs>
              <w:tab w:val="clear" w:pos="8176"/>
              <w:tab w:val="right" w:pos="9026" w:leader="dot"/>
            </w:tabs>
            <w:rPr/>
          </w:pPr>
          <w:hyperlink w:anchor="__RefHeading___Toc7190269_73709187">
            <w:r>
              <w:rPr>
                <w:webHidden/>
                <w:rStyle w:val="IndexLink"/>
                <w:rtl w:val="true"/>
              </w:rPr>
              <w:t>مستجدات الهلال</w:t>
            </w:r>
            <w:r>
              <w:rPr>
                <w:rStyle w:val="IndexLink"/>
                <w:rtl w:val="true"/>
              </w:rPr>
              <w:tab/>
            </w:r>
            <w:r>
              <w:rPr>
                <w:rStyle w:val="IndexLink"/>
              </w:rPr>
              <w:t>598</w:t>
            </w:r>
          </w:hyperlink>
        </w:p>
        <w:p>
          <w:pPr>
            <w:pStyle w:val="Contents3"/>
            <w:tabs>
              <w:tab w:val="clear" w:pos="8459"/>
              <w:tab w:val="right" w:pos="9026" w:leader="dot"/>
            </w:tabs>
            <w:rPr/>
          </w:pPr>
          <w:hyperlink w:anchor="__RefHeading___Toc7190271_73709187">
            <w:r>
              <w:rPr>
                <w:webHidden/>
                <w:rStyle w:val="IndexLink"/>
              </w:rPr>
              <w:t>3</w:t>
            </w:r>
            <w:r>
              <w:rPr>
                <w:rStyle w:val="IndexLink"/>
                <w:rtl w:val="true"/>
              </w:rPr>
              <w:t xml:space="preserve"> </w:t>
            </w:r>
            <w:r>
              <w:rPr>
                <w:rStyle w:val="IndexLink"/>
                <w:rtl w:val="true"/>
              </w:rPr>
              <w:t xml:space="preserve">سماحة الأُستاذ آية اللّه الشيخ محمد واعظ زادة الخراساني </w:t>
            </w:r>
            <w:r>
              <w:rPr>
                <w:rStyle w:val="IndexLink"/>
                <w:rtl w:val="true"/>
              </w:rPr>
              <w:t>(</w:t>
            </w:r>
            <w:r>
              <w:rPr>
                <w:rStyle w:val="IndexLink"/>
                <w:rtl w:val="true"/>
              </w:rPr>
              <w:t>دامت بركاته</w:t>
            </w:r>
            <w:r>
              <w:rPr>
                <w:rStyle w:val="IndexLink"/>
                <w:rtl w:val="true"/>
              </w:rPr>
              <w:t>)</w:t>
              <w:tab/>
            </w:r>
            <w:r>
              <w:rPr>
                <w:rStyle w:val="IndexLink"/>
              </w:rPr>
              <w:t>600</w:t>
            </w:r>
          </w:hyperlink>
        </w:p>
        <w:p>
          <w:pPr>
            <w:pStyle w:val="Contents3"/>
            <w:tabs>
              <w:tab w:val="clear" w:pos="8459"/>
              <w:tab w:val="right" w:pos="9026" w:leader="dot"/>
            </w:tabs>
            <w:rPr/>
          </w:pPr>
          <w:hyperlink w:anchor="__RefHeading___Toc7190273_73709187">
            <w:r>
              <w:rPr>
                <w:webHidden/>
                <w:rStyle w:val="IndexLink"/>
              </w:rPr>
              <w:t>4</w:t>
            </w:r>
            <w:r>
              <w:rPr>
                <w:rStyle w:val="IndexLink"/>
                <w:rtl w:val="true"/>
              </w:rPr>
              <w:t xml:space="preserve"> </w:t>
            </w:r>
            <w:r>
              <w:rPr>
                <w:rStyle w:val="IndexLink"/>
                <w:rtl w:val="true"/>
              </w:rPr>
              <w:t xml:space="preserve">حضرة العلّامة الحجّة آية اللّه الشيخ واعظ زادة الخراساني </w:t>
            </w:r>
            <w:r>
              <w:rPr>
                <w:rStyle w:val="IndexLink"/>
                <w:rtl w:val="true"/>
              </w:rPr>
              <w:t>(</w:t>
            </w:r>
            <w:r>
              <w:rPr>
                <w:rStyle w:val="IndexLink"/>
                <w:rtl w:val="true"/>
              </w:rPr>
              <w:t>دامت بركاته</w:t>
            </w:r>
            <w:r>
              <w:rPr>
                <w:rStyle w:val="IndexLink"/>
                <w:rtl w:val="true"/>
              </w:rPr>
              <w:t>)</w:t>
              <w:tab/>
            </w:r>
            <w:r>
              <w:rPr>
                <w:rStyle w:val="IndexLink"/>
              </w:rPr>
              <w:t>602</w:t>
            </w:r>
          </w:hyperlink>
        </w:p>
        <w:p>
          <w:pPr>
            <w:pStyle w:val="Contents4"/>
            <w:tabs>
              <w:tab w:val="clear" w:pos="8176"/>
              <w:tab w:val="right" w:pos="9026" w:leader="dot"/>
            </w:tabs>
            <w:rPr/>
          </w:pPr>
          <w:hyperlink w:anchor="__RefHeading___Toc7190275_73709187">
            <w:r>
              <w:rPr>
                <w:webHidden/>
                <w:rStyle w:val="IndexLink"/>
                <w:rtl w:val="true"/>
              </w:rPr>
              <w:t>اشارة</w:t>
            </w:r>
            <w:r>
              <w:rPr>
                <w:rStyle w:val="IndexLink"/>
                <w:rtl w:val="true"/>
              </w:rPr>
              <w:tab/>
            </w:r>
            <w:r>
              <w:rPr>
                <w:rStyle w:val="IndexLink"/>
              </w:rPr>
              <w:t>602</w:t>
            </w:r>
          </w:hyperlink>
        </w:p>
        <w:p>
          <w:pPr>
            <w:pStyle w:val="Contents4"/>
            <w:tabs>
              <w:tab w:val="clear" w:pos="8176"/>
              <w:tab w:val="right" w:pos="9026" w:leader="dot"/>
            </w:tabs>
            <w:rPr/>
          </w:pPr>
          <w:hyperlink w:anchor="__RefHeading___Toc7190277_73709187">
            <w:r>
              <w:rPr>
                <w:webHidden/>
                <w:rStyle w:val="IndexLink"/>
                <w:rtl w:val="true"/>
              </w:rPr>
              <w:t>الملاحظة الأُولى</w:t>
            </w:r>
            <w:r>
              <w:rPr>
                <w:rStyle w:val="IndexLink"/>
                <w:rtl w:val="true"/>
              </w:rPr>
              <w:t xml:space="preserve">: </w:t>
            </w:r>
            <w:r>
              <w:rPr>
                <w:rStyle w:val="IndexLink"/>
                <w:rtl w:val="true"/>
              </w:rPr>
              <w:t>حول تفسير لفظ الروح</w:t>
            </w:r>
            <w:r>
              <w:rPr>
                <w:rStyle w:val="IndexLink"/>
                <w:rtl w:val="true"/>
              </w:rPr>
              <w:tab/>
            </w:r>
            <w:r>
              <w:rPr>
                <w:rStyle w:val="IndexLink"/>
              </w:rPr>
              <w:t>603</w:t>
            </w:r>
          </w:hyperlink>
        </w:p>
        <w:p>
          <w:pPr>
            <w:pStyle w:val="Contents5"/>
            <w:tabs>
              <w:tab w:val="clear" w:pos="7892"/>
              <w:tab w:val="right" w:pos="9026" w:leader="dot"/>
            </w:tabs>
            <w:rPr/>
          </w:pPr>
          <w:hyperlink w:anchor="__RefHeading___Toc7190279_73709187">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7190281_73709187">
            <w:r>
              <w:rPr>
                <w:webHidden/>
                <w:rStyle w:val="IndexLink"/>
                <w:rtl w:val="true"/>
              </w:rPr>
              <w:t>استكشاف المراد من دراسة حال السائل</w:t>
            </w:r>
            <w:r>
              <w:rPr>
                <w:rStyle w:val="IndexLink"/>
                <w:rtl w:val="true"/>
              </w:rPr>
              <w:tab/>
            </w:r>
            <w:r>
              <w:rPr>
                <w:rStyle w:val="IndexLink"/>
              </w:rPr>
              <w:t>603</w:t>
            </w:r>
          </w:hyperlink>
        </w:p>
        <w:p>
          <w:pPr>
            <w:pStyle w:val="Contents4"/>
            <w:tabs>
              <w:tab w:val="clear" w:pos="8176"/>
              <w:tab w:val="right" w:pos="9026" w:leader="dot"/>
            </w:tabs>
            <w:rPr/>
          </w:pPr>
          <w:hyperlink w:anchor="__RefHeading___Toc7190283_73709187">
            <w:r>
              <w:rPr>
                <w:webHidden/>
                <w:rStyle w:val="IndexLink"/>
                <w:rtl w:val="true"/>
              </w:rPr>
              <w:t>الملاحظة الثانية</w:t>
            </w:r>
            <w:r>
              <w:rPr>
                <w:rStyle w:val="IndexLink"/>
                <w:rtl w:val="true"/>
              </w:rPr>
              <w:t xml:space="preserve">: </w:t>
            </w:r>
            <w:r>
              <w:rPr>
                <w:rStyle w:val="IndexLink"/>
                <w:rtl w:val="true"/>
              </w:rPr>
              <w:t>حول قوله سبحانه</w:t>
            </w:r>
            <w:r>
              <w:rPr>
                <w:rStyle w:val="IndexLink"/>
                <w:rtl w:val="true"/>
              </w:rPr>
              <w:t>: (</w:t>
            </w:r>
            <w:r>
              <w:rPr>
                <w:rStyle w:val="IndexLink"/>
                <w:rtl w:val="true"/>
              </w:rPr>
              <w:t>فِي بُيُوتٍ‌</w:t>
            </w:r>
            <w:r>
              <w:rPr>
                <w:rStyle w:val="IndexLink"/>
                <w:rtl w:val="true"/>
              </w:rPr>
              <w:t>)</w:t>
              <w:tab/>
            </w:r>
            <w:r>
              <w:rPr>
                <w:rStyle w:val="IndexLink"/>
              </w:rPr>
              <w:t>605</w:t>
            </w:r>
          </w:hyperlink>
        </w:p>
        <w:p>
          <w:pPr>
            <w:pStyle w:val="Contents3"/>
            <w:tabs>
              <w:tab w:val="clear" w:pos="8459"/>
              <w:tab w:val="right" w:pos="9026" w:leader="dot"/>
            </w:tabs>
            <w:rPr/>
          </w:pPr>
          <w:hyperlink w:anchor="__RefHeading___Toc7190285_73709187">
            <w:r>
              <w:rPr>
                <w:webHidden/>
                <w:rStyle w:val="IndexLink"/>
              </w:rPr>
              <w:t>5</w:t>
            </w:r>
            <w:r>
              <w:rPr>
                <w:rStyle w:val="IndexLink"/>
                <w:rtl w:val="true"/>
              </w:rPr>
              <w:t xml:space="preserve"> </w:t>
            </w:r>
            <w:r>
              <w:rPr>
                <w:rStyle w:val="IndexLink"/>
                <w:rtl w:val="true"/>
              </w:rPr>
              <w:t>أنواع التحديث والمسند بينها</w:t>
            </w:r>
            <w:r>
              <w:rPr>
                <w:rStyle w:val="IndexLink"/>
                <w:rtl w:val="true"/>
              </w:rPr>
              <w:tab/>
            </w:r>
            <w:r>
              <w:rPr>
                <w:rStyle w:val="IndexLink"/>
              </w:rPr>
              <w:t>611</w:t>
            </w:r>
          </w:hyperlink>
        </w:p>
        <w:p>
          <w:pPr>
            <w:pStyle w:val="Contents3"/>
            <w:tabs>
              <w:tab w:val="clear" w:pos="8459"/>
              <w:tab w:val="right" w:pos="9026" w:leader="dot"/>
            </w:tabs>
            <w:rPr/>
          </w:pPr>
          <w:hyperlink w:anchor="__RefHeading___Toc7190287_73709187">
            <w:r>
              <w:rPr>
                <w:webHidden/>
                <w:rStyle w:val="IndexLink"/>
              </w:rPr>
              <w:t>6</w:t>
            </w:r>
            <w:r>
              <w:rPr>
                <w:rStyle w:val="IndexLink"/>
                <w:rtl w:val="true"/>
              </w:rPr>
              <w:t xml:space="preserve"> </w:t>
            </w:r>
            <w:r>
              <w:rPr>
                <w:rStyle w:val="IndexLink"/>
                <w:rtl w:val="true"/>
              </w:rPr>
              <w:t xml:space="preserve">آية اللّه الحائري مظهر الفضيلة والتقى </w:t>
            </w:r>
            <w:r>
              <w:rPr>
                <w:rStyle w:val="IndexLink"/>
                <w:rtl w:val="true"/>
              </w:rPr>
              <w:t>(</w:t>
            </w:r>
            <w:r>
              <w:rPr>
                <w:rStyle w:val="IndexLink"/>
              </w:rPr>
              <w:t>1334</w:t>
            </w:r>
            <w:r>
              <w:rPr>
                <w:rStyle w:val="IndexLink"/>
                <w:rtl w:val="true"/>
              </w:rPr>
              <w:t>-</w:t>
            </w:r>
            <w:r>
              <w:rPr>
                <w:rStyle w:val="IndexLink"/>
              </w:rPr>
              <w:t>1406</w:t>
            </w:r>
            <w:r>
              <w:rPr>
                <w:rStyle w:val="IndexLink"/>
                <w:rtl w:val="true"/>
              </w:rPr>
              <w:t xml:space="preserve"> </w:t>
            </w:r>
            <w:r>
              <w:rPr>
                <w:rStyle w:val="IndexLink"/>
                <w:rtl w:val="true"/>
              </w:rPr>
              <w:t>ه‍</w:t>
            </w:r>
            <w:r>
              <w:rPr>
                <w:rStyle w:val="IndexLink"/>
                <w:rtl w:val="true"/>
              </w:rPr>
              <w:t>)</w:t>
              <w:tab/>
            </w:r>
            <w:r>
              <w:rPr>
                <w:rStyle w:val="IndexLink"/>
              </w:rPr>
              <w:t>614</w:t>
            </w:r>
          </w:hyperlink>
        </w:p>
        <w:p>
          <w:pPr>
            <w:pStyle w:val="Contents4"/>
            <w:tabs>
              <w:tab w:val="clear" w:pos="8176"/>
              <w:tab w:val="right" w:pos="9026" w:leader="dot"/>
            </w:tabs>
            <w:rPr/>
          </w:pPr>
          <w:hyperlink w:anchor="__RefHeading___Toc7190289_73709187">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7190291_73709187">
            <w:r>
              <w:rPr>
                <w:webHidden/>
                <w:rStyle w:val="IndexLink"/>
                <w:rtl w:val="true"/>
              </w:rPr>
              <w:t>مولده</w:t>
            </w:r>
            <w:r>
              <w:rPr>
                <w:rStyle w:val="IndexLink"/>
                <w:rtl w:val="true"/>
              </w:rPr>
              <w:tab/>
            </w:r>
            <w:r>
              <w:rPr>
                <w:rStyle w:val="IndexLink"/>
              </w:rPr>
              <w:t>615</w:t>
            </w:r>
          </w:hyperlink>
        </w:p>
        <w:p>
          <w:pPr>
            <w:pStyle w:val="Contents4"/>
            <w:tabs>
              <w:tab w:val="clear" w:pos="8176"/>
              <w:tab w:val="right" w:pos="9026" w:leader="dot"/>
            </w:tabs>
            <w:rPr/>
          </w:pPr>
          <w:hyperlink w:anchor="__RefHeading___Toc7190293_73709187">
            <w:r>
              <w:rPr>
                <w:webHidden/>
                <w:rStyle w:val="IndexLink"/>
                <w:rtl w:val="true"/>
              </w:rPr>
              <w:t>حلقات درسه</w:t>
            </w:r>
            <w:r>
              <w:rPr>
                <w:rStyle w:val="IndexLink"/>
                <w:rtl w:val="true"/>
              </w:rPr>
              <w:tab/>
            </w:r>
            <w:r>
              <w:rPr>
                <w:rStyle w:val="IndexLink"/>
              </w:rPr>
              <w:t>616</w:t>
            </w:r>
          </w:hyperlink>
        </w:p>
        <w:p>
          <w:pPr>
            <w:pStyle w:val="Contents4"/>
            <w:tabs>
              <w:tab w:val="clear" w:pos="8176"/>
              <w:tab w:val="right" w:pos="9026" w:leader="dot"/>
            </w:tabs>
            <w:rPr/>
          </w:pPr>
          <w:hyperlink w:anchor="__RefHeading___Toc7190295_73709187">
            <w:r>
              <w:rPr>
                <w:webHidden/>
                <w:rStyle w:val="IndexLink"/>
                <w:rtl w:val="true"/>
              </w:rPr>
              <w:t>انتاجاته العلمية</w:t>
            </w:r>
            <w:r>
              <w:rPr>
                <w:rStyle w:val="IndexLink"/>
                <w:rtl w:val="true"/>
              </w:rPr>
              <w:tab/>
            </w:r>
            <w:r>
              <w:rPr>
                <w:rStyle w:val="IndexLink"/>
              </w:rPr>
              <w:t>616</w:t>
            </w:r>
          </w:hyperlink>
        </w:p>
        <w:p>
          <w:pPr>
            <w:pStyle w:val="Contents4"/>
            <w:tabs>
              <w:tab w:val="clear" w:pos="8176"/>
              <w:tab w:val="right" w:pos="9026" w:leader="dot"/>
            </w:tabs>
            <w:rPr/>
          </w:pPr>
          <w:hyperlink w:anchor="__RefHeading___Toc7190297_73709187">
            <w:r>
              <w:rPr>
                <w:webHidden/>
                <w:rStyle w:val="IndexLink"/>
                <w:rtl w:val="true"/>
              </w:rPr>
              <w:t>الخدمات الاجتماعية</w:t>
            </w:r>
            <w:r>
              <w:rPr>
                <w:rStyle w:val="IndexLink"/>
                <w:rtl w:val="true"/>
              </w:rPr>
              <w:tab/>
            </w:r>
            <w:r>
              <w:rPr>
                <w:rStyle w:val="IndexLink"/>
              </w:rPr>
              <w:t>617</w:t>
            </w:r>
          </w:hyperlink>
        </w:p>
        <w:p>
          <w:pPr>
            <w:pStyle w:val="Contents4"/>
            <w:tabs>
              <w:tab w:val="clear" w:pos="8176"/>
              <w:tab w:val="right" w:pos="9026" w:leader="dot"/>
            </w:tabs>
            <w:rPr/>
          </w:pPr>
          <w:hyperlink w:anchor="__RefHeading___Toc7190299_73709187">
            <w:r>
              <w:rPr>
                <w:webHidden/>
                <w:rStyle w:val="IndexLink"/>
                <w:rtl w:val="true"/>
              </w:rPr>
              <w:t>إنعكاسات ارتحال الفقيد وردود الفعل</w:t>
            </w:r>
            <w:r>
              <w:rPr>
                <w:rStyle w:val="IndexLink"/>
                <w:rtl w:val="true"/>
              </w:rPr>
              <w:tab/>
            </w:r>
            <w:r>
              <w:rPr>
                <w:rStyle w:val="IndexLink"/>
              </w:rPr>
              <w:t>618</w:t>
            </w:r>
          </w:hyperlink>
        </w:p>
        <w:p>
          <w:pPr>
            <w:pStyle w:val="Contents4"/>
            <w:tabs>
              <w:tab w:val="clear" w:pos="8176"/>
              <w:tab w:val="right" w:pos="9026" w:leader="dot"/>
            </w:tabs>
            <w:rPr/>
          </w:pPr>
          <w:hyperlink w:anchor="__RefHeading___Toc7190301_73709187">
            <w:r>
              <w:rPr>
                <w:webHidden/>
                <w:rStyle w:val="IndexLink"/>
                <w:rtl w:val="true"/>
              </w:rPr>
              <w:t>تأبين السيد الإمام الخميني</w:t>
            </w:r>
            <w:r>
              <w:rPr>
                <w:rStyle w:val="IndexLink"/>
                <w:rtl w:val="true"/>
              </w:rPr>
              <w:tab/>
            </w:r>
            <w:r>
              <w:rPr>
                <w:rStyle w:val="IndexLink"/>
              </w:rPr>
              <w:t>619</w:t>
            </w:r>
          </w:hyperlink>
        </w:p>
        <w:p>
          <w:pPr>
            <w:pStyle w:val="Contents3"/>
            <w:tabs>
              <w:tab w:val="clear" w:pos="8459"/>
              <w:tab w:val="right" w:pos="9026" w:leader="dot"/>
            </w:tabs>
            <w:rPr/>
          </w:pPr>
          <w:hyperlink w:anchor="__RefHeading___Toc7190303_73709187">
            <w:r>
              <w:rPr>
                <w:webHidden/>
                <w:rStyle w:val="IndexLink"/>
              </w:rPr>
              <w:t>7</w:t>
            </w:r>
            <w:r>
              <w:rPr>
                <w:rStyle w:val="IndexLink"/>
                <w:rtl w:val="true"/>
              </w:rPr>
              <w:t xml:space="preserve"> </w:t>
            </w:r>
            <w:r>
              <w:rPr>
                <w:rStyle w:val="IndexLink"/>
                <w:rtl w:val="true"/>
              </w:rPr>
              <w:t>كلمة إلى مهرجان ربيع الشهادة الثقافي العالمي</w:t>
            </w:r>
            <w:r>
              <w:rPr>
                <w:rStyle w:val="IndexLink"/>
                <w:rtl w:val="true"/>
              </w:rPr>
              <w:tab/>
            </w:r>
            <w:r>
              <w:rPr>
                <w:rStyle w:val="IndexLink"/>
              </w:rPr>
              <w:t>620</w:t>
            </w:r>
          </w:hyperlink>
        </w:p>
        <w:p>
          <w:pPr>
            <w:pStyle w:val="Contents4"/>
            <w:tabs>
              <w:tab w:val="clear" w:pos="8176"/>
              <w:tab w:val="right" w:pos="9026" w:leader="dot"/>
            </w:tabs>
            <w:rPr/>
          </w:pPr>
          <w:hyperlink w:anchor="__RefHeading___Toc7190305_73709187">
            <w:r>
              <w:rPr>
                <w:webHidden/>
                <w:rStyle w:val="IndexLink"/>
                <w:rtl w:val="true"/>
              </w:rPr>
              <w:t>اشارة</w:t>
            </w:r>
            <w:r>
              <w:rPr>
                <w:rStyle w:val="IndexLink"/>
                <w:rtl w:val="true"/>
              </w:rPr>
              <w:tab/>
            </w:r>
            <w:r>
              <w:rPr>
                <w:rStyle w:val="IndexLink"/>
              </w:rPr>
              <w:t>620</w:t>
            </w:r>
          </w:hyperlink>
        </w:p>
        <w:p>
          <w:pPr>
            <w:pStyle w:val="Contents4"/>
            <w:tabs>
              <w:tab w:val="clear" w:pos="8176"/>
              <w:tab w:val="right" w:pos="9026" w:leader="dot"/>
            </w:tabs>
            <w:rPr/>
          </w:pPr>
          <w:hyperlink w:anchor="__RefHeading___Toc7190307_73709187">
            <w:r>
              <w:rPr>
                <w:webHidden/>
                <w:rStyle w:val="IndexLink"/>
                <w:rtl w:val="true"/>
              </w:rPr>
              <w:t>الاحتفال بمواليد أولياء اللّه من صميم الدين</w:t>
            </w:r>
            <w:r>
              <w:rPr>
                <w:rStyle w:val="IndexLink"/>
                <w:rtl w:val="true"/>
              </w:rPr>
              <w:tab/>
            </w:r>
            <w:r>
              <w:rPr>
                <w:rStyle w:val="IndexLink"/>
              </w:rPr>
              <w:t>620</w:t>
            </w:r>
          </w:hyperlink>
        </w:p>
        <w:p>
          <w:pPr>
            <w:pStyle w:val="Contents4"/>
            <w:tabs>
              <w:tab w:val="clear" w:pos="8176"/>
              <w:tab w:val="right" w:pos="9026" w:leader="dot"/>
            </w:tabs>
            <w:rPr/>
          </w:pPr>
          <w:hyperlink w:anchor="__RefHeading___Toc7190309_73709187">
            <w:r>
              <w:rPr>
                <w:webHidden/>
                <w:rStyle w:val="IndexLink"/>
                <w:rtl w:val="true"/>
              </w:rPr>
              <w:t>الاحتفال بذكرى الأئمّة عليهم السلام تجسيد للمودّة</w:t>
            </w:r>
            <w:r>
              <w:rPr>
                <w:rStyle w:val="IndexLink"/>
                <w:rtl w:val="true"/>
              </w:rPr>
              <w:tab/>
            </w:r>
            <w:r>
              <w:rPr>
                <w:rStyle w:val="IndexLink"/>
              </w:rPr>
              <w:t>621</w:t>
            </w:r>
          </w:hyperlink>
        </w:p>
        <w:p>
          <w:pPr>
            <w:pStyle w:val="Contents4"/>
            <w:tabs>
              <w:tab w:val="clear" w:pos="8176"/>
              <w:tab w:val="right" w:pos="9026" w:leader="dot"/>
            </w:tabs>
            <w:rPr/>
          </w:pPr>
          <w:hyperlink w:anchor="__RefHeading___Toc7190311_73709187">
            <w:r>
              <w:rPr>
                <w:webHidden/>
                <w:rStyle w:val="IndexLink"/>
                <w:rtl w:val="true"/>
              </w:rPr>
              <w:t>وختاماً</w:t>
            </w:r>
            <w:r>
              <w:rPr>
                <w:rStyle w:val="IndexLink"/>
                <w:rtl w:val="true"/>
              </w:rPr>
              <w:tab/>
            </w:r>
            <w:r>
              <w:rPr>
                <w:rStyle w:val="IndexLink"/>
              </w:rPr>
              <w:t>622</w:t>
            </w:r>
          </w:hyperlink>
        </w:p>
        <w:p>
          <w:pPr>
            <w:pStyle w:val="Contents3"/>
            <w:tabs>
              <w:tab w:val="clear" w:pos="8459"/>
              <w:tab w:val="right" w:pos="9026" w:leader="dot"/>
            </w:tabs>
            <w:rPr/>
          </w:pPr>
          <w:hyperlink w:anchor="__RefHeading___Toc7190313_73709187">
            <w:r>
              <w:rPr>
                <w:webHidden/>
                <w:rStyle w:val="IndexLink"/>
              </w:rPr>
              <w:t>8</w:t>
            </w:r>
            <w:r>
              <w:rPr>
                <w:rStyle w:val="IndexLink"/>
                <w:rtl w:val="true"/>
              </w:rPr>
              <w:t xml:space="preserve"> </w:t>
            </w:r>
            <w:r>
              <w:rPr>
                <w:rStyle w:val="IndexLink"/>
                <w:rtl w:val="true"/>
              </w:rPr>
              <w:t>بيان تعزية بمناسبة وفاة العلّامة المجاهد الشيخ محمدمهدي الآصفي رحمه الله</w:t>
            </w:r>
            <w:r>
              <w:rPr>
                <w:rStyle w:val="IndexLink"/>
                <w:rtl w:val="true"/>
              </w:rPr>
              <w:tab/>
            </w:r>
            <w:r>
              <w:rPr>
                <w:rStyle w:val="IndexLink"/>
              </w:rPr>
              <w:t>624</w:t>
            </w:r>
          </w:hyperlink>
        </w:p>
        <w:p>
          <w:pPr>
            <w:pStyle w:val="Contents3"/>
            <w:tabs>
              <w:tab w:val="clear" w:pos="8459"/>
              <w:tab w:val="right" w:pos="9026" w:leader="dot"/>
            </w:tabs>
            <w:rPr/>
          </w:pPr>
          <w:hyperlink w:anchor="__RefHeading___Toc7190315_73709187">
            <w:r>
              <w:rPr>
                <w:webHidden/>
                <w:rStyle w:val="IndexLink"/>
              </w:rPr>
              <w:t>9</w:t>
            </w:r>
            <w:r>
              <w:rPr>
                <w:rStyle w:val="IndexLink"/>
                <w:rtl w:val="true"/>
              </w:rPr>
              <w:t xml:space="preserve"> </w:t>
            </w:r>
            <w:r>
              <w:rPr>
                <w:rStyle w:val="IndexLink"/>
                <w:rtl w:val="true"/>
              </w:rPr>
              <w:t>كلمة إلى مؤتمر الوحدة الإسلامية المنعقد في طهران</w:t>
            </w:r>
            <w:r>
              <w:rPr>
                <w:rStyle w:val="IndexLink"/>
                <w:rtl w:val="true"/>
              </w:rPr>
              <w:tab/>
            </w:r>
            <w:r>
              <w:rPr>
                <w:rStyle w:val="IndexLink"/>
              </w:rPr>
              <w:t>626</w:t>
            </w:r>
          </w:hyperlink>
        </w:p>
        <w:p>
          <w:pPr>
            <w:pStyle w:val="Contents3"/>
            <w:tabs>
              <w:tab w:val="clear" w:pos="8459"/>
              <w:tab w:val="right" w:pos="9026" w:leader="dot"/>
            </w:tabs>
            <w:rPr/>
          </w:pPr>
          <w:hyperlink w:anchor="__RefHeading___Toc7190317_73709187">
            <w:r>
              <w:rPr>
                <w:webHidden/>
                <w:rStyle w:val="IndexLink"/>
              </w:rPr>
              <w:t>10</w:t>
            </w:r>
            <w:r>
              <w:rPr>
                <w:rStyle w:val="IndexLink"/>
                <w:rtl w:val="true"/>
              </w:rPr>
              <w:t xml:space="preserve"> </w:t>
            </w:r>
            <w:r>
              <w:rPr>
                <w:rStyle w:val="IndexLink"/>
                <w:rtl w:val="true"/>
              </w:rPr>
              <w:t xml:space="preserve">تقريظ كتاب </w:t>
            </w:r>
            <w:r>
              <w:rPr>
                <w:rStyle w:val="IndexLink"/>
                <w:rtl w:val="true"/>
              </w:rPr>
              <w:t>«</w:t>
            </w:r>
            <w:r>
              <w:rPr>
                <w:rStyle w:val="IndexLink"/>
                <w:rtl w:val="true"/>
              </w:rPr>
              <w:t>المحرز في شرح الموجز في أُصول الفقه</w:t>
            </w:r>
            <w:r>
              <w:rPr>
                <w:rStyle w:val="IndexLink"/>
                <w:rtl w:val="true"/>
              </w:rPr>
              <w:t>»</w:t>
              <w:tab/>
            </w:r>
            <w:r>
              <w:rPr>
                <w:rStyle w:val="IndexLink"/>
              </w:rPr>
              <w:t>629</w:t>
            </w:r>
          </w:hyperlink>
        </w:p>
        <w:p>
          <w:pPr>
            <w:pStyle w:val="Contents2"/>
            <w:tabs>
              <w:tab w:val="clear" w:pos="8743"/>
              <w:tab w:val="right" w:pos="9026" w:leader="dot"/>
            </w:tabs>
            <w:rPr/>
          </w:pPr>
          <w:hyperlink w:anchor="__RefHeading___Toc7190319_73709187">
            <w:r>
              <w:rPr>
                <w:webHidden/>
                <w:rStyle w:val="IndexLink"/>
                <w:rtl w:val="true"/>
              </w:rPr>
              <w:t>فهرس المحتويات</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0_176849"/>
      <w:bookmarkStart w:id="1" w:name="pg16780_176849"/>
      <w:bookmarkEnd w:id="1"/>
    </w:p>
    <w:p>
      <w:pPr>
        <w:pStyle w:val="Heading2"/>
        <w:numPr>
          <w:ilvl w:val="1"/>
          <w:numId w:val="1"/>
        </w:numPr>
        <w:rPr/>
      </w:pPr>
      <w:bookmarkStart w:id="2" w:name="pg16780_176849"/>
      <w:bookmarkStart w:id="3" w:name="__RefHeading___Toc7189455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89457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رسائل ومقالات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رسائل ومقالات</w:t>
      </w:r>
    </w:p>
    <w:p>
      <w:pPr>
        <w:pStyle w:val="BookText"/>
        <w:rPr/>
      </w:pPr>
      <w:r>
        <w:rPr>
          <w:rFonts w:ascii="Amiri" w:hAnsi="Amiri" w:eastAsia="Amiri" w:cs="Amiri"/>
          <w:color w:val="111111"/>
          <w:sz w:val="28"/>
          <w:sz w:val="28"/>
          <w:szCs w:val="28"/>
          <w:rtl w:val="true"/>
          <w:lang w:bidi="ar-SA"/>
        </w:rPr>
        <w:t>يشتمل هذا الجزء على مقالات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العقائد، الفقه، وحوارات مع بعض الأعلام،</w:t>
      </w:r>
    </w:p>
    <w:p>
      <w:pPr>
        <w:pStyle w:val="BookText"/>
        <w:rPr/>
      </w:pPr>
      <w:r>
        <w:rPr>
          <w:rFonts w:ascii="Amiri" w:hAnsi="Amiri" w:eastAsia="Amiri" w:cs="Amiri"/>
          <w:color w:val="111111"/>
          <w:sz w:val="28"/>
          <w:sz w:val="28"/>
          <w:szCs w:val="28"/>
          <w:rtl w:val="true"/>
          <w:lang w:bidi="ar-SA"/>
        </w:rPr>
        <w:t>وفيها إرشادات ودعوة إلى التقريب بين المذاهب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آية اللّه جعفر السبحاني</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سبحانى تبريزى،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في مسائل كلامية، عقائدية، فقهية، وحوارات مع بعض الأعلام، وفيها إرشادات ودعوة إلى التقريب بين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5-575-357-964-978: ISBN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VOL.SET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9-465-357-964-978: ISBN</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ها و خطابه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امام 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 297/4172</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 مقالات</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جعفر السبحاني</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الصف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www.shia.ir , http://www.imamsadiq.org</w:t>
      </w:r>
      <w:bookmarkStart w:id="7" w:name="pg16780_176855"/>
    </w:p>
    <w:p>
      <w:pPr>
        <w:pStyle w:val="Heading2"/>
        <w:numPr>
          <w:ilvl w:val="1"/>
          <w:numId w:val="1"/>
        </w:numPr>
        <w:rPr/>
      </w:pPr>
      <w:bookmarkStart w:id="8" w:name="__RefHeading___Toc7189459_73709187"/>
      <w:bookmarkStart w:id="9" w:name="_Toc3"/>
      <w:bookmarkEnd w:id="7"/>
      <w:bookmarkEnd w:id="8"/>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بجميع محامده كلّها على جميع نعمه كلّها، وصلى اللّه على محمد وآله الميامين شجرة النبوّة، وموضع الرسالة، ومختلف الملائكة، ومعدن العلم، وأهل بيت الوحي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العاشر من موسوعتنا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في الكلام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على أربع مقالات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شيخ الأزهر في محاضراته الرمضانية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فيها ما أفاده سماحته في محاضراته مع تبيين نقاط الخلاف والوفاق بين الفريقين وكلّنا أمل أن يساهم الانفتاح على الطرف الآخر في حلّ الكثير من الإشكالات المثارة والشبهات المطروحة، وهذا أمر ممكن من خلال النقاش العلمي والبحث المنطقي بين العلماء والمفكّرين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تسلّط الضوء على الحالة المأساوية الّتي يمرّ بها المسلمون وظهور طائفة ضالّة مضلّة ترتكب الجرائم الفظيعة باسم الدين والدين منهم 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وأجوبة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رسالة تحتوي على أسئلة حول التوحيد والتوسّل بالرسول الأكرم صلى الله عليه و آله و سلم والأئمة المعصومين عليهم السلام في الحوائج الدنيوية أو الأُخروية، ويأتي بعدها بيان الصلة بين الحياة الدنيا وما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والأجوبة كلّها على ضوء الكتاب العزيز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في الفقه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أربع مقالات أيضاً،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مواقيت الصلوات في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فريضة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حول توسعة المسعى‌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المزار في أحاديث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وتقاريظ وبيانات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حرصنا في هذا الجزء على غرار الأجزاء السابقة التأكيد على الوحدة الإسلامية والدعوة إلى التقريب بين المذاهب الإسلامية من خلال الحوار العلمي البنّاء وبعيداً عن التعصّب الأعمى البغيض، سائلين المولى القدير أن يقع موقع القبول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الثالث من جمادى الآخرة يوم</w:t>
      </w:r>
    </w:p>
    <w:p>
      <w:pPr>
        <w:pStyle w:val="BookText"/>
        <w:rPr/>
      </w:pPr>
      <w:r>
        <w:rPr>
          <w:rFonts w:ascii="Amiri" w:hAnsi="Amiri" w:eastAsia="Amiri" w:cs="Amiri"/>
          <w:color w:val="111111"/>
          <w:sz w:val="28"/>
          <w:sz w:val="28"/>
          <w:szCs w:val="28"/>
          <w:rtl w:val="true"/>
          <w:lang w:bidi="ar-SA"/>
        </w:rPr>
        <w:t>وفاة السيدة فاطمة الزهراء سيدة نساء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عليها السلام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16780_176857"/>
    </w:p>
    <w:p>
      <w:pPr>
        <w:pStyle w:val="Heading2"/>
        <w:numPr>
          <w:ilvl w:val="1"/>
          <w:numId w:val="1"/>
        </w:numPr>
        <w:rPr/>
      </w:pPr>
      <w:bookmarkStart w:id="11" w:name="__RefHeading___Toc7189461_73709187"/>
      <w:bookmarkStart w:id="12" w:name="_Toc4"/>
      <w:bookmarkEnd w:id="10"/>
      <w:bookmarkEnd w:id="11"/>
      <w:r>
        <w:rPr>
          <w:rtl w:val="true"/>
        </w:rPr>
        <w:t>الفصل الأوّل</w:t>
      </w:r>
      <w:r>
        <w:rPr>
          <w:rtl w:val="true"/>
        </w:rPr>
        <w:t xml:space="preserve">: </w:t>
      </w:r>
      <w:r>
        <w:rPr>
          <w:rtl w:val="true"/>
        </w:rPr>
        <w:t>مقالات في الكلام والعقائد</w:t>
      </w:r>
      <w:bookmarkEnd w:id="12"/>
    </w:p>
    <w:p>
      <w:pPr>
        <w:pStyle w:val="Heading3"/>
        <w:numPr>
          <w:ilvl w:val="2"/>
          <w:numId w:val="1"/>
        </w:numPr>
        <w:rPr/>
      </w:pPr>
      <w:bookmarkStart w:id="13" w:name="__RefHeading___Toc7189463_73709187"/>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شيخ الأزهر في محاضراته الرمضانية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التكفير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البيت عليهم السلام وحقوقهم الشرعية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وأجوبة عقائدية</w:t>
      </w:r>
      <w:bookmarkStart w:id="15" w:name="pg16780_176859"/>
    </w:p>
    <w:p>
      <w:pPr>
        <w:pStyle w:val="Heading3"/>
        <w:numPr>
          <w:ilvl w:val="2"/>
          <w:numId w:val="1"/>
        </w:numPr>
        <w:rPr/>
      </w:pPr>
      <w:bookmarkStart w:id="16" w:name="__RefHeading___Toc7189465_73709187"/>
      <w:bookmarkStart w:id="17" w:name="_Toc6"/>
      <w:bookmarkEnd w:id="15"/>
      <w:bookmarkEnd w:id="16"/>
      <w:r>
        <w:rPr/>
        <w:t>1</w:t>
      </w:r>
      <w:r>
        <w:rPr>
          <w:rtl w:val="true"/>
        </w:rPr>
        <w:t xml:space="preserve"> </w:t>
      </w:r>
      <w:r>
        <w:rPr>
          <w:rtl w:val="true"/>
        </w:rPr>
        <w:t>مع شيخ الأزهر في محاضراته الرمضانية</w:t>
      </w:r>
      <w:bookmarkEnd w:id="17"/>
    </w:p>
    <w:p>
      <w:pPr>
        <w:pStyle w:val="Heading4"/>
        <w:numPr>
          <w:ilvl w:val="3"/>
          <w:numId w:val="1"/>
        </w:numPr>
        <w:rPr/>
      </w:pPr>
      <w:bookmarkStart w:id="18" w:name="__RefHeading___Toc7189467_73709187"/>
      <w:bookmarkStart w:id="19" w:name="_Toc7"/>
      <w:bookmarkEnd w:id="18"/>
      <w:r>
        <w:rPr>
          <w:rtl w:val="true"/>
        </w:rPr>
        <w:t>اشارة</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حوار هادئ مع الدكتور أحمد الطيب شيخ الأزهر حول محاضراته الرمضانية الّتي تناول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ومسألة الخلافة والإمامة والعصمة وأُمور أُخرى اختلف فيها الفريقان</w:t>
      </w:r>
      <w:bookmarkStart w:id="20" w:name="pg16780_176861"/>
    </w:p>
    <w:p>
      <w:pPr>
        <w:pStyle w:val="BookText"/>
        <w:rPr/>
      </w:pPr>
      <w:bookmarkEnd w:id="20"/>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1" w:name="__RefHeading___Toc7189469_73709187"/>
      <w:bookmarkStart w:id="22" w:name="_Toc8"/>
      <w:bookmarkEnd w:id="21"/>
      <w:r>
        <w:rPr>
          <w:rtl w:val="true"/>
        </w:rPr>
        <w:t>تمهيد</w:t>
      </w:r>
      <w:bookmarkEnd w:id="22"/>
    </w:p>
    <w:p>
      <w:pPr>
        <w:pStyle w:val="BookText"/>
        <w:rPr/>
      </w:pPr>
      <w:r>
        <w:rPr>
          <w:rFonts w:ascii="Amiri" w:hAnsi="Amiri" w:eastAsia="Amiri" w:cs="Amiri"/>
          <w:color w:val="111111"/>
          <w:sz w:val="28"/>
          <w:sz w:val="28"/>
          <w:szCs w:val="28"/>
          <w:rtl w:val="true"/>
          <w:lang w:bidi="ar-SA"/>
        </w:rPr>
        <w:t>الحمد للّه رب العالمين، الحمد للّه الّذي دعانا إلى الاعتصام بحبل الوحدة ونهانا عن التفرّق والتشرذم؛ والصلاة والسلام على نبيّ الرحمة وآله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يشهد العالم الإسلامي في كلّ يوم جرائم فظيعة وشلّالات دم وهَدماً للمنشآت وقتلاً للأبرياء إلى غير ذلك من الجرائم الّتي يهتز لها عرش الرحمن، ومن المؤسف جدّاً أنّ هذه الأعمال الوحشية تقع باسم الدين إلى حدّ أصبح ذبح الإنسان الّذي عرّفه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أهون عندهم من ذبح الطير أو قتل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خضمّ هذه الأحداث المريرة قامت المرجعية الرشيدة في الحوزة العلمية في قم بعقد مؤتمر عالمي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إمتداداً للعشرات من المؤتمرات واللقاءات الّتي عقدت في الجمهورية الإسلامية لتعزيز الوحدة ورصّ الصفوف أمام الخطر المحدق بالعالم الإسلامي، شارك فيه بحمد اللّه أصحاب الفضيلة من كلتا الطائفتين، وقام العلماء بإرسال العديد من المقالات والّتي ألقيت في المؤتمر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للمؤتمر صوت مدوّي في الأوساط العلمية ووسائل الإعلام، وكان</w:t>
      </w:r>
    </w:p>
    <w:p>
      <w:pPr>
        <w:pStyle w:val="BookText"/>
        <w:rPr/>
      </w:pPr>
      <w:r>
        <w:rPr>
          <w:rFonts w:ascii="Amiri" w:hAnsi="Amiri" w:eastAsia="Amiri" w:cs="Amiri"/>
          <w:color w:val="111111"/>
          <w:sz w:val="28"/>
          <w:sz w:val="28"/>
          <w:szCs w:val="28"/>
          <w:rtl w:val="true"/>
          <w:lang w:bidi="ar-SA"/>
        </w:rPr>
        <w:t xml:space="preserve">الدكتور الشيخ أحمد الطيب شيخ الأزهر أحد المدعوّين وإن لم يحضر، وكان المأمول من سماحته أن يقوم في محاضراته الّتي ألقاها عصر أيام شهر رمضان لعام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بما يوافق أهداف المؤتمر، إلّاأنّه حفظه اللّه رغم دعوته إلى التقريب لكنّه في الوقت نفسه سلّط الضوء على أُمور لا تخدم التقريب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قمنا بتأليف هذه الرسالة الّتي سنناقش فيها ما أفاده الدكتور في تلك الحلقات ونبيّن مواضع الوفاق والخلاف، عسى أن تقع موقع القبول وتساهم في رفع الإشكالات المثارة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3" w:name="pg16780_176863"/>
    </w:p>
    <w:p>
      <w:pPr>
        <w:pStyle w:val="Heading4"/>
        <w:numPr>
          <w:ilvl w:val="3"/>
          <w:numId w:val="1"/>
        </w:numPr>
        <w:rPr/>
      </w:pPr>
      <w:bookmarkStart w:id="24" w:name="__RefHeading___Toc7189471_73709187"/>
      <w:bookmarkStart w:id="25" w:name="_Toc9"/>
      <w:bookmarkEnd w:id="23"/>
      <w:bookmarkEnd w:id="24"/>
      <w:r>
        <w:rPr>
          <w:rtl w:val="true"/>
        </w:rPr>
        <w:t>الحلقة الأُولى</w:t>
      </w:r>
      <w:r>
        <w:rPr>
          <w:rtl w:val="true"/>
        </w:rPr>
        <w:t xml:space="preserve">: </w:t>
      </w:r>
      <w:r>
        <w:rPr>
          <w:rtl w:val="true"/>
        </w:rPr>
        <w:t xml:space="preserve">اليوم الأوّل من شهر رمضان </w:t>
      </w:r>
      <w:r>
        <w:rPr/>
        <w:t>1436</w:t>
      </w:r>
      <w:r>
        <w:rPr>
          <w:rtl w:val="true"/>
        </w:rPr>
        <w:t xml:space="preserve"> </w:t>
      </w:r>
      <w:r>
        <w:rPr>
          <w:rtl w:val="true"/>
        </w:rPr>
        <w:t>ه‍</w:t>
      </w:r>
      <w:bookmarkEnd w:id="25"/>
    </w:p>
    <w:p>
      <w:pPr>
        <w:pStyle w:val="BookText"/>
        <w:rPr/>
      </w:pPr>
      <w:r>
        <w:rPr>
          <w:rFonts w:ascii="Amiri" w:hAnsi="Amiri" w:eastAsia="Amiri" w:cs="Amiri"/>
          <w:color w:val="111111"/>
          <w:sz w:val="28"/>
          <w:sz w:val="28"/>
          <w:szCs w:val="28"/>
          <w:rtl w:val="true"/>
          <w:lang w:bidi="ar-SA"/>
        </w:rPr>
        <w:t xml:space="preserve">ركّز الدكتور أحمد الطيّب شيخ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اليومي الّذي كان يُبث من الفضائية المصرية قبل الإفطار،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سوف يخصّص بعض حلقات هذا الشهر أو كلّها لموضوع في غاية الأهمية وهو منزلة الصحابة الكرام وبيان عقيدة أهل السنّة والجماعة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لا نريد توسيع الخلافات أو إحداث فتنة فالأزهر على مدى تاريخه مركز لوحدة المسلمين بكلّ طوائفهم ومذاهبهم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إلى وجود محاولات لضرب استقرار مصر من خلال دعوة شبابها إلى ترك مذهب أهل السنّة الّذي تربّوا عليه إلى مذهب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وإدخالهم من بوابة محبّة أهل البيت، الّذين نحبّهم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يحبهم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المترقّب من شيخ الأزهر الّذي يدّعي أنّ الأزهر على مدى تاريخه مركز لوحدة المسلمين، أن يركّز في الحلقة الأُولى من محاضراته وفي اليوم الأوّل من شهر رمضان المبارك على الوحدة الإسلامية والتقريب بين المذاهب ويشير إلى أنّ القرآن يأمرنا بالتمسّك بحبل الوحدة ويقول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لما لهذه القضية من أهمية أشارت إليها الآية المباركة من خلال طرحها لنكتة عجيبة حيث أمر سبحانه بالاعتصام بحبل اللّه مكان أن يقول واعتصموا بالإسلام، أو بالقرآن، أو ما شابههما، وإنّما عدل عن ذلك كلّه إلى الاعتصام بحبل اللّه مشيراً إلى أنّ الأُمّة المتفرّقة المتشرذمة</w:t>
      </w:r>
    </w:p>
    <w:p>
      <w:pPr>
        <w:pStyle w:val="BookText"/>
        <w:rPr/>
      </w:pPr>
      <w:r>
        <w:rPr>
          <w:rFonts w:ascii="Amiri" w:hAnsi="Amiri" w:eastAsia="Amiri" w:cs="Amiri"/>
          <w:color w:val="111111"/>
          <w:sz w:val="28"/>
          <w:sz w:val="28"/>
          <w:szCs w:val="28"/>
          <w:rtl w:val="true"/>
          <w:lang w:bidi="ar-SA"/>
        </w:rPr>
        <w:t>أشبه بمن تردّى في البئر فلا تكتب له النجاة إلّابالتمسّك بحبل قويّ يساعده في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الأُمّة الإسلامية في هذه الأزمة الّتي تراق فيها دماء أبنائها كلّ يوم بأيدي سفلتهم أن يتمسّكوا بالمشتركات ويتركوا معالجة الخلافات إلى المحافل الدينية والمؤتمرات العلمية، فإنّ ما يجمعهم أكثر ممّا يفرّقهم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تأمّلنا في كتاب اللّه المجيد نرى أنّه سبحانه يجعل الخلاف بين الأُمة أحد مصاديق العذاب النازل من السماء أو من تحت الأرجل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وقال أمير البيان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وَالْزَمُوا السَّوَادَ الْأَعْظَمِ 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 وَلَوْ كَانَ تَحْتَ عِمَامَتِي هذِهِ‌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ومن هنا كان الأجدر بشيخ الأزهر الشريف التركيز على الوحدة الإسلامية ودعوة المسلمين إلى التمسّك بالمشتركات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الرب، وحدة الرسول، وحدة الكتاب، وحدة السنّة، وحدة الشريعة، وحدة القبلة، وحدة اللغة الدينية، وغير ذلك، بدلاً من الانطلاق من النقاط الخلافية والإشارة إلى الخلاف الموجود حول الصحابة بين الشيعة والسنّة أو انتشار التشيّع في مصر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فسيوافيك ما هو الحقّ في الموضوع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فقد أبدى انزعاجه بالنسبة إلى انتشار التشيع وكأنّ مارداً يجتاح أرض الكنانة، وهو انزعاج لا نرى من الناحية الموضوعية أيَّ مبرر له، ولا تشير</w:t>
      </w:r>
      <w:bookmarkStart w:id="26" w:name="pg16780_176865"/>
    </w:p>
    <w:p>
      <w:pPr>
        <w:pStyle w:val="BookText"/>
        <w:rPr/>
      </w:pPr>
      <w:bookmarkEnd w:id="26"/>
      <w:r>
        <w:rPr>
          <w:rFonts w:ascii="Amiri" w:hAnsi="Amiri" w:eastAsia="Amiri" w:cs="Amiri"/>
          <w:color w:val="111111"/>
          <w:sz w:val="28"/>
          <w:sz w:val="28"/>
          <w:szCs w:val="28"/>
          <w:rtl w:val="true"/>
          <w:lang w:bidi="ar-SA"/>
        </w:rPr>
        <w:t>المعطيات الواقعية إلى صوابية هذا الإدّعاء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صحّته لماذا أهمل سماحته الحملات التنصيرية في مصر وغيرها من البلاد الإسلامية الّتي تؤمن بمرجعية الأزهر الشريف على أقل تقدير منذ سنين طوال الّتي تشقّ وحدة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يشر إلى الوهابية الّتي هي بوابة للإرهاب، الّتي أخذت تهدّد وحدة المسلمين في أرض مصر وغيرها من خلال ما تبذله من المال في شراء الذمم والأقلام المأجورة والدعاية ووعّاظ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نقدّمه إلى شيخ الأزهر الشريف أحمد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قلمه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موجز راجين من سماحته أن يرصد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الفهرسة والاستعراض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الكبير الّذي لعبه كبار أعلام الشيعة، والمؤلّفات القيّمة الّتي خطّتها أنامل مراجعهم ومفكّريهم في هذا المجال، مضافاً إلى الجهود الكبيرة الّتي بذلت في تأليف القلوب وتقريب النفوس من خلال المؤتمرات العالمية الّتي عقدت في طهران وقم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أمل اللقاء معه في حديثه اليومي الثاني الّذي بُثّ يوم الجمعة ثاني شهر رمضان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189473_73709187"/>
      <w:bookmarkStart w:id="28" w:name="_Toc10"/>
      <w:bookmarkEnd w:id="27"/>
      <w:r>
        <w:rPr>
          <w:rtl w:val="true"/>
        </w:rPr>
        <w:t>الحلقة الثانية</w:t>
      </w:r>
      <w:r>
        <w:rPr>
          <w:rtl w:val="true"/>
        </w:rPr>
        <w:t xml:space="preserve">: </w:t>
      </w:r>
      <w:r>
        <w:rPr>
          <w:rtl w:val="true"/>
        </w:rPr>
        <w:t xml:space="preserve">اليوم الثاني من شهر رمضان </w:t>
      </w:r>
      <w:r>
        <w:rPr/>
        <w:t>1436</w:t>
      </w:r>
      <w:r>
        <w:rPr>
          <w:rtl w:val="true"/>
        </w:rPr>
        <w:t xml:space="preserve"> </w:t>
      </w:r>
      <w:r>
        <w:rPr>
          <w:rtl w:val="true"/>
        </w:rPr>
        <w:t>ه‍</w:t>
      </w:r>
      <w:bookmarkEnd w:id="28"/>
    </w:p>
    <w:p>
      <w:pPr>
        <w:pStyle w:val="Heading5"/>
        <w:numPr>
          <w:ilvl w:val="4"/>
          <w:numId w:val="1"/>
        </w:numPr>
        <w:rPr/>
      </w:pPr>
      <w:bookmarkStart w:id="29" w:name="__RefHeading___Toc7189475_7370918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تحدّث شيخ الأزهر الشريف في ثاني حلقاته مساء اليوم الثاني من شهر رمضان المبارك عن تعريف الصحابي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هو مَن تحقّقت فيه ثلاثة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لقي النبيّ صلى الله عليه و آله و سلم وإن لم يره كما لو كان كفيفاً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يلقاه وهو مسلم، وبذلك فقد خرجت جماعة الكفّار</w:t>
      </w:r>
    </w:p>
    <w:p>
      <w:pPr>
        <w:pStyle w:val="BookText"/>
        <w:rPr/>
      </w:pPr>
      <w:r>
        <w:rPr>
          <w:rFonts w:ascii="Amiri" w:hAnsi="Amiri" w:eastAsia="Amiri" w:cs="Amiri"/>
          <w:color w:val="111111"/>
          <w:sz w:val="28"/>
          <w:sz w:val="28"/>
          <w:szCs w:val="28"/>
          <w:rtl w:val="true"/>
          <w:lang w:bidi="ar-SA"/>
        </w:rPr>
        <w:t>والمشركين حتّى وإن أسلموا بعد وفاة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على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استوفى هذه الأركان الثلاثة فهو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بالقيد الأوّل التابعي وما تلاه من الطبقات، وبالقيد الثالث عبداللّه بن جحش</w:t>
      </w:r>
      <w:r>
        <w:rPr>
          <w:rStyle w:val="FootnoteAnchor"/>
          <w:rtl w:val="true"/>
        </w:rPr>
        <w:footnoteReference w:id="6"/>
      </w:r>
      <w:r>
        <w:rPr>
          <w:rFonts w:ascii="Amiri" w:hAnsi="Amiri" w:eastAsia="Amiri" w:cs="Amiri"/>
          <w:color w:val="111111"/>
          <w:sz w:val="28"/>
          <w:sz w:val="28"/>
          <w:szCs w:val="28"/>
          <w:rtl w:val="true"/>
          <w:lang w:bidi="ar-SA"/>
        </w:rPr>
        <w:t>فقد خرج إلى الحبشة وهناك ارتدّ عن الإسلام، كما يدخل بالثالث مَن لقي النبيّ وأسلم ثم ارتدّ ثم بعد ذلك عاد إلى الإسلام في حياة النبيّ صلى الله عليه و آله و سلم ثم مات على إسلامه نظير عبداللّه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ركّز عليه الدكتور من طول الصحبة هو أحد القولين في تعريف الصحابي، وفيه قول آخر لا يرى لطول الصحبة تأثيراً في وصف الرجل بالصحابي، وإليك الاشارة إلى بعض 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صحبه شهراً أو يوماً أو ساعة أو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رسول اللّه صلى الله عليه و آله و سلم أو رآه من المسلمين فهو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أبو بكر بن محمد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اللغة في أن الصحابي مشتق من الصحبة قليلاً كان أو كثيراً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اسم الصحبة إلّاعلى من صحبه، ثم يكفي في الاسم من حيث الوضع، الصحبة ولو ساعة، ولكن العرف يخصّصه بمن كثرت صحبته</w:t>
      </w:r>
      <w:r>
        <w:rPr>
          <w:rFonts w:eastAsia="Amiri" w:cs="Amiri" w:ascii="Amiri" w:hAnsi="Amiri"/>
          <w:color w:val="111111"/>
          <w:sz w:val="28"/>
          <w:szCs w:val="28"/>
          <w:rtl w:val="true"/>
          <w:lang w:bidi="ar-SA"/>
        </w:rPr>
        <w:t>.</w:t>
      </w:r>
      <w:r>
        <w:rPr>
          <w:rStyle w:val="FootnoteAnchor"/>
          <w:rtl w:val="true"/>
        </w:rPr>
        <w:footnoteReference w:id="7"/>
      </w:r>
      <w:bookmarkStart w:id="31" w:name="pg16780_176867"/>
    </w:p>
    <w:p>
      <w:pPr>
        <w:pStyle w:val="BookText"/>
        <w:rPr/>
      </w:pPr>
      <w:bookmarkEnd w:id="31"/>
      <w:r>
        <w:rPr>
          <w:rFonts w:ascii="Amiri" w:hAnsi="Amiri" w:eastAsia="Amiri" w:cs="Amiri"/>
          <w:color w:val="111111"/>
          <w:sz w:val="28"/>
          <w:sz w:val="28"/>
          <w:szCs w:val="28"/>
          <w:rtl w:val="true"/>
          <w:lang w:bidi="ar-SA"/>
        </w:rPr>
        <w:t>وسيأتي في الحلقة الثالثة بأن الأستاذ ذكر وجود قولين في تعريف الصحابي أحدهما لمدرسة المحدّثين والآخر لمدرسة علماء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التوسّع في مفهوم الصحابي حسب ما جاء في بعض هذه الآراء ممّا لا تساعد عليه اللغة ولا العرف العام، فإنّ صحابة الرجل عبارة عن جماعة تكون لهم خلطة ومعاشرة معه، مدّة مديدة، فلا تصدق على مَن ليس له إلّاالرؤية من بعيد، أو سماع كلام، أو التحدّث معه مدّة يسيرة أو الإقامة في المدينة زمناً قليلاً، ونحن نصافق الأُستاذ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الإطلالة السريعة في تعريف الصحابي نلفت نظر شيخ الأزهر إلى أمرين</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7189477_73709187"/>
      <w:bookmarkStart w:id="33" w:name="_Toc12"/>
      <w:bookmarkEnd w:id="32"/>
      <w:r>
        <w:rPr>
          <w:rtl w:val="true"/>
        </w:rPr>
        <w:t>الأوّل</w:t>
      </w:r>
      <w:r>
        <w:rPr>
          <w:rtl w:val="true"/>
        </w:rPr>
        <w:t xml:space="preserve">: </w:t>
      </w:r>
      <w:r>
        <w:rPr>
          <w:rtl w:val="true"/>
        </w:rPr>
        <w:t>ادّعاء الإجماع على موضوع غير محدّد</w:t>
      </w:r>
      <w:bookmarkEnd w:id="33"/>
    </w:p>
    <w:p>
      <w:pPr>
        <w:pStyle w:val="BookText"/>
        <w:rPr/>
      </w:pPr>
      <w:r>
        <w:rPr>
          <w:rFonts w:ascii="Amiri" w:hAnsi="Amiri" w:eastAsia="Amiri" w:cs="Amiri"/>
          <w:color w:val="111111"/>
          <w:sz w:val="28"/>
          <w:sz w:val="28"/>
          <w:szCs w:val="28"/>
          <w:rtl w:val="true"/>
          <w:lang w:bidi="ar-SA"/>
        </w:rPr>
        <w:t>عدّ الشيخ حفظه اللّه عدالة الصحابة من الخطوط الحمراء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متّفق عليه بين أهل السنّة، فنسأله كيف تكون عدالة الصحابة جزءاً من تلك الخطوط وأمراً ثابتاً عندهم مع اختلافهم في موضوعه اختلافاً واسعاً، فإنّ الاتّفاق على حكم رهن الاتّفاق على تعريف محدّد وجامع لمفهوم الصحابي، وقد عرفت آراءَهم المختلفة، حتّى أنّ الأُستاذ صرّح في الحلقة الثالثة بأنّ المحدّثين توسّعوا كثيراً في معنى الصحابي</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7189479_73709187"/>
      <w:bookmarkStart w:id="35" w:name="_Toc13"/>
      <w:bookmarkEnd w:id="34"/>
      <w:r>
        <w:rPr>
          <w:rtl w:val="true"/>
        </w:rPr>
        <w:t>الثاني</w:t>
      </w:r>
      <w:r>
        <w:rPr>
          <w:rtl w:val="true"/>
        </w:rPr>
        <w:t xml:space="preserve">: </w:t>
      </w:r>
      <w:r>
        <w:rPr>
          <w:rtl w:val="true"/>
        </w:rPr>
        <w:t>التوسّع لحفظ كرامة بعض الصحابة</w:t>
      </w:r>
      <w:bookmarkEnd w:id="35"/>
    </w:p>
    <w:p>
      <w:pPr>
        <w:pStyle w:val="BookText"/>
        <w:rPr/>
      </w:pPr>
      <w:r>
        <w:rPr>
          <w:rFonts w:ascii="Amiri" w:hAnsi="Amiri" w:eastAsia="Amiri" w:cs="Amiri"/>
          <w:color w:val="111111"/>
          <w:sz w:val="28"/>
          <w:sz w:val="28"/>
          <w:szCs w:val="28"/>
          <w:rtl w:val="true"/>
          <w:lang w:bidi="ar-SA"/>
        </w:rPr>
        <w:t>إنّ التوسّع في مفهوم الصحابي وشموله لمن رآه مرّة واحدة ثم ترك المدينة ولم يره بعد ذلك، إنّما جاء لغاية حفظ كرامة ثلّة من الصحابة، ويعلم ذلك بعد بيان مقدّمتين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في صحيحه عن أبي هريرة أنّه كان يحدّث أن رسول</w:t>
      </w:r>
      <w:bookmarkStart w:id="36" w:name="pg16780_176868"/>
    </w:p>
    <w:p>
      <w:pPr>
        <w:pStyle w:val="BookText"/>
        <w:rPr/>
      </w:pPr>
      <w:bookmarkEnd w:id="36"/>
      <w:r>
        <w:rPr>
          <w:rFonts w:ascii="Amiri" w:hAnsi="Amiri" w:eastAsia="Amiri" w:cs="Amiri"/>
          <w:color w:val="111111"/>
          <w:sz w:val="28"/>
          <w:sz w:val="28"/>
          <w:szCs w:val="28"/>
          <w:rtl w:val="true"/>
          <w:lang w:bidi="ar-SA"/>
        </w:rPr>
        <w:t>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أصحابي فيجلون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القهقهرى</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 النبيّ الأكرم صلى الله عليه و آله و سلم ارتدّ كثير ممّن أسلم وآمن به في اليمامة وغيرها بقيادة مسيلمة الكذّاب وغيره، وهؤلاء المرتدّون كانوا قد شاهدوا النبيّ صلى الله عليه و آله و سلم وسمعوا حديثه، ثم تركوا المدينة فعُدّوا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الارتداد يحطّ من كرامة الصحابة، حاولوا إرجاع الروايات الدالة على الارتداد إلى الّذين لم يصحبوا النبيّ صلى الله عليه و آله و سلم إلّازمناً قليلاً لا يعتدّ به، حتّى يصونوا بذلك كرامة الصحابة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محاولة غير ناجحة؛ لأنّ ما رواه البخاري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يعدّ من تلك الثلّة الجليلة، وذلك واضح لمن قرأ الروايات</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189481_73709187"/>
      <w:bookmarkStart w:id="38" w:name="_Toc14"/>
      <w:bookmarkEnd w:id="37"/>
      <w:r>
        <w:rPr>
          <w:rtl w:val="true"/>
        </w:rPr>
        <w:t>الحلقة الثالثة</w:t>
      </w:r>
      <w:r>
        <w:rPr>
          <w:rtl w:val="true"/>
        </w:rPr>
        <w:t xml:space="preserve">: </w:t>
      </w:r>
      <w:r>
        <w:rPr>
          <w:rtl w:val="true"/>
        </w:rPr>
        <w:t xml:space="preserve">اليوم الثالث من شهر رمضان </w:t>
      </w:r>
      <w:r>
        <w:rPr/>
        <w:t>1436</w:t>
      </w:r>
      <w:r>
        <w:rPr>
          <w:rtl w:val="true"/>
        </w:rPr>
        <w:t xml:space="preserve"> </w:t>
      </w:r>
      <w:r>
        <w:rPr>
          <w:rtl w:val="true"/>
        </w:rPr>
        <w:t>ه‍</w:t>
      </w:r>
      <w:bookmarkEnd w:id="38"/>
    </w:p>
    <w:p>
      <w:pPr>
        <w:pStyle w:val="BookText"/>
        <w:rPr/>
      </w:pPr>
      <w:r>
        <w:rPr>
          <w:rFonts w:ascii="Amiri" w:hAnsi="Amiri" w:eastAsia="Amiri" w:cs="Amiri"/>
          <w:color w:val="111111"/>
          <w:sz w:val="28"/>
          <w:sz w:val="28"/>
          <w:szCs w:val="28"/>
          <w:rtl w:val="true"/>
          <w:lang w:bidi="ar-SA"/>
        </w:rPr>
        <w:t xml:space="preserve">تحدّث الدكتور أحمد الطيّب شيخ الأزهر الشريف في محاضراته اليومية في الثالث من شهر رمضان المبارك عام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الصحابة وعدالتهم، ويتلخّص ما أفاده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هناك مدرستين لتحديد لقاء الصحابي، وهما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مدرسة المحدّثين، ومدرسة علماء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فالمحدّثون توسّعوا كثيراً في معنى لقاء الصحابي بالنبي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باللقاء مجرّد اللقاء، ولو لم تطل المجالسة بأن كانت قصيرة، سواء روى عنه، أم لم يرو عنه، وسواء غزا معه أم لم يغز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الأُصوليون فقد احتاطوا كثيراً في تعريف الصحابي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طالت صحبته متتبعاً للنبيّ صلى الله عليه و آله و سلم مدّة يثبت معها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تحديد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عدالة الصحابي لا تأتيه من كثرة عبادة ولا صوم ولا صلاة ولا حجّ ولا زكاة، وإنّما تأتي من اجتماعه بالنبي مع إسلامه إلى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الصحابي بمعنى أنّه إذا روى حديثاً لا يبحث عنه فهو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لا يقبل حديثه إلّاإذا خضع للجرح والتعديل، إذ الصحابي عدل والعدل تقبل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لا يثبتون العصمة إلّاللأنبياء، وأنّ الصحابة كلّهم عدول يجوز عليهم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الأربعة عصارة ما قاله في محاضرته الثالثة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التوسّع في مفهوم الصحابة حتّى يشمل مَن رآه ساعة، كان لغاية خاصّة، وهي حفظ كرامة الصحابة المعروفين وذلك بإرجاع ما دلّ على ارتداد قسم منهم إلى غير المعروفين الّذين لم يصحبوا النبيّ إلّايوماً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المحاولة غير تامّة لمن قرأ ما دل على ارتداد طائفة منهم بعد رحيل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ويلاحظ على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من أنّ عدالة الصحابي وليد لقاء النبيّ فقط، أمر لا يقبله العقل الحصيف، إذ على هذا يصير اللقاء في تكوين الشخصية الإسلامية المثالية للصحابي كمادة كيمياوية تستعمل في تحويل عنصر كالنحاس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عنصر آخر كالذهب حتّى تصنع صحبة الجيل الكبير الّذي يناهز مائة ألف، أُمّة عادلة مثالية تكون قدوة وأُسوة للأجيال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التفت إلى هذا المعنى الإمام ابن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استثنى من الصحابة مَن ظهر منه فسق أو ظلم؛ لأنّه يرى أنّ هذا الظالم والفاسق يسيء إلى صحبة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من الصحابة مَن ذكر بالفسق الصريح كالوليد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الصحبة تؤثر بطريقة إعجازية لما فسق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مهمات هذا الباب القول بعدالة الصحابة كلّهم في الظاهر، إلّامَن قام الدليل على أنّه فاسقُ تصريحٍ‌، ولابدّ من هذا الاستثناء على جميع المذاهب، وأهل الحديث وإن أطلقوا القول بعدالة الصحابة كلّهم، فإنّهم يستثنون مَن هذه صفته، وإنّما لم يذكروه لندوره، فإنّهم قد بيّنوا ذلك في كتب معرفة الصحابة، وقد فعلوا مثل هذا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المراسيل لا تقبل على الإطلاق من غير استثناء، مع أنّهم يقبلون مراسيل الصحابة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إنّ دعوة النبيّ صلى الله عليه و آله و سلم لم تكن دعوة إعجازية خارجة عن قوانين الطبيعة فالرسول صلى الله عليه و آله و سلم لم يقم بتربية الناس وتعليمهم إلّامستعيناً بالأساليب التربوية المتاحة والإمكانيات المتوفّرة، والدعوة القائمة على هذا الأساس تختلف آثارها على حسب استعدادها وقابلياتها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فبالنظر إلى ما ذكرنا نخرج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الأُصول التربوية تقضي بأنّ من الصحابة مَنْ يمكن أن يصل في قوة الإيمان ورسوخ العقيدة إلى درجات عالية، كما يمكن أن يصل بعضهم في الكمال والفضيلة إلى درجات متوسطة، ومن الممكن أن لا يتأثّر بعضهم بالصحبة وسائر العوامل المؤثّرة إلّاشيئاً طفيفاً لا يجعله في صفوف العدول وزمرة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يدفعنا إلى تصنيف الصحابة إلى أصناف كالتابعين، وإلّا فلازم ذلك كون مجرّد اللقاء سبباً جعل مائة ألف صحابي رجالاً مثاليين كأنّهم جنس من غير البشر، وأمّا الاستناد في ذلك إلى القرآن الكريم فسوف نفسّر الآيات بفضل اللّه تبارك وتعالى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اعتقد أنّ المشكلة ليست في وثاقة الصحابي وقبول روايته كي يركّز الدكتور الطيّب عليها، وإنّما الكلام في السلوكيات المتضادّة مع الشريعة وعدم انسجامها مع القيم الإسلامية، فعلى سبيل المثال أين يضع الدكتور قضية مالك بن نويرة وقتله والاعتداء على زوجته‌؟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وأين يضع الموقف من أبي ذر</w:t>
      </w:r>
      <w:r>
        <w:rPr>
          <w:rStyle w:val="FootnoteAnchor"/>
          <w:rtl w:val="true"/>
        </w:rPr>
        <w:footnoteReference w:id="12"/>
      </w:r>
      <w:r>
        <w:rPr>
          <w:rFonts w:ascii="Amiri" w:hAnsi="Amiri" w:eastAsia="Amiri" w:cs="Amiri"/>
          <w:color w:val="111111"/>
          <w:sz w:val="28"/>
          <w:sz w:val="28"/>
          <w:szCs w:val="28"/>
          <w:rtl w:val="true"/>
          <w:lang w:bidi="ar-SA"/>
        </w:rPr>
        <w:t>وعمّار</w:t>
      </w:r>
      <w:r>
        <w:rPr>
          <w:rStyle w:val="FootnoteAnchor"/>
          <w:rtl w:val="true"/>
        </w:rPr>
        <w:footnoteReference w:id="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يضع تمكين الأمويين</w:t>
      </w:r>
    </w:p>
    <w:p>
      <w:pPr>
        <w:pStyle w:val="BookText"/>
        <w:rPr/>
      </w:pPr>
      <w:r>
        <w:rPr>
          <w:rFonts w:ascii="Amiri" w:hAnsi="Amiri" w:eastAsia="Amiri" w:cs="Amiri"/>
          <w:color w:val="111111"/>
          <w:sz w:val="28"/>
          <w:sz w:val="28"/>
          <w:szCs w:val="28"/>
          <w:rtl w:val="true"/>
          <w:lang w:bidi="ar-SA"/>
        </w:rPr>
        <w:t>وإرجاع المطرودين كالحكم وابنه مروان‌؟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وممّا ذكرنا يظهر الإشكال في الأمر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يقبل حديث الصحابي ولا يخضع للجرح والتعديل، إذ معنى ذلك أنّ مجرد اللقاء ولو ساعة واحدة أو يوماً أو سمع حديثاً جعل مائة ألف ممّن لقي النبيّ صلى الله عليه و آله و سلم رجالاً مثاليين على وجه صاروا أصحاب ملكة تمنعهم من ارتكاب الكبائر أو الصغائر المسيئة أو المباحات المخلّة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للصحبة بعداً إعجازياً يؤثّر فيمن رآه تأثير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 يعد أحد، الصحبة معجزة من معاجزه صلوات اللّه عليه، إذ لم تكن دعوته خارجة عن حدود القوانين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إدّعاء أنّ العصمة عند أهل السنّة لا تثبت إلّا للنبي، أمر لا يصدقه القرآن الكريم، فهذا هو الذكر الحكيم يصف مريم عليها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تطهيرها من الدنس والقذارات وإنّما أراد تطهير روحها من الرذائل وتحليتها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أنّه 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تفسير التطهير بتبرئتها ممّا قذفتها به اليهود بإنطاق الطفل،</w:t>
      </w:r>
      <w:r>
        <w:rPr>
          <w:rStyle w:val="FootnoteAnchor"/>
          <w:rtl w:val="true"/>
        </w:rPr>
        <w:footnoteReference w:id="16"/>
      </w:r>
      <w:r>
        <w:rPr>
          <w:rFonts w:ascii="Amiri" w:hAnsi="Amiri" w:eastAsia="Amiri" w:cs="Amiri"/>
          <w:color w:val="111111"/>
          <w:sz w:val="28"/>
          <w:sz w:val="28"/>
          <w:szCs w:val="28"/>
          <w:rtl w:val="true"/>
          <w:lang w:bidi="ar-SA"/>
        </w:rPr>
        <w:t>فبعيد عن مساق الآية؛ لأنّ الآية وردت قبل أن تحمل مريم حتّى تتّهم بما رمتها به اليهود، والشاهد على ذلك أنّ قصة حملها أتت بعد تلك الآية حيث جاء بعدها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قرأ الآيات الّتي تعرّف مريم ومكانتها، يذعن بأنّها كانت معصومة منزّهة من كلّ ما يشين،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كَفَّلَها زَكَرِيّا 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الكرامة يثبتها الذكر الحكيم لمريم قبل أن تحمل بالمسيح عليه السلام كما يشهد عليه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الذكر الحكيم يتحدّث عن عبد من عباد اللّه آتاه اللّه رحمة من عنده وعلّمه من لدنه علماً وصار معلّماً لموسى عليه السلام حيث قال له الكليم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ولم يكن ذلك الرجل المثالي نبيّاً، ومع ذلك صار معلّماً لنبيّ‌، فهل يتصوّر أن يكون معلّم النبيّ إنساناً غير معصوم ربّما يخطأ وربّما يقترف المعاصي ثم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يدفعنا إلى القول بأنّ العصمة لا تساوق النبوّة، فكلّ نبي معصوم وليس كلّ معصوم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يمكن الإشارة إلى كلام الرازي في تفسير قوله تعالى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عندنا على أنّ إجماع الأُمّة حجّة، والدليل على ذلك أنّ اللّه تعالى أمر بطاعة أُولي الأمر على سبيل الجزم في هذه الآية، ومن أمر اللّه بطاعته على سبيل الجزم والقطع لابدّ وأن يكون معصوماً عن الخطأ، إذ لو لم يكن معصوماً عن الخطأ كان بتقدير إقدامه على الخطأ يكون قد أمر اللّه بمتابعته</w:t>
      </w:r>
      <w:r>
        <w:rPr>
          <w:rFonts w:eastAsia="Amiri" w:cs="Amiri" w:ascii="Amiri" w:hAnsi="Amiri"/>
          <w:color w:val="111111"/>
          <w:sz w:val="28"/>
          <w:szCs w:val="28"/>
          <w:rtl w:val="true"/>
          <w:lang w:bidi="ar-SA"/>
        </w:rPr>
        <w:t>.</w:t>
      </w:r>
      <w:bookmarkStart w:id="39" w:name="pg16780_176874"/>
    </w:p>
    <w:p>
      <w:pPr>
        <w:pStyle w:val="BookText"/>
        <w:rPr/>
      </w:pPr>
      <w:bookmarkEnd w:id="39"/>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أنّ ذلك المعصوم هو أهل الحل والعقد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فكلام الرازي وهو من كبار علماء السنّة يخالف ادّعاء شيخ الأزهر بأنّ السنّة لا يثبتون العصمة إلّاللأنبياء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بهذه الأسطر الموجزة على أمل اللقاء في الحلقة القادمة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7189483_73709187"/>
      <w:bookmarkStart w:id="41" w:name="_Toc15"/>
      <w:bookmarkEnd w:id="40"/>
      <w:r>
        <w:rPr>
          <w:rtl w:val="true"/>
        </w:rPr>
        <w:t>الحلقة الرابعة</w:t>
      </w:r>
      <w:r>
        <w:rPr>
          <w:rtl w:val="true"/>
        </w:rPr>
        <w:t xml:space="preserve">: </w:t>
      </w:r>
      <w:r>
        <w:rPr>
          <w:rtl w:val="true"/>
        </w:rPr>
        <w:t xml:space="preserve">اليوم الرابع من شهر رمضان </w:t>
      </w:r>
      <w:r>
        <w:rPr/>
        <w:t>1436</w:t>
      </w:r>
      <w:r>
        <w:rPr>
          <w:rtl w:val="true"/>
        </w:rPr>
        <w:t xml:space="preserve"> </w:t>
      </w:r>
      <w:r>
        <w:rPr>
          <w:rtl w:val="true"/>
        </w:rPr>
        <w:t>ه‍</w:t>
      </w:r>
      <w:bookmarkEnd w:id="41"/>
    </w:p>
    <w:p>
      <w:pPr>
        <w:pStyle w:val="BookText"/>
        <w:rPr/>
      </w:pPr>
      <w:r>
        <w:rPr>
          <w:rFonts w:ascii="Amiri" w:hAnsi="Amiri" w:eastAsia="Amiri" w:cs="Amiri"/>
          <w:color w:val="111111"/>
          <w:sz w:val="28"/>
          <w:sz w:val="28"/>
          <w:szCs w:val="28"/>
          <w:rtl w:val="true"/>
          <w:lang w:bidi="ar-SA"/>
        </w:rPr>
        <w:t>أفاد الدكتور أحمد الطيّب شيخ الأزهر الشريف في محاضرته لهذا اليوم بما هذه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السنّة والشيعة مسلمون ومؤمنون، فنحن أُمّة واحدة، وأبناء دين واحد، وفي زورق واحد، وهذه قضية لا يجب أن نقترب منها، لكن نحن الآن نتحدث عن قضايا مذهبية داخل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القضايا المذهبية الفارقة بين السنّة والشيعة هي قضية عدالة الصحابة، فأهل السنّة يعتقدون أنّ الصحابة عدول، والشيعة ياللأسف يفتحون باب النقد على صحابة النبيّ صلى الله عليه و آله و سلم على مصراعيه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هذا النقد أدّى بالغلاة والمتطرّفين منهم إلى الجرأة على تكفير صحابة الرسول صلى الله عليه و آله و سلم، وهذه من المصائب الكبرى الّتي حلّت بالمسلمين</w:t>
      </w:r>
    </w:p>
    <w:p>
      <w:pPr>
        <w:pStyle w:val="BookText"/>
        <w:rPr/>
      </w:pPr>
      <w:r>
        <w:rPr>
          <w:rFonts w:ascii="Amiri" w:hAnsi="Amiri" w:eastAsia="Amiri" w:cs="Amiri"/>
          <w:color w:val="111111"/>
          <w:sz w:val="28"/>
          <w:sz w:val="28"/>
          <w:szCs w:val="28"/>
          <w:rtl w:val="true"/>
          <w:lang w:bidi="ar-SA"/>
        </w:rPr>
        <w:t>أن يعتقد مسلم أنّه يمكن أن يكفّر أصحاب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إحدى الشيعيات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نلعن الصحابة بعد كلّ صلاة، وهذا لا يصحّ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المبشرين بالتشيّع بين أهل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وهذا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السيدة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 كلامه بأنّ السنّة جميعاً على أنّ الصحابة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الإمام الأكبر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الشيعة والسنة أُمّة واحدة وأبناء دين واحد وفي زورق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هو قضاء الكتاب والسنّة؛ فهذا ما يروى عن عمر بن الخطاب أنّ الرسول الأكرم صلى الله عليه و آله و سلم دعا علي بن أبي طالب يوم خيبر وأعطاه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ولا تلتفت حتّى يفتح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ولم يلتفت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الناس‌؟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إلّااللّه وأنّ محمداً رسول اللّه، فإذا فعلوا ذلك فقد منعوا منك دماءهم وأموالهم إلّابحقها وحسابهم على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وفي حديث عن ابن عمر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يشهدوا أن لا إله إلّااللّه وأنّ محمّداً رسول اللّه، ويقيموا الصلاة ويؤتوا الزكاة، فإذا فعلوا ذلك عصموا منّي دماءهم وأموالهم إلّابحقّ الإسلام وحسابهم على اللّه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ملاك الإسلام فكلّ مَن شهد الشهادتين وآمن بيوم المعاد فهو</w:t>
      </w:r>
    </w:p>
    <w:p>
      <w:pPr>
        <w:pStyle w:val="BookText"/>
        <w:rPr/>
      </w:pPr>
      <w:r>
        <w:rPr>
          <w:rFonts w:ascii="Amiri" w:hAnsi="Amiri" w:eastAsia="Amiri" w:cs="Amiri"/>
          <w:color w:val="111111"/>
          <w:sz w:val="28"/>
          <w:sz w:val="28"/>
          <w:szCs w:val="28"/>
          <w:rtl w:val="true"/>
          <w:lang w:bidi="ar-SA"/>
        </w:rPr>
        <w:t>داخل تحت خيمة الإسلام من غير فرق بين مسلم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فعدالة الصحابة ليست من صميم الدين الّذي يناط به الإيمان والإسلام، بل هي مسألة كلامية، وعلى حدّ تعبير الشيخ من القضايا المذهبية، فلماذا نكبّر هذا الاختلاف‌؟ وهل هي إلّاكسائر المسائل الخلافية وما أكثرها بين المسلمين في الأُصول والفروع‌؟ فاللازم على الأُستاذ الّذي رزق صدراً رحباً ألّا يوسّع هذه الفجوة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شيخ الأزهر أن ينسب إلى الشيعة ما رووه عن إمامهم وإمام المسلمين عليّ عليه السلام فهو يصف أصحاب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أَصْحَابَ مُحَمَّدٍ صلى الله عليه و آله و سلم،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وَقَدْ بَاتُوا سُجَّداً وَقِيَاماً، يُرَاوِحُونَ بَيْنَ جِبَاهِهِمْ وَخُدُودِهِمْ‌، وَيَقِفُونَ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وَمَادُوا كَمَا يَمِيدُ الشَّجَرُ يَوْمَ الرِّيحِ الْعَاصِفِ‌، خَوْفاً مِنَ الْعِقَابِ‌، وَرَجَاءً لِلثَّوَابِ‌</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عليه السلام كلمة أُخرى في صحابة النبيّ صلى الله عليه و آله و سلم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الْقَوْمُ الَّذِينَ دُعُوا إِلَى الْإِسْلَامِ فَقَبِلُوهُ‌، وَقَرَؤُوا الْقُرْآنَ فَأَحْكَمُوهُ‌، وَهِيجُوا إِلى الْجِهَادِ فَوَلِهُوا وَلَهَ اللِّقَاحِ إِلَى أَوْلَادِهَا، وَسَلَبُوا السُّيُوفَ أَغْمَادَهَا، وَأَخَذُوا بِأَطْرَافِ الْأَرْضِ 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لَايُبَشَّرُونَ بِالْأَحْيَاءِ‌، وَلَا يُعَزَّوْنَ عَنِ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مُرْهُ الْعُيُونِ مِنَ الْبُكَاءِ‌، خُمْصُ الْبُطُونِ مِنَ الصِّيَامِ‌، ذُبُلُ الشِّفَاهِ مِنَ الدُّعَاءِ‌، صُفْرُ الْأَلْوَانِ مِنَ السَّهَرِ، 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p>
    <w:p>
      <w:pPr>
        <w:pStyle w:val="BookText"/>
        <w:rPr/>
      </w:pPr>
      <w:r>
        <w:rPr>
          <w:rFonts w:ascii="Amiri" w:hAnsi="Amiri" w:eastAsia="Amiri" w:cs="Amiri"/>
          <w:color w:val="111111"/>
          <w:sz w:val="28"/>
          <w:sz w:val="28"/>
          <w:szCs w:val="28"/>
          <w:rtl w:val="true"/>
          <w:lang w:bidi="ar-SA"/>
        </w:rPr>
        <w:t>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إِلَيْهِمْ‌، وَ نَعَضَّ الْأَيْدِيَ عَلَى فِرَاقِهِمْ‌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وهذا هو الإمام علي بن الحسين زين العابدين عليه السلام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وأصحاب محمد صلى الله عليه و آله و سلم خاصّة الّذين أحسنوا الصحبة والّذين أبلوا البلاء الحسن في نصره، وكاتفوه وأسرعوا إلى وفادته، وسابقوا إلى دعوته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وعلى هذا فالقول بأنّ الشيعة ينكرون عدالة الصحابة جميعاً أمر غير صحيح يبطله ما روي عن الإمامين الهمامين، والشيعة تعتقد بأنّ الصحابة على طبقات ودرجات من الإيمان والتقوى والعدالة، فمنهم مَن يستدرّ به الغمام، ومنهم مَنْ لا يعتدّ بإيمانه وقوله وفعله، ومنهم مَن هو في رتبة 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تجرؤ الغلاة والمتطرفين على صحابة الرسول صلى الله عليه و آله و سلم فيكفي في جوابه أنّ القائل به هم الغلاة، والغلاة عند الشيعة كفّار لا يحكم عليهم بالإسلام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القول بتكفير صحابة النبيّ وتفسيقهم وأنّ ثلّة جليلة من صحابة النبيّ هم روّاد التشيّع الّذين كانوا مع عليّ عليه السلام في عهد النبيّ تبعاً لوصاياه وبقوا على ما كانوا عليه بعد رحيل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كتب التاريخ أسماءهم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ابن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عمّار بن ياسر، سلمان الفارسي، المقداد بن عمرو بن ثعلبة الكندي، حذيفة بن اليمان صاحب سرّ النبيّ‌، خزيمة بن ثابت الأنصاري ذو الشهادتين، الخباب بن الأرت التميمي، سعد بن مالك، أبو سعيد الخدري، أبو الهيثم بن التيهان الأنصاري، قيس بن سعد بن عبادة الأنصاري، أنس بن الحرث بن منبه أحد شهداء كربلاء، أبو أيوب</w:t>
      </w:r>
    </w:p>
    <w:p>
      <w:pPr>
        <w:pStyle w:val="BookText"/>
        <w:rPr/>
      </w:pPr>
      <w:r>
        <w:rPr>
          <w:rFonts w:ascii="Amiri" w:hAnsi="Amiri" w:eastAsia="Amiri" w:cs="Amiri"/>
          <w:color w:val="111111"/>
          <w:sz w:val="28"/>
          <w:sz w:val="28"/>
          <w:szCs w:val="28"/>
          <w:rtl w:val="true"/>
          <w:lang w:bidi="ar-SA"/>
        </w:rPr>
        <w:t>الأنصاري، خالد بن زيد الّذي استضاف النبيّ صلى الله عليه و آله و سلم عند دخوله المدينة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أسماءهم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الإمامية في 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الواقع التاريخي يثبت أنّ جلّ الأصحاب بل كلّهم من المهاجرين والأنصار كانوا مع أمير المؤمنين عليه السلام في حروبه الثلاثة، قال الزرقاني في نهج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رضى الله عنه في أهل العراق في سبعين ألفاً، فيهم تسعون بدرياً، وسبعمائة من أهل بيعة الرضوان، وأربعمائة من سائر المهاجرين والأنصار، وخرج معاوية في أهل الشام في خمسة وثلاثين ألفاً ليس فيهم من الأنصار إلّا النعمان بن بشير ومسلمة بن مخُلد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شهد صفين مع علي من أصحاب بدر سبعة وثمانون رجلاً، منهم سبعة عشر من المهاجرين، وسبعون من الأنصار، وشهد معه من الأنصار ممّن بايع تحت الشجرة وهي بيعة الرضوان من المهاجرين والأنصار من أصحاب رسول اللّه صلى الله عليه و آله و سلم تسعمائة وكان جميع مَن شهد معه من الصحابة ألفين وثمانمائة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فهل من المعقول أن يقوم الشيعة مع هذا الدعم الكبير والمساندة القوية لسيد الأوصياء عليه السلام بتكفير الصحابة والنيل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نحن نطالب الشيخ الطيّب أن يأتي لنا بعبارة واحدة تثبت أنّ علماء الشيعة ورجالييهم ضعّفوا الصحابة وقالوا بكفرهم أو أسسوا قاعدة تشير إلى هذا المعنى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 أتعجّب من الدكتور كيف جعل قول واحدة من النساء الشيعيات حجّة على الكلّ‌، والاعتماد على قولها، نظير احتجاج الشيعي في إتّهام أهل</w:t>
      </w:r>
    </w:p>
    <w:p>
      <w:pPr>
        <w:pStyle w:val="BookText"/>
        <w:rPr/>
      </w:pPr>
      <w:r>
        <w:rPr>
          <w:rFonts w:ascii="Amiri" w:hAnsi="Amiri" w:eastAsia="Amiri" w:cs="Amiri"/>
          <w:color w:val="111111"/>
          <w:sz w:val="28"/>
          <w:sz w:val="28"/>
          <w:szCs w:val="28"/>
          <w:rtl w:val="true"/>
          <w:lang w:bidi="ar-SA"/>
        </w:rPr>
        <w:t>السنّة بسبّ عليّ بأنّ ناصبية من النواصب تلعن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الأُستاذ هنا ينافي ما ذكره في واحدة من حلقات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عدداً من الفضلاء من علماء الشيعة يتبرّأون من هذه الأقوال ولا يرضونها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أنكر على ما جرى على السيدة فاطمة عليها السلام فنحن لا نريد أن نخدش العواطف غير أنّ أمراً مسلّماً في التاريخ لا يمكن لأحد إنكاره ألا وهو كشف بيت فاطمة حيث نقله كثير من الأعلام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عبدالرحمن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أعوده في مرضه الّذي توفّي فيه فسلّمت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بك بأساً والحمد للّه، ولا تأس على الدنيا، فواللّه إن علمناك إلّاكنت صالحاً مصلحاً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آسى على شيء إلّاعلى ثلاث فعلتهم وودت أنّي لم أفعلهم، وثلاث لم أفعلهم وودت أنّي فعلتهم، وثلاث وددت أنّي سألت رسول اللّه صلى الله عليه و آله و سلم عنهم؛ فأمّا الّتي فعلتها وودت أنّي لم أفعلها فوددت أنّي لم أكن فعلت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لا أُريد ذكرها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إن صاحب كتاب الأموال وإن تستّر على ما تمنّاه الخليفة أن لا يفعله غير أنّ كثيراً من المحققّين ذكروه بنصّه، فهذا هو المبرّد في كامله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فعلتها وودت أنّي لم أكن فعلتها، فوددت أنّي لم أكن كشفت عن بيت فاطمة وتركته ولو أُغلق على حرب</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المسعودي يقول ناقلاً عن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فعلتها وددت أنّي تركتها، وددت أنّي لم أكن فتشت بيت فاطمة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وبما أنّ نقل كلمات المحقّقين والمؤلّفين يُطيل بنا المقام نشير إلى بعض المصادر أدناه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وعلى من أراد التحقيق في هذا الموضوع فليبحث في الموضوع فيتعرّف على مَن أصدر الأمر بالهجوم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فاطمة عليها السلام ومن نفّذ هذا الأمر، وما هي تبعاته، وستتجلّى له الحقيقة بأجلى مظاهرها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يذكره الشيعة استناداً إلى هذه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تحترم الصحابة تبعاً لأئمتهم ولا يقولون بتكفيرهم، غير أنّهم يدّعون على أنّهم على مراتب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ودرجات مختلفة من التقى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 إلى الغلاة والمتطرّفين فالشيعة الإمامية براء منه، وأمّا حكاية الكشف عن بيت السيدة فاطمة الزهراء عليها السلام، فهذا أمر نُقل بالتضافر، ومع ذلك ندعو إلى الوحدة مكان الفرقة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يجمعنا أكثر ممّا يفرّقنا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لتجمعنا العقيدة أُمّة ويضمّنا دين الهدى أتباعاً</w:t>
      </w:r>
    </w:p>
    <w:p>
      <w:p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الأُستاذ لم ينبس ببنت شفة في أمر فاطمة عليه السلام لما أشرنا إليه في هذه المحاضرة، غير أنّا دفاعاً عن الحقّ والحقيقة لم نر بدّاً من التطرّق إليه</w:t>
      </w:r>
      <w:r>
        <w:rPr>
          <w:rFonts w:eastAsia="Amiri" w:cs="Amiri" w:ascii="Amiri" w:hAnsi="Amiri"/>
          <w:color w:val="111111"/>
          <w:sz w:val="28"/>
          <w:szCs w:val="28"/>
          <w:rtl w:val="true"/>
          <w:lang w:bidi="ar-SA"/>
        </w:rPr>
        <w:t>.</w:t>
      </w:r>
      <w:bookmarkStart w:id="42" w:name="pg16780_176881"/>
    </w:p>
    <w:p>
      <w:pPr>
        <w:pStyle w:val="Heading4"/>
        <w:numPr>
          <w:ilvl w:val="3"/>
          <w:numId w:val="1"/>
        </w:numPr>
        <w:rPr/>
      </w:pPr>
      <w:bookmarkStart w:id="43" w:name="__RefHeading___Toc7189485_73709187"/>
      <w:bookmarkStart w:id="44" w:name="_Toc16"/>
      <w:bookmarkEnd w:id="42"/>
      <w:bookmarkEnd w:id="43"/>
      <w:r>
        <w:rPr>
          <w:rtl w:val="true"/>
        </w:rPr>
        <w:t>الحلقة الخامسة</w:t>
      </w:r>
      <w:r>
        <w:rPr>
          <w:rtl w:val="true"/>
        </w:rPr>
        <w:t xml:space="preserve">: </w:t>
      </w:r>
      <w:r>
        <w:rPr>
          <w:rtl w:val="true"/>
        </w:rPr>
        <w:t xml:space="preserve">اليوم الخامس من شهر رمضان </w:t>
      </w:r>
      <w:r>
        <w:rPr/>
        <w:t>1436</w:t>
      </w:r>
      <w:r>
        <w:rPr>
          <w:rtl w:val="true"/>
        </w:rPr>
        <w:t xml:space="preserve"> </w:t>
      </w:r>
      <w:r>
        <w:rPr>
          <w:rtl w:val="true"/>
        </w:rPr>
        <w:t>ه‍</w:t>
      </w:r>
      <w:bookmarkEnd w:id="44"/>
    </w:p>
    <w:p>
      <w:pPr>
        <w:pStyle w:val="BookText"/>
        <w:rPr/>
      </w:pPr>
      <w:r>
        <w:rPr>
          <w:rFonts w:ascii="Amiri" w:hAnsi="Amiri" w:eastAsia="Amiri" w:cs="Amiri"/>
          <w:color w:val="111111"/>
          <w:sz w:val="28"/>
          <w:sz w:val="28"/>
          <w:szCs w:val="28"/>
          <w:rtl w:val="true"/>
          <w:lang w:bidi="ar-SA"/>
        </w:rPr>
        <w:t>قال الدكتور أحمد الطيب شيخ 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الصحابي الّذي ثبتت صحبته لا يُسأل عن عدالته، ولا يحتاج لشهادة تزكية، لأنّ هذه الصحبة تعطيه هذه الشهادة بشكل تلقائي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 حفظه اللّه في بيان معنى العدالة إلى أن انتهى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روى الصحابي حديثاً أو شهد في واقعة فإن روايته تقبل، وكذا شهادته، بدون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وما تاريخ حياته‌؟ هذا هو معنى عدالة الصحابة وهذا ما تميّز به عن غيره، وأمّا غير الصحابي بدءاً من التابعي حينما يروي أو يشهد فلابدّ من شهادة بعدله قبل قبول شهادته أو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في آخر كلامه بأنّ الصحابي الفقير الّذي ربّما لا يمتلك نعلاً يمشي به، ثم يجود بنفسه وبكل ما يملك وعنده استعداد ليراق دمه حفاظاً على رسول اللّه صلى الله عليه و آله و سلم وعلى الدين، يستحق أن تنزل فيه آيات القرآن الكريم لتقرّر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كلامه حفظه اللّه شيءٌ جديدٌ وإنّما هو تكرار لما أفاده في المحاضرات السابقة ومع ذلك فنقدّم إلى سماحته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الشيخ الطيب ادّعاء لابدّ من دعمه بالدليل والبرهان القاطع عقلاً أو نقلاً على مستوى الحديث والسنّة، هذا إذا لم نقل أنّ الدليل النقلي يعطي العكس من ذلك، كما سيأتي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الصحابي الّذي وصفه الطيّب بتلك الصفات العالية، وهو الّذي يجود بنفسه وبكل ما يملك وعنده استعداد</w:t>
      </w:r>
    </w:p>
    <w:p>
      <w:pPr>
        <w:pStyle w:val="BookText"/>
        <w:rPr/>
      </w:pPr>
      <w:r>
        <w:rPr>
          <w:rFonts w:ascii="Amiri" w:hAnsi="Amiri" w:eastAsia="Amiri" w:cs="Amiri"/>
          <w:color w:val="111111"/>
          <w:sz w:val="28"/>
          <w:sz w:val="28"/>
          <w:szCs w:val="28"/>
          <w:rtl w:val="true"/>
          <w:lang w:bidi="ar-SA"/>
        </w:rPr>
        <w:t>ليراق دمه حفاظاً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وجد الدكتور باحثاً منصفاً أو وجد أنصاف المتعلمين من الشيعة مَن تعرّض لمثل هكذا صحابي بسوء أو يشكّك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ممّن شرب الخمر وقاء وهو في محراب صلاته وكان من قبلُ قد نزل فيه آية من الذكر الحكيم تؤكّد فسقه‌؟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يركّز على ملاك الصحبة وأنّ الّذي صيّر مائة ألف من الّذين كانوا غارقين في الوثنية والأخلاق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وأد البنات إلى 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 هو رؤية النبيّ صلى الله عليه و آله و سلم ومصاحبته بشكل بين شروطه في المحاضرات المتقدمة، ومن هنا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صحبة الصحابة لرسول اللّه صلى الله عليه و آله و سلم لم تكن أشدّ ولا أقوى ولا أطول من صحبة امرأة نوح وامرأة لوط، فقد صحبتا زوجيهما الكريمين، ولبثتا معهما ليلاً ونهاراً ولكن هذه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أغنت عنهما من اللّه شيئاً،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العزيز يندّد ببعض نساء النبيّ صلى الله عليه و آله و سلم لأجل كشف سرّه ويعاتبهنّ في 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النَّبِيُّ إِلى بَعْضِ أَزْواجِهِ حَدِيثاً فَلَمّا نَبَّأَتْ بِهِ وَ أَظْهَرَهُ اللّهُ عَلَيْهِ عَرَّفَ بَعْضَهُ وَ أَعْرَضَ عَنْ بَعْضٍ فَلَمّا نَبَّأَها بِهِ قالَتْ مَنْ‌</w:t>
      </w:r>
    </w:p>
    <w:p>
      <w:pPr>
        <w:pStyle w:val="BookText"/>
        <w:rPr/>
      </w:pPr>
      <w:r>
        <w:rPr>
          <w:rFonts w:ascii="Amiri" w:hAnsi="Amiri" w:eastAsia="Amiri" w:cs="Amiri"/>
          <w:color w:val="111111"/>
          <w:sz w:val="28"/>
          <w:sz w:val="28"/>
          <w:szCs w:val="28"/>
          <w:rtl w:val="true"/>
          <w:lang w:bidi="ar-SA"/>
        </w:rPr>
        <w:t xml:space="preserve">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فأي عتاب أشدّ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مالت قلوبكما عن الحق،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وجود أرضية فيهن للتظاهر ضد النبيّ صلى الله عليه و آله و سلم وخلافه، وهو سبحانه أخبر عن إخفاق أُمنيتهن؛ لأنّ اللّه ناصر النبيّ وجبريل وصالح المؤمنين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الآيات يبيّن لنا موقع المرأتين وأن اللّه سبحانه يخيّرهما بين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والإنابة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 من اللّه وأنّ اللّه سبحانه سيكون ظهيراً للنبي ومعه الملائكة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ما صدر عنهما كان ذنباً ومعصية، ولذلك استحقتا هذا النحو من التحذير، ولو كان أمراً هيّناً وعادّياً لما استحقّ هذا القدر من التهديد والتحذير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قد أجمل ولم يبيّن، هل تابت المرأتان، أو لم تتوبا وبقيتا على ما كانتا عليه من إيذائه صلى الله عليه و آله و سلم‌؟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الدكتور أحمد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تعريفه للعدالة إلى</w:t>
      </w:r>
    </w:p>
    <w:p>
      <w:pPr>
        <w:pStyle w:val="BookText"/>
        <w:rPr/>
      </w:pPr>
      <w:r>
        <w:rPr>
          <w:rFonts w:ascii="Amiri" w:hAnsi="Amiri" w:eastAsia="Amiri" w:cs="Amiri"/>
          <w:color w:val="111111"/>
          <w:sz w:val="28"/>
          <w:sz w:val="28"/>
          <w:szCs w:val="28"/>
          <w:rtl w:val="true"/>
          <w:lang w:bidi="ar-SA"/>
        </w:rPr>
        <w:t>أنّ ملكة العدالة تمنع الشخص من الكبائر، فإنّه سوف يمتنع عن الكذب بالضرورة وحين يريد أن يكذب لا تطاوعه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صحيح ولكن فليتدبّر فيما رواه البخاري عن عائشة في هذا المورد في تفسير الآيات الثلاث المتقدّمة،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يشرب عسلاً عند زينب ابنة جحش ويمكث عندها، فواطيت أنا وحفصة عن أيّتنا دخل عليها فلتقل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مغافير؟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منك ريح مغافير،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كنت أشرب عسلاً عند زينب ابنة جحش، فلن أعود له، وقد حلفت لا تخبري بذلك أحداً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نسبة النبيّ إلى أكلّ المغافير، نسبة كاذبة، وأين الملكة هنا من تواطئهما على رسول اللّه صلى الله عليه و آله و سلم والاتفاق على الكذب في قضية كان الحسد أو الغيرة هي المحرّك الأساسي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يدلّ على أنّ القضية أي عدالة الصحابة أمر مقبول لكن لا بشكل قضية كلّية تشمل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السيدة عائشة محترمة عندنا لأنّها زوجة النبيّ ونقول في حقّها ما ذكره الإمام علي عليه السلام في وقعة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فُلَانَةُ فَأَدْرَكَهَا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وَضِغْنٌ غَلَا فِي صَدْرِهَا كَمِرْجَلِ الْقَيْنِ‌، وَلَوْ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بَعْدُ حُرْمَتُهَا الْأُولَى‌، وَالْحِسَابُ عَلَى اللّهِ تَعَالى‌</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فهذا لا يصدّنا عن دراسة ما قامت به في حرب الجمل من تجييش الجيوش إلى البصرة، وخالفت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w:t>
      </w:r>
      <w:r>
        <w:rPr>
          <w:rStyle w:val="FootnoteAnchor"/>
          <w:rtl w:val="true"/>
        </w:rPr>
        <w:footnoteReference w:id="37"/>
      </w:r>
      <w:bookmarkStart w:id="45" w:name="pg16780_176885"/>
    </w:p>
    <w:p>
      <w:pPr>
        <w:pStyle w:val="BookText"/>
        <w:rPr/>
      </w:pPr>
      <w:bookmarkEnd w:id="45"/>
      <w:r>
        <w:rPr>
          <w:rFonts w:ascii="Amiri" w:hAnsi="Amiri" w:eastAsia="Amiri" w:cs="Amiri"/>
          <w:color w:val="111111"/>
          <w:sz w:val="28"/>
          <w:sz w:val="28"/>
          <w:szCs w:val="28"/>
          <w:rtl w:val="true"/>
          <w:lang w:bidi="ar-SA"/>
        </w:rPr>
        <w:t>وقتل في هذه الحرب آلاف من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لنا الدكتور سبب غياب الملكة هذه والكذب على رسول اللّه صلى الله عليه و آله و سلم وإخباره بخلاف الواقع كما هو مسلّم في قضية الوليد بن عقبة وبني المصطلق الّتي نزل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Style w:val="FootnoteAnchor"/>
          <w:rtl w:val="true"/>
        </w:rPr>
        <w:footnoteReference w:id="38"/>
      </w:r>
      <w:r>
        <w:rPr>
          <w:rFonts w:ascii="Amiri" w:hAnsi="Amiri" w:eastAsia="Amiri" w:cs="Amiri"/>
          <w:color w:val="111111"/>
          <w:sz w:val="28"/>
          <w:sz w:val="28"/>
          <w:szCs w:val="28"/>
          <w:rtl w:val="true"/>
          <w:lang w:bidi="ar-SA"/>
        </w:rPr>
        <w:t>حينما افترى الوليد على بني المصطلق مالم يصدر عنهم وكادت أن تقع في حياة النبيّ صلى الله عليه و آله و سلم فتنة عظيمة لولا التدخل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بهذا البحث الموجز على أمل اللقاء في محاضرة قادمة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7189487_73709187"/>
      <w:bookmarkStart w:id="47" w:name="_Toc17"/>
      <w:bookmarkEnd w:id="46"/>
      <w:r>
        <w:rPr>
          <w:rtl w:val="true"/>
        </w:rPr>
        <w:t>الحلقة السادسة</w:t>
      </w:r>
      <w:r>
        <w:rPr>
          <w:rtl w:val="true"/>
        </w:rPr>
        <w:t xml:space="preserve">: </w:t>
      </w:r>
      <w:r>
        <w:rPr>
          <w:rtl w:val="true"/>
        </w:rPr>
        <w:t xml:space="preserve">اليوم السادس من شهر رمضان </w:t>
      </w:r>
      <w:r>
        <w:rPr/>
        <w:t>1436</w:t>
      </w:r>
      <w:r>
        <w:rPr>
          <w:rtl w:val="true"/>
        </w:rPr>
        <w:t xml:space="preserve"> </w:t>
      </w:r>
      <w:r>
        <w:rPr>
          <w:rtl w:val="true"/>
        </w:rPr>
        <w:t>ه‍</w:t>
      </w:r>
      <w:bookmarkEnd w:id="47"/>
    </w:p>
    <w:p>
      <w:pPr>
        <w:pStyle w:val="Heading5"/>
        <w:numPr>
          <w:ilvl w:val="4"/>
          <w:numId w:val="1"/>
        </w:numPr>
        <w:rPr/>
      </w:pPr>
      <w:bookmarkStart w:id="48" w:name="__RefHeading___Toc7189489_7370918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قال الدكتور الشيخ أحمد الطيب في محاضرته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العامّة لمذهب أهل السنّة والجماعة تقضي بأنّ جميع الصحابة عدول وثبتت لهم العدالة، وسبب هذا التميّز هو صحبتهم للنبيّ صلى الله عليه و آله و سلم فالصحبة تقتضي هذه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الحديث يرون أنّ الصحبة تَثبت بمجرّد اللقاء بالنبيّ‌، قصر اللقاء أم طال، والأُصوليّون اشترطوا طول الصحبة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السنّة والشيعة في هذه النقطة، فالشيعة لا يرون هذا، أمّا أهل السنّة يعتقدون أنّ الصحابة جميعاً عدول، فالراوي غير الصحابي يجب البحث في تاريخه وحياته من خلال كتب الجرح والتعديل كي نصل في النهاية إلى أنّ هذا الراوي عدل تقبل روايته أو مجروح لا تقبل روايته</w:t>
      </w:r>
      <w:r>
        <w:rPr>
          <w:rFonts w:eastAsia="Amiri" w:cs="Amiri" w:ascii="Amiri" w:hAnsi="Amiri"/>
          <w:color w:val="111111"/>
          <w:sz w:val="28"/>
          <w:szCs w:val="28"/>
          <w:rtl w:val="true"/>
          <w:lang w:bidi="ar-SA"/>
        </w:rPr>
        <w:t>.</w:t>
      </w:r>
      <w:bookmarkStart w:id="50" w:name="pg16780_176886"/>
    </w:p>
    <w:p>
      <w:pPr>
        <w:pStyle w:val="BookText"/>
        <w:rPr/>
      </w:pPr>
      <w:bookmarkEnd w:id="50"/>
      <w:r>
        <w:rPr>
          <w:rFonts w:ascii="Amiri" w:hAnsi="Amiri" w:eastAsia="Amiri" w:cs="Amiri"/>
          <w:color w:val="111111"/>
          <w:sz w:val="28"/>
          <w:sz w:val="28"/>
          <w:szCs w:val="28"/>
          <w:rtl w:val="true"/>
          <w:lang w:bidi="ar-SA"/>
        </w:rPr>
        <w:t>أمّا إذا كان الراوي من الصحابة فتسلّم عدالته ولا يبحث في حياته ولا في تاريخه لأنّ مجرّد الصحبة يثبت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 الأزهر لم يأت في محاضرته في اليوم السادس من شهر رمضان بشيء جديد بل أكّد ما ذكره سابقاً، وكأنّه يعتقد بأنّ الصحبة أشبه بمادة كيمياوية حوّلت الصحابة من حالة سيئة إلى حالة حسنة، ومن فسق إلى عدالة، إلى غير ذلك ممّا يمكن أن يكون بياناً لمراده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يصوّر أنّ الصحابي بمجرّد الصحبة يصير إنساناً عادلاً منزّهاً عن كلّ ذنب، ولكن مع الأسف أنّ الصحابي نفسه لا يرى لنفسه هذا المقام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189491_73709187"/>
      <w:bookmarkStart w:id="52" w:name="_Toc19"/>
      <w:bookmarkEnd w:id="51"/>
      <w:r>
        <w:rPr>
          <w:rtl w:val="true"/>
        </w:rPr>
        <w:t>الصحابة أبصر بحالهم من غيرهم</w:t>
      </w:r>
      <w:bookmarkEnd w:id="52"/>
    </w:p>
    <w:p>
      <w:pPr>
        <w:pStyle w:val="BookText"/>
        <w:rPr/>
      </w:pPr>
      <w:r>
        <w:rPr>
          <w:rFonts w:ascii="Amiri" w:hAnsi="Amiri" w:eastAsia="Amiri" w:cs="Amiri"/>
          <w:color w:val="111111"/>
          <w:sz w:val="28"/>
          <w:sz w:val="28"/>
          <w:szCs w:val="28"/>
          <w:rtl w:val="true"/>
          <w:lang w:bidi="ar-SA"/>
        </w:rPr>
        <w:t>إنّ من سبر تاريخ الصحابة بعد رحيل رسول اللّه صلى الله عليه و آله و سلم، يجد فيه صفحات مليئة بألوان الصراع والنزاع بينهم، حافلة بتبادل التّهم والشتائم، بل تجاوز الأمر بهم إلى التقاتل وسفك الدماء، فكم من بدريّ وأُحديّ انتُهكت حرمته، وصُبّ عليه العذاب صبّاً، أو أُريق دمه بيد صحابي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يختلف فيه اثنان، بيد أنّ الذي ينبغي التنبيه عليه، هو أنّ كلّاً من المتصارعين، كان يعتقد أنّ خصمه متنكّبٌ عن جادّة الصواب، وأنّه مستحقّ للعقاب أو القتل، وهذا الاعتقاد، حتّى وإن كان نابعاً عن اجتهاد، لكنّه يكشف عن أنّ كلّاً من الفئتين المختلفتين لم تكن تعتقد بعدالة الفئة الأُخرى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الصحابي يعتقد أنّ خصمه مائل عن الحقّ ومجانب لشريعة اللّه ورسوله، وعلى أساس ذلك يبيح سلّ السيف عليه وقتله، فكيف يجوز لنا نحن أن نحكم بعدالتهم ونزاهتهم جميعاً، وأن نضفي عليهم ثوب القدسيّة على حدّ</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ونُبرّأهم من كلّ زيغ وانحراف‌؟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الإنسان أعرف بحاله وأبصر بمكانته‌؟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الصحابة أعرف منّا بنوازع أنفسهم، وبنفسيات أبناء جيلهم‌؟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ما دار بينهم من حوارات تكشف عن اعتقاد بعضهم في حقّ البعض الآخر، فالاتّهام بالكذب والنفاق والشتم والسب كان من أيسر الأُمور المتداولة بينهم، فهذا هو سعد ابن عبادة سيّد الخزرج، يخاطب سعد بن معاذ، وهو سيد الأوس وينسبه إلى الكذب كما حكاه البخاري في صحيحه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عبادة وهو سيد الخزرج فقال 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أُسيد بن حضير وهو ابن عم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فإنّك منافق تجادل عن المنافقين، فتثاور الحيّان حتّى همّوا أن يقتتلوا ورسول اللّه قائم على المنبر، فلم يزل رسول اللّه يخفِّضهم حتّى سكتوا وسكت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أفيمكن وصف الحيّين من أوّلهما إلى آخرهما بالعدالة والوثاقة وهما على هذا الحد من قلّة الأدب والعصبية وعدم ضبط النفس في مجلس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وتزداد الحيرة عندما تعلم أنّ السبب من وراء هذه القضية هو قول سعد بن معاذ الأنصاري سيد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أعذرك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عبداللّه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سيد الخزرج وقد احتملته الحميّة دفاعاً عن ابن سلول المنافق‌؟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القداسة الّتي أحاطت الصحابة أمر طارئ صنعتها عوامل كثيرة منها سياسية، ومنها ما أشار إليه كبار رجال المدرسة السنيّة في الجرح والتعديل</w:t>
      </w:r>
    </w:p>
    <w:p>
      <w:pPr>
        <w:pStyle w:val="BookText"/>
        <w:rPr/>
      </w:pPr>
      <w:r>
        <w:rPr>
          <w:rFonts w:ascii="Amiri" w:hAnsi="Amiri" w:eastAsia="Amiri" w:cs="Amiri"/>
          <w:color w:val="111111"/>
          <w:sz w:val="28"/>
          <w:sz w:val="28"/>
          <w:szCs w:val="28"/>
          <w:rtl w:val="true"/>
          <w:lang w:bidi="ar-SA"/>
        </w:rPr>
        <w:t>كالشيخ الذهبي في معرفة الرواة،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فتحنا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نفوسنا لدخل فيه عدّة من الصحابة والتابعين والأئمة، فبعض الصحابة كفّر بعضهم بعضاً بتأويل ما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وليست هذه القضية فريدة في بابها فلها نظائر وردت في الصحاح والمسانيد وفي غضون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من العجب العجاب، أنّ الصحابي يصف صحابياً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محضر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والآخر يصف خصمه بالنفاق وكلا الرجلين من كبار الأنصار وسنامهم‌؟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جاءوا بعدهم يصفونهم بالعدل والتقوى، والزهد والتجافي عن الدنيا، وهل سمعت ظئراً أرأف بالطفل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يقف الباحث السنّي على مصادر جمّة تكشف عن أفانين من اقتراف المعاصي وسفك الدماء الطاهرة، وهتك الحرمات، ويجابههم بهذه الحقائق، فلا يجد بدّاً من الالتجاء إلى ما يُروى عن عمر بن عبد العزيز وأحياناً عن الإمام أحمد بن حنبل من لزوم الإمساك عمّا شجر بين الصحابة من الاختلاف، وكثيراً ما يقولون حول الدماء التي أُريقت بيد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دماء طهّر اللّه منها أيدينا، فلا نلوّث بها ألسنتنا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ويُستشفّ من هذا الكلام أنّ الدماء التي أُريقت في وقائع الجمل وصفين والنهروان، كانت قد سُفكت بغير حق،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النصب، وقضاء بالباطل، وإلّا فأي ضمير حرّ يحكم بأنّ قتال الناكثين والقاسطين والمارقين، كان قتالاً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يعلم أنّ أمير المؤمنين عليه السلام كان على بيّنة من ربّه وبصيرة</w:t>
      </w:r>
      <w:bookmarkStart w:id="53" w:name="pg16780_176889"/>
    </w:p>
    <w:p>
      <w:pPr>
        <w:pStyle w:val="BookText"/>
        <w:rPr/>
      </w:pPr>
      <w:bookmarkEnd w:id="53"/>
      <w:r>
        <w:rPr>
          <w:rFonts w:ascii="Amiri" w:hAnsi="Amiri" w:eastAsia="Amiri" w:cs="Amiri"/>
          <w:color w:val="111111"/>
          <w:sz w:val="28"/>
          <w:sz w:val="28"/>
          <w:szCs w:val="28"/>
          <w:rtl w:val="true"/>
          <w:lang w:bidi="ar-SA"/>
        </w:rPr>
        <w:t>في دينه، يدور معه الحقّ حيثما دار، وهو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ما هذا التجنّي أمام الحقائق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العزوف عن نقد الصحابة تبريراً للأخطاء، وهروباً من الواقع، وإيغالاً في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تنزيه الصحابة جميعاً تنكّراً للطبيعة البشرية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189493_73709187"/>
      <w:bookmarkStart w:id="55" w:name="_Toc20"/>
      <w:bookmarkEnd w:id="54"/>
      <w:r>
        <w:rPr>
          <w:rtl w:val="true"/>
        </w:rPr>
        <w:t>الحلقة السابعة</w:t>
      </w:r>
      <w:r>
        <w:rPr>
          <w:rtl w:val="true"/>
        </w:rPr>
        <w:t xml:space="preserve">: </w:t>
      </w:r>
      <w:r>
        <w:rPr>
          <w:rtl w:val="true"/>
        </w:rPr>
        <w:t xml:space="preserve">اليوم السابع من شهر رمضان </w:t>
      </w:r>
      <w:r>
        <w:rPr/>
        <w:t>1436</w:t>
      </w:r>
      <w:r>
        <w:rPr>
          <w:rtl w:val="true"/>
        </w:rPr>
        <w:t xml:space="preserve"> </w:t>
      </w:r>
      <w:r>
        <w:rPr>
          <w:rtl w:val="true"/>
        </w:rPr>
        <w:t>ه‍</w:t>
      </w:r>
      <w:bookmarkEnd w:id="55"/>
    </w:p>
    <w:p>
      <w:pPr>
        <w:pStyle w:val="Heading5"/>
        <w:numPr>
          <w:ilvl w:val="4"/>
          <w:numId w:val="1"/>
        </w:numPr>
        <w:rPr/>
      </w:pPr>
      <w:bookmarkStart w:id="56" w:name="__RefHeading___Toc7189495_73709187"/>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واصل الدكتور أحمد الطيب شيخ الأزهر في اليوم السابع من شهر رمضان حديثه عن 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بها لم يكن من اختراع أهل السنّة والجماعة وإنّما أخذاً من نصوص القرآن الكريم والأحاديث النبوية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فيدلّ عليها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أنّ الصحابة اكتسبوا هذا الفضل والتعديل بتعديل اللّه تعالى لهم وثناؤه عليهم</w:t>
      </w:r>
      <w:r>
        <w:rPr>
          <w:rFonts w:eastAsia="Amiri" w:cs="Amiri" w:ascii="Amiri" w:hAnsi="Amiri"/>
          <w:color w:val="111111"/>
          <w:sz w:val="28"/>
          <w:szCs w:val="28"/>
          <w:rtl w:val="true"/>
          <w:lang w:bidi="ar-SA"/>
        </w:rPr>
        <w:t>.</w:t>
      </w:r>
      <w:bookmarkStart w:id="58" w:name="pg16780_176890"/>
    </w:p>
    <w:p>
      <w:pPr>
        <w:pStyle w:val="BookText"/>
        <w:rPr/>
      </w:pPr>
      <w:bookmarkEnd w:id="58"/>
      <w:r>
        <w:rPr>
          <w:rFonts w:ascii="Amiri" w:hAnsi="Amiri" w:eastAsia="Amiri" w:cs="Amiri"/>
          <w:color w:val="111111"/>
          <w:sz w:val="28"/>
          <w:sz w:val="28"/>
          <w:szCs w:val="28"/>
          <w:rtl w:val="true"/>
          <w:lang w:bidi="ar-SA"/>
        </w:rPr>
        <w:t>ثم استدلّ بالسنّة بما رواه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أصحابي، فوالّذي نفسي بيده لو أنّ أحدكم أنفق مثل أحد ذهباً ما أدرك مُدّ أحدهم ولا نصيفه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7189497_73709187"/>
      <w:bookmarkStart w:id="60" w:name="_Toc22"/>
      <w:bookmarkEnd w:id="59"/>
      <w:r>
        <w:rPr>
          <w:rtl w:val="true"/>
        </w:rPr>
        <w:t>تفسير الآية</w:t>
      </w:r>
      <w:bookmarkEnd w:id="60"/>
    </w:p>
    <w:p>
      <w:pPr>
        <w:pStyle w:val="BookText"/>
        <w:rPr/>
      </w:pPr>
      <w:r>
        <w:rPr>
          <w:rFonts w:ascii="Amiri" w:hAnsi="Amiri" w:eastAsia="Amiri" w:cs="Amiri"/>
          <w:color w:val="111111"/>
          <w:sz w:val="28"/>
          <w:sz w:val="28"/>
          <w:szCs w:val="28"/>
          <w:rtl w:val="true"/>
          <w:lang w:bidi="ar-SA"/>
        </w:rPr>
        <w:t>إنّ شيخ الأزهر اقتصر بنقل الآية ولم يشرح لنا كيفية دلالتها على عدالة أصحاب النبيّ من أوّلهم إلى آخرهم وربّما يبلغ عددهم مائة ألف مع أنّ الآية أخصّ ممّا يدّعيه الدكتور وذلك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الأصناف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 مِنَ الْمُهاجِرِينَ‌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السَّابِقُونَ الأَوَّلُونَ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اتّبعوا السابقين في الهجرة والنصرة اتّباعاً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ذكر السبق والأوّلية في الصنفين الأوّلين ولم يذكر متعلّقهما، غير أنّ وصفهم بكونهم مهاجرين وأنصاراً، يرفع الإجمال عن الآية وأنّ الملاك هو السبق في الهجرة والنصرة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إيضاح المراد يجب أن ندرس الفقرتين الأُوليين ثم نرجع إلى الثالثة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ثناء اللّه يختصّ بالسابقين في هذين المضمارين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بكلّ مهاجر وأنصاريّ بشهادة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في الهجرة أو السبق في النصرة فاللّه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w:t>
      </w:r>
    </w:p>
    <w:p>
      <w:pPr>
        <w:pStyle w:val="BookText"/>
        <w:rPr/>
      </w:pPr>
      <w:r>
        <w:rPr>
          <w:rFonts w:ascii="Amiri" w:hAnsi="Amiri" w:eastAsia="Amiri" w:cs="Amiri"/>
          <w:color w:val="111111"/>
          <w:sz w:val="28"/>
          <w:sz w:val="28"/>
          <w:szCs w:val="28"/>
          <w:rtl w:val="true"/>
          <w:lang w:bidi="ar-SA"/>
        </w:rPr>
        <w:t>مصاديق هاتين الطائفتين، ولا شكّ أنّ المراد هم السبّاقون الأوّلون في الهجرة إلى الحبشة أو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السبّاقون الأوّلون في النصرة فهم الّذين بايعوا النبيّ صلى الله عليه و آله و سلم في البيعتين الأُولى والثانية، وقد كان عدد المبايعين من الأنصار في العقبة الأُولى اثني عشر رجلاً، وفي العقبة الثانية قرابة السبعين، فهؤلاء هم الّذين بايعوا للنصرة والدفاع عنه إذا نزل بأرضهم، فهؤلاء هم السبّاقون في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وتخصيصهما بالذكر لأنّهم تحمّلوا أنواع العذاب فلم يروا منجاة لهم إلّا الهجرة إلى الحبشة أو إلى المدينة المنوّرة أو الّذين نصروا النبيّ صلى الله عليه و آله و سلم وآووه وآووا المهاجرين في ديارهم زمن غربة الإسلام وكونه مهدّداً من قبل الأعداء، فلفظ السبّاقون من الطائفتين ينطبق على مَن هاجر قبل معركة بدر الّتي كانت مبدأ ظهور الإسلام وقوته، أو آمن بالنبي صلى الله عليه و آله و سلم وآواه وآوى المهاجرين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الفقرة تحكي عن رضا اللّه عن تلك المجموعة وهم السبّاقون في الهجرة والنصرة قبل معركة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أنّه سبحانه يذكرهم في سورة الأنفال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سورة الأنفال نزلت عقب غزوة بدر فتكون دليلاً على أنّ المراد من الطائفتين هم الّذين وصفوا بالسبق والنصرة إلى حدّ النصف من السنة الثانية للهجرة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الكلام في الفقرتين الأُوليين أمّا 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w:t>
      </w:r>
      <w:bookmarkStart w:id="61" w:name="pg16780_176892"/>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فأُريد بهم الّذين اتّبعوا الصنفين السابقين في الهجرة والنصرة فالصنفان الأوّلان إمامان متبوعان والصنف الثالث هم الأتباع وهم الّذين هاجروا بعد عزّ الإسلام وظهور قوّته أو نصروه كذلك، ولأجل تأخّرهم في الهجرة والنصرة صاروا أتباعاً، فكل مَن هاجر بعد غزوة بدر أو آمن أو نصر بعدها قبل فتح مكة فهذا هو المراد من الصنف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يكون رضا اللّه متعلّقاً بهذه الأصناف الثلاثة فقط، فكيف يصحّ أن تكون الآية دليلاً على عدالة الصحابة من أوّلهم إلى آخرهم حتّى الّذين اسلموا في العام التاسع من الهجرة وهو عام الوفود وفيه أسلم أغلب سكان الجزيرة العربية، فكيف تكون الآية دليلاً على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قلناه من أنّ المدّعى عام والدليل خاص</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7189499_73709187"/>
      <w:bookmarkStart w:id="63" w:name="_Toc23"/>
      <w:bookmarkEnd w:id="62"/>
      <w:r>
        <w:rPr>
          <w:rtl w:val="true"/>
        </w:rPr>
        <w:t>الرضا مقيّد لا مطلق</w:t>
      </w:r>
      <w:bookmarkEnd w:id="63"/>
    </w:p>
    <w:p>
      <w:pPr>
        <w:pStyle w:val="BookText"/>
        <w:rPr/>
      </w:pPr>
      <w:r>
        <w:rPr>
          <w:rFonts w:ascii="Amiri" w:hAnsi="Amiri" w:eastAsia="Amiri" w:cs="Amiri"/>
          <w:color w:val="111111"/>
          <w:sz w:val="28"/>
          <w:sz w:val="28"/>
          <w:szCs w:val="28"/>
          <w:rtl w:val="true"/>
          <w:lang w:bidi="ar-SA"/>
        </w:rPr>
        <w:t>إنّ اللّه سبحانه قيّد تعلّق رضاه بالصنف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اتَّبَعُوهُمْ بِإِحْسانٍ‌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اتّباعاً حسناً أو اتّباعاً في العمل الصالح، والقيد يكشف أنّ الصنف الثالث ينقسم إلى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الإحسان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شكّ في واحد من مصاديق الصنف الثالث في وجود القيد فيه، فلا تكون الآية دليلاً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وجود العدالة، لا يجوز التمسّك بالدليل على وجود القيد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ظهر أنّ الآية أخصّ من المدّعى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السبّاقون في الهجرة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بمَن وصفوا بالهجرة والنصرة قبل غزوة بدر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الفقرة الثانية تختصّ بمَن هاجر ونصر قبل غزوة بدر، ولا</w:t>
      </w:r>
    </w:p>
    <w:p>
      <w:pPr>
        <w:pStyle w:val="BookText"/>
        <w:rPr/>
      </w:pPr>
      <w:r>
        <w:rPr>
          <w:rFonts w:ascii="Amiri" w:hAnsi="Amiri" w:eastAsia="Amiri" w:cs="Amiri"/>
          <w:color w:val="111111"/>
          <w:sz w:val="28"/>
          <w:sz w:val="28"/>
          <w:szCs w:val="28"/>
          <w:rtl w:val="true"/>
          <w:lang w:bidi="ar-SA"/>
        </w:rPr>
        <w:t>يشمل مَن آمن وهاجر ونصر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في الفقرة الثالثة مقيّد باتّباع بإحسان، فإذا شكّ في وجود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الآية دليلاً على وجود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كشفت الآية عن تعلّق الرضا بجماعة وفئة خاصة، وأين هذا من عامّة الصحابة الّذين يبلغ عددهم إلى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والمذكورة أسماؤهم منهم حوالي خمسة عشر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نكتة أُخرى غفل عنها كلّ مَن استدلّ بالآية وهي أنّ إخباره سبحانه بتعلّق رضاه بهذه الأصناف الثلاثة محدّد بكونهم باقين على ماكانوا عليه من الإيمان والعمل الصالح والعدالة، وإلّا فلو دلّ الدليل على خروج جمع قليل أو كثير عن هذه الضابطة فالآية ساكتة عن تلك الفئة؛ وذلك لأنّ الأُمور بخواتيمها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في صحيحه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ليعمل فيما يرى الناس عمل أهل الجنّة وأنّه لمن أهل النار، ويعمل فيما يرى الناس عمل أهل النار وهو من أهل الجنّة، وإنّما الأعمال بخواتيمها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وليست منزلة الصحابة من الأوّلين والآخرين أعلى وأنبل ممّا يتحدّث عنه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فتعلّق الرضا بفئة أو شخص في فترة معيّنة لا يكون دليلاً على بقاء الرضا إلى نهاية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دلّ دليل على تنكّب هؤلاء عن الصراط</w:t>
      </w:r>
    </w:p>
    <w:p>
      <w:pPr>
        <w:pStyle w:val="BookText"/>
        <w:rPr/>
      </w:pPr>
      <w:r>
        <w:rPr>
          <w:rFonts w:ascii="Amiri" w:hAnsi="Amiri" w:eastAsia="Amiri" w:cs="Amiri"/>
          <w:color w:val="111111"/>
          <w:sz w:val="28"/>
          <w:sz w:val="28"/>
          <w:szCs w:val="28"/>
          <w:rtl w:val="true"/>
          <w:lang w:bidi="ar-SA"/>
        </w:rPr>
        <w:t>المستقيم فهذا لا يكون مخالفاً للآية؛ لأنّ لكلّ ظرفاً وأمداً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الطيب لم يبّين لنا الدليل على بقاء العدالة والوثاقة وعدم تزحزحها عنهم في الوقت الّذي وقعوا فيه في أُمور أخطر من الكذب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اعترف به البراء بن عازب حيث روى البخاري في باب غزوة الحديبية 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فقلت له، طوبى لك صحبت النبيّ صلى الله عليه و آله و سلم وبايعته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أحدثنا بعده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ولا ريب أنّ الرجل كان شاهداً على الواقع وكان على معرفة بأسباب نزول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يتمسّك بها ويراها مشروطة بعدم العدول والانحراف عن الطريق بعد الرسول صلى الله عليه و آله و سلم ومواصلة السير على نهجه صلى الله عليه و آله و سلم ولم يعتبر صرف الصحبة بل البيعة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يفسّر لنا الشيخ الطيب تعوّذ ابن أبي مليكة من الافتتان بعد نقل روايات الحوض،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نفتتن عن ديننا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وأمّا الاستدلال بنهي النبيّ صلى الله عليه و آله و سلم عن سبّ أصحابه فيلاحظ عليه بأمرين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الحديث سنداً فهو على خلاف المقصود أدلّ‌، لأن النبيّ يخاطب الصحابة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أصحابي، ومعنى ذلك، وجود السابّ في عصر النبيّ صلى الله عليه و آله و سلم من الصحابة في حق بعضهم، ومن المعلوم أنّ السبّ فسوق،</w:t>
      </w:r>
    </w:p>
    <w:p>
      <w:pPr>
        <w:pStyle w:val="BookText"/>
        <w:rPr/>
      </w:pPr>
      <w:r>
        <w:rPr>
          <w:rFonts w:ascii="Amiri" w:hAnsi="Amiri" w:eastAsia="Amiri" w:cs="Amiri"/>
          <w:color w:val="111111"/>
          <w:sz w:val="28"/>
          <w:sz w:val="28"/>
          <w:szCs w:val="28"/>
          <w:rtl w:val="true"/>
          <w:lang w:bidi="ar-SA"/>
        </w:rPr>
        <w:t>وقد روي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المؤمن كفر وسبابه فسوق</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يقال من أنّ النبيّ صلى الله عليه و آله و سلم يخاطب الأجيال الآتية لا الجيل المعاصر له، فهو كما ترى مخالف لصريح الرواية، حيث إنّه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والمخاطبون هم الحاضرون في مجلس الخطاب، ولو كان المخاطبون هم المسلمون في الأجيال الآتية لغيّر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إصحابي حرام،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عين ما فهمه ابن حجر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مخصوصون وإلّا فالخطاب كان للصحابة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وعقب في نفس الموضع على القائلين بأنّ الخطاب لغير الصحابة وردّه باعتبار أنّ الخطاب كان بسبب حادثة سب خالد بن الوليد وعبد الرحمن بن عوف</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السبّ حرام، ولكنّ ذكر سيرة حياتهم بإيجابيّاتها وسلبيّاتها لا يُعدّ انتقاصاً لهم،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 هو الشتم والنيل من كرامة الرجل وعرضه، ولا شكّ أنّ سبّ المؤمن فسوق، وأمّا نقد حياة الصحابة بذكر إيجابيّاتهم وسلبيّاتهم لا يُعدّ سبّاً وإنّما هو نقد لسيرتهم إن خيراً فخير وإن شراً فشر، بل يشهد الحديث الصحيح على أمر فوق الحوار وهو أنّ الصحابي كان يتعرّض للسب؛ ففي صحيح مسلم عن عامر بن سعد ابن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و سلم فلن أسبّه، لأن تكون لي واحدة</w:t>
      </w:r>
    </w:p>
    <w:p>
      <w:pPr>
        <w:pStyle w:val="BookText"/>
        <w:rPr/>
      </w:pPr>
      <w:r>
        <w:rPr>
          <w:rFonts w:ascii="Amiri" w:hAnsi="Amiri" w:eastAsia="Amiri" w:cs="Amiri"/>
          <w:color w:val="111111"/>
          <w:sz w:val="28"/>
          <w:sz w:val="28"/>
          <w:szCs w:val="28"/>
          <w:rtl w:val="true"/>
          <w:lang w:bidi="ar-SA"/>
        </w:rPr>
        <w:t>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فضائل ثلاثة للإمام علي عليه السلام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إعطاؤه الراية يوم خيبر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خلطوا بين السبّ والنقد، والشيعة برآء من السبّ‌، فهم يرون أنّ السبّ فسق حسب قول النبيّ صلى الله عليه و آله و سلم وهو عمل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النقد أي دراسة سلوك الصحابي خلال حياته من قوة وضعف، فهو سيرة القرآن الكريم حيث يذكر حسنات الصحابة وسيئاتهم، وصالح أعمالهم وطالحها، وقد تطرق القرآن الكريم إلى ذكر أعمالهم الإيجابية، كما وذكر السلبيّة منها، وهذا واضح لمن قرأ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الدكتور مدح الصحابة على وجه يظهر منه أنّ الزمان لا يمكنه أن يأتي بمثلهم إلى يوم القيامة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كلامه هذا على خلاف ما ورد في القرآن الكريم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القرآن الكريم بإمكان ارتداد الصحابة بعد رحيل رسول اللّه صلى الله عليه و آله و سلم، وذلك لمّا انهزم من انهزم من المسلمين يوم أُحد وقتل من 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الشيطان على أنّ محمّداً صلى الله عليه و آله و سلم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قلوب كثير من الناس واعتقدوا أنّ رسول اللّه صلى الله عليه و آله و سلم قد قتل وجوّزوا عليه ذلك، فحصل ضعف ووهن وتأخّر عن القتال، روى ابن نجيح عن أبيه أنّ رجلاً من المهاجرين مرّ على رجل من الأنصار وهو يتشحط في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أشعرت أنّ محمداً صلى الله عليه و آله و سلم قُتل‌؟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قد قتل فقد بلّغ، فقاتلوا عن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أُحد مقدّمة وإرهاصاً بين يدي محمد صلى الله عليه و آله و سلم، ونبّأهم ووبّخهم على انقلابهم على أعقابهم إن مات رسول اللّه أو قتل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القرآن الكريم عن أنّه إن ارتدّ من الصحابة أحدٌ أو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 يُجاهِدُونَ فِي سَبِيلِ اللّهِ وَ 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المستقبل لم يكن عقيماً عن أن يأتي بمن هو أفضل من بعض الصحابة، واللّه سبحانه هو الفيّاض المطلق ليس لفيضه حدّ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 يَسْتَبْدِلْ قَوْماً غَيْرَكُمْ وَ لا تَضُرُّوهُ شَيْئاً وَ اللّهُ عَلى كُلِّ شَيْ‌ءٍ قَدِيرٌ</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قال ابن عاشور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جرينا على ما عزاه ابن عطية إلى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آية نزلت من سورة براءة كانت الآية عتاباً على تكاسل وتثاقل ظهرا على بعض الناس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للمستقبل، على ما هو الغالب فيها، وكان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تحذيراً من ترك الخروج إلى غزوة تبوك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وقال 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يَسْتَبْدِلْ قَوْماً غَيْرَكُمْ‌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لنصرة نبيّه وإقامة دينه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تَضُرُّوهُ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ولا تضرّوا اللّه شيئاً بتولّيكم عن الجهاد ونكولكم وتثاقلكم عنه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الكلام هنا بكلمة نقلها الدكتور أحمد 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لبعض الزيدية،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رأينا الصحابة أنفسهم ينقد بعضهم بعضاً، بل يلعن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الصحابة عند نفسها بالمنزلة الّتي لا يصحّ فيها نقد ولا لعن لعلمت ذلك من حال نفسها، لأنّهم أعرف بمحلّهم من عوامّ أهل دهرنا، وهذا طلحة والزبير وعائشة ومَن كان معهم وفي جانبهم، لم يروا أن يمسكوا عن علي، وهذا معاوية وعمرو بن العاص لم يقصرا دون ضربه وضرب</w:t>
      </w:r>
      <w:bookmarkStart w:id="64" w:name="pg16780_176899"/>
    </w:p>
    <w:p>
      <w:pPr>
        <w:pStyle w:val="BookText"/>
        <w:rPr/>
      </w:pPr>
      <w:bookmarkEnd w:id="64"/>
      <w:r>
        <w:rPr>
          <w:rFonts w:ascii="Amiri" w:hAnsi="Amiri" w:eastAsia="Amiri" w:cs="Amiri"/>
          <w:color w:val="111111"/>
          <w:sz w:val="28"/>
          <w:sz w:val="28"/>
          <w:szCs w:val="28"/>
          <w:rtl w:val="true"/>
          <w:lang w:bidi="ar-SA"/>
        </w:rPr>
        <w:t>أصحابه بالسيف، وكالذي روي عن عمر من أنّه طعن في رواية أبي هريرة وشتم خالد بن الوليد وحكم بفسقه، وخوّن عمرو بن العاص ومعاوية ونسبهما إلى سرقة مال الفيء واقتطاعه، وقلّ أن يكون في الصحابة من سلم من لسانه أو يده، إلى كثير من أمثال ذلك ممّا رواه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التابعون يسلكون بالصحابة هذا المسلك ويقولون في العصاة منهم هذا القول، وإنّما اتّخذهم العامّة أرباباً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قوم من الناس، لهم ماللناس وعليهم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ذممناه، ومن أحسن منهم حمدناه، وليس لهم على غيرهم كبير فضل إلّا بمشاهدة الرسول ومعاصرته لا غير، بل ربّما كانت ذنوبهم أفحش من ذنوب غيرهم، لأنّهم شاهدوا الأعلام والمعجزات، فمعاصينا أخفّ لأنّنا أعذر</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65" w:name="__RefHeading___Toc7189501_73709187"/>
      <w:bookmarkStart w:id="66" w:name="_Toc24"/>
      <w:bookmarkEnd w:id="65"/>
      <w:r>
        <w:rPr>
          <w:rtl w:val="true"/>
        </w:rPr>
        <w:t>الحلقة الثامنة</w:t>
      </w:r>
      <w:r>
        <w:rPr>
          <w:rtl w:val="true"/>
        </w:rPr>
        <w:t xml:space="preserve">: </w:t>
      </w:r>
      <w:r>
        <w:rPr>
          <w:rtl w:val="true"/>
        </w:rPr>
        <w:t xml:space="preserve">اليوم الثامن من شهر رمضان </w:t>
      </w:r>
      <w:r>
        <w:rPr/>
        <w:t>1436</w:t>
      </w:r>
      <w:r>
        <w:rPr>
          <w:rtl w:val="true"/>
        </w:rPr>
        <w:t xml:space="preserve"> </w:t>
      </w:r>
      <w:r>
        <w:rPr>
          <w:rtl w:val="true"/>
        </w:rPr>
        <w:t>ه‍</w:t>
      </w:r>
      <w:bookmarkEnd w:id="66"/>
    </w:p>
    <w:p>
      <w:pPr>
        <w:pStyle w:val="Heading5"/>
        <w:numPr>
          <w:ilvl w:val="4"/>
          <w:numId w:val="1"/>
        </w:numPr>
        <w:rPr/>
      </w:pPr>
      <w:bookmarkStart w:id="67" w:name="__RefHeading___Toc7189503_73709187"/>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قال الدكتور أحمد الطيب شيخ 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هي عدم القدرة على الوقوع في الذنب، والمعصوم هو الّذي إذا أراد أن يقع في الذنب منعه اللّه تعالى عن الوقوع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العدالة فالملكة الراسخة في نفسه هي الّتي تمنع الشخص من الوقوع في الذنب، لكن في العصمة لا يقع المعصوم في الذنب لا لكونه لديه هذه الملكة فقط؛ بل اللّه سبحانه وتعالى تولّى حفظه من مواقعة الذنوب الظاهرة والباطنة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مثل بمثال سيدنا يوسف عليه السلام ممّا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w:t>
      </w:r>
      <w:bookmarkStart w:id="69" w:name="pg16780_176900"/>
    </w:p>
    <w:p>
      <w:pPr>
        <w:pStyle w:val="BookText"/>
        <w:rPr/>
      </w:pPr>
      <w:bookmarkEnd w:id="69"/>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همّ يوسف همّ خطرات وحديث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رَأى بُرْهانَ رَبِّهِ‌</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واستطرد الدكتور في ذكر الفرق بين وقوع الذنب أحياناً من الصحابي وعدم وقوعه من جانب النبيّ المعصوم،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الموانع الّتي تمنع الصحابي كوابح داخلية إنسانية بشرية، يمكن أن تتخلّف، لكن الكوابح الّتي في المعصوم كوابح إلهية تمنع المعصوم من الوقوع في الذنب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الدكتور أنّه من هنا صحّ وقوع الصحابي في الذنب دون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اختتم حديثه بأنّ الشيعة يمدّون العصمة إلى اثني عشر إماماً بدءاً من الإمام علي ومروراً بالإمامين الحسن والحسين ووصولاً إلى الإمام الثاني عشر الّذين يقولون أنّه في دور الغيبة، وهذا ما لا يقول به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كلامه حفظه اللّه ملاحظات</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189505_73709187"/>
      <w:bookmarkStart w:id="71" w:name="_Toc26"/>
      <w:bookmarkEnd w:id="70"/>
      <w:r>
        <w:rPr>
          <w:rtl w:val="true"/>
        </w:rPr>
        <w:t>الأُولى</w:t>
      </w:r>
      <w:r>
        <w:rPr>
          <w:rtl w:val="true"/>
        </w:rPr>
        <w:t xml:space="preserve">: </w:t>
      </w:r>
      <w:r>
        <w:rPr>
          <w:rtl w:val="true"/>
        </w:rPr>
        <w:t>تعريف العصمة</w:t>
      </w:r>
      <w:bookmarkEnd w:id="71"/>
    </w:p>
    <w:p>
      <w:pPr>
        <w:pStyle w:val="BookText"/>
        <w:rPr/>
      </w:pPr>
      <w:r>
        <w:rPr>
          <w:rFonts w:ascii="Amiri" w:hAnsi="Amiri" w:eastAsia="Amiri" w:cs="Amiri"/>
          <w:color w:val="111111"/>
          <w:sz w:val="28"/>
          <w:sz w:val="28"/>
          <w:szCs w:val="28"/>
          <w:rtl w:val="true"/>
          <w:lang w:bidi="ar-SA"/>
        </w:rPr>
        <w:t>عرّف الدكتور العصمة بعدم القدرة على الوقوع في الذنب، وعلّله بوجود كوابح إلهية تمنع المعصوم من الوقوع في الذنب مطلقاً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مفخرة يتحلّى بها الأنبياء والمعصومون، فلو كانوا معها غير قادرين على المعصية ومخالفة التكليف، فلا يُعدّ ذلك مفخرة لعدم قدرتهم على المعصية إذا أرادوها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لو افتخر عنين بعدم اقتراف الفحشاء فلا يُعدّ ذلك فخراً له، إنّما الفخر ليوسف عليه السلام الّذي كان يتمتّع بالغريزة الكاملة ورغم كلّ ذلك فقد استعصم، وبذلك اعترفت امرأة العزيز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w:t>
      </w:r>
      <w:bookmarkStart w:id="72" w:name="pg16780_176901"/>
    </w:p>
    <w:p>
      <w:pPr>
        <w:pStyle w:val="BookText"/>
        <w:rPr/>
      </w:pPr>
      <w:bookmarkEnd w:id="72"/>
      <w:r>
        <w:rPr>
          <w:rFonts w:ascii="Amiri" w:hAnsi="Amiri" w:eastAsia="Amiri" w:cs="Amiri"/>
          <w:color w:val="111111"/>
          <w:sz w:val="28"/>
          <w:sz w:val="28"/>
          <w:szCs w:val="28"/>
          <w:rtl w:val="true"/>
          <w:lang w:bidi="ar-SA"/>
        </w:rPr>
        <w:t>راوَدْتُهُ عَنْ نَفْسِهِ فَاسْتَعْصَمَ‌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الامتناع عن الذنب يتمّ برادع خارجي يوكّل بالإنسان ويمنعه عنه، فلا فضيلة في ذلك، إذ المسألة تشبه أن يقوم شخص بالسرقة ويمتنع آخر عنها؛ لأنّ معه دائماً شرطياً يتابعه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الثاني سارق كالأوّل ولكن مع فارق فالأوّل يسرق، لا يحول دونه شرطي، والثاني سارق ولكن الشرطي يحول دون ممارسته للسرقة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وعلى ذلك فالتفريق بين المعصوم والعادل بالعجز عن المعصية في الأوّل والقدرة عليها عند الثاني، غير صحيح</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189507_73709187"/>
      <w:bookmarkStart w:id="74" w:name="_Toc27"/>
      <w:bookmarkEnd w:id="73"/>
      <w:r>
        <w:rPr>
          <w:rtl w:val="true"/>
        </w:rPr>
        <w:t>حقيقة العصمة</w:t>
      </w:r>
      <w:bookmarkEnd w:id="74"/>
    </w:p>
    <w:p>
      <w:pPr>
        <w:pStyle w:val="BookText"/>
        <w:rPr/>
      </w:pPr>
      <w:r>
        <w:rPr>
          <w:rFonts w:ascii="Amiri" w:hAnsi="Amiri" w:eastAsia="Amiri" w:cs="Amiri"/>
          <w:color w:val="111111"/>
          <w:sz w:val="28"/>
          <w:sz w:val="28"/>
          <w:szCs w:val="28"/>
          <w:rtl w:val="true"/>
          <w:lang w:bidi="ar-SA"/>
        </w:rPr>
        <w:t>والصحيح أنّ العصمة هي نتيجة العلم القطعي بعواقب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العلم القطعي بعواقب الأعمال الخطيرة، يخلق في نفس الإنسان وازعاً قوياً يصدُّه عن ارتكابها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وأمثاله في الحياة كثيرة؛ فلو وقف أحدنا على أنّ في الإسلاك الكهربائية طاقة من شأنها أن تقتل مَن يمسّها من دون عائق، فإنّه يحجم من تلقاء نفسه عن مسّ تلك الأسلاك والإقتراب منها؛ ونظير ذلك، الطبيب العارف بعواقب الأمراض وآثار الجراثيم، فإنّه إذا صادف ماءً اغتسل فيه مصاب بالجُذام أو البَرَص، أو إناءً شرب منه مصابٌ بالسِّلِّ‌، لا يقدم على الإغتسال فيه أو شربه، مهما اشتدّت حاجته إليه، لعلمه بما يَجُرّ عليه الشرب والإغتسال بذاك الماء الموبوء،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سائر العواقب الخطيرة، وإن كانت من</w:t>
      </w:r>
    </w:p>
    <w:p>
      <w:pPr>
        <w:pStyle w:val="BookText"/>
        <w:rPr/>
      </w:pPr>
      <w:r>
        <w:rPr>
          <w:rFonts w:ascii="Amiri" w:hAnsi="Amiri" w:eastAsia="Amiri" w:cs="Amiri"/>
          <w:color w:val="111111"/>
          <w:sz w:val="28"/>
          <w:sz w:val="28"/>
          <w:szCs w:val="28"/>
          <w:rtl w:val="true"/>
          <w:lang w:bidi="ar-SA"/>
        </w:rPr>
        <w:t>قبيل السقوط في أعين الناس، وفقدان الكرامة وإراقة ماء الوجه بحيث لا ترغد الحياة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العلم القطعي بالعواقب الدنيوية لبعض الأفعال يوجد تلك المصونية عن الإرتكاب، في نفس العالم، فكيف بالعلم القطعي بالعواقبِ الأُخرويِة للمعاصي ورذائل الأفعال، علماً لا يداخله ريبٌ ولا يعتريه شكٌ‌، علماً تسقط دونه الحُجُب فيرى صاحبُه رَأي العينِ‌، ويَلْمِسُ لَمسَ الحِسِّ‌، تَبِعاتِ المعاصي ولوازِمَها وآثارَها في النشأة الأُخرى، ذَاك العلم الّذي قال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فمِثْلُ هذا العِلم يخلُق من صاحبه إنساناً مثالياً، لا يخالفَ قول ربه قيد أنملة، ولا يتعدّى الحدود الّتي رسمها له في حياته قدر شعرة، ولن تنتفي المعصية من حياته فحسب، بل إنّ مجرّد التفكير فيها، لن يجد سبيله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يفيد أنّ للعلم مرحلة قوية، راسخة، تُغَلِّب الإنسان على الشهوات وتَصُدُّه عن فعل 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هذا البيان في كلمات جمال الدين الفاضل مقداد بن عبد اللّه السُيوري الحلِّي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ملكة نفسانية تمنع المتّصف بها من الفجور مع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وتتوقّف هذه الملكة على العلم بمثالب المعاصي ومناقب الطاعات؛ لأنّ العفة متى حصلت في جوهر النفس وانضاف إليها العلم التام بما في المعصية من الشقاء وفي الطاعة من السعادة، صار ذلك العلم موجباً لرسوخها في النفس، فتصير ملكة</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المُدَّعى أنّ كلّ علم بعواقب الأفعال يصد الإنسان عن ارتكابها،</w:t>
      </w:r>
    </w:p>
    <w:p>
      <w:pPr>
        <w:pStyle w:val="BookText"/>
        <w:rPr/>
      </w:pPr>
      <w:r>
        <w:rPr>
          <w:rFonts w:ascii="Amiri" w:hAnsi="Amiri" w:eastAsia="Amiri" w:cs="Amiri"/>
          <w:color w:val="111111"/>
          <w:sz w:val="28"/>
          <w:sz w:val="28"/>
          <w:szCs w:val="28"/>
          <w:rtl w:val="true"/>
          <w:lang w:bidi="ar-SA"/>
        </w:rPr>
        <w:t>وأنّ العلم بمجرّده يورث العصمة، فإنّ ذلك باطل بلا ريب، لأنّا نرى الكثيرين من ذوي العلوم بمَضرَاتِ المُخَدِّرات والمُسكرات والأعمال الشنيعة لا يتورّعون عن ارتكابها، استسهالاً للذم في مقابل قضاء وَطَرهم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العلم بعواقب المعاصي من قبيل ما نتعارفه من أقسام الشعور والإدراك العادي، لتسرّب إليه التخلّف، لكنّ سنخ العلم الّذي يصيِّر الإنسان معصوماً، ليس من سنخ هذه العلوم والإدراكات المتعارفة، بل علمٌ خاصٌ فوقها، ربما يعبّر عنه بشهود العواقب وانكشافها كشفاً تامّاً لا يبقى معه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ذكرناه يرجع إلى العصمة بأحد معانيها، وهو المصونية عن المعصيّة والتمرّد على أوامر المولى، وأمّا العصمة في مقام تلقّي الوحي أوّلاً، والتحفّظ عليها ثانياً، وإبلاغه إلى الناس ثالثاً، والعصمة عن الخطأ في الأُمور الفردية والاجتماعية فلابدّ لها من عامل آخر، نتعرض له في الأبحاث الآتية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صحّ وقوع الصحابي في الذنب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 تفرّد في هذا الرأي حيث إنّه يصرّح بأنّه قد صدر من الصحابة الذنب الكبير، إلّاأنّ غيره من علماء السنّة يتعاملون مع الصحابة معاملة المعصوم حيث إنّهم يتحاشون عن نسبة الذنب إليهم، وكلّما يورد عليهم بصدور الذنب عن الصحابي،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اجتهد، والمجتهد مأجور فإن كان مصيباً فله أجران وإن كان مخطئاً فله أجر واحد؛ وبالتالي صار مقترف الذنب ذا أجر، وليس هذا إلّاالمغالاة في حقّ الصحابة</w:t>
      </w:r>
      <w:r>
        <w:rPr>
          <w:rFonts w:eastAsia="Amiri" w:cs="Amiri" w:ascii="Amiri" w:hAnsi="Amiri"/>
          <w:color w:val="111111"/>
          <w:sz w:val="28"/>
          <w:szCs w:val="28"/>
          <w:rtl w:val="true"/>
          <w:lang w:bidi="ar-SA"/>
        </w:rPr>
        <w:t>!!</w:t>
      </w:r>
      <w:bookmarkStart w:id="75" w:name="pg16780_176904"/>
    </w:p>
    <w:p>
      <w:pPr>
        <w:pStyle w:val="Heading4"/>
        <w:numPr>
          <w:ilvl w:val="3"/>
          <w:numId w:val="1"/>
        </w:numPr>
        <w:rPr/>
      </w:pPr>
      <w:bookmarkStart w:id="76" w:name="__RefHeading___Toc7189509_73709187"/>
      <w:bookmarkStart w:id="77" w:name="_Toc28"/>
      <w:bookmarkEnd w:id="75"/>
      <w:bookmarkEnd w:id="76"/>
      <w:r>
        <w:rPr>
          <w:rtl w:val="true"/>
        </w:rPr>
        <w:t>الحلقة التاسعة</w:t>
      </w:r>
      <w:r>
        <w:rPr>
          <w:rtl w:val="true"/>
        </w:rPr>
        <w:t xml:space="preserve">: </w:t>
      </w:r>
      <w:r>
        <w:rPr>
          <w:rtl w:val="true"/>
        </w:rPr>
        <w:t xml:space="preserve">اليوم التاسع من شهر رمضان </w:t>
      </w:r>
      <w:r>
        <w:rPr/>
        <w:t>1436</w:t>
      </w:r>
      <w:r>
        <w:rPr>
          <w:rtl w:val="true"/>
        </w:rPr>
        <w:t xml:space="preserve"> </w:t>
      </w:r>
      <w:r>
        <w:rPr>
          <w:rtl w:val="true"/>
        </w:rPr>
        <w:t>ه‍</w:t>
      </w:r>
      <w:bookmarkEnd w:id="77"/>
    </w:p>
    <w:p>
      <w:pPr>
        <w:pStyle w:val="Heading5"/>
        <w:numPr>
          <w:ilvl w:val="4"/>
          <w:numId w:val="1"/>
        </w:numPr>
        <w:rPr/>
      </w:pPr>
      <w:bookmarkStart w:id="78" w:name="__RefHeading___Toc7189511_73709187"/>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قال الدكتور أحمد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ملكة بشرية تحول دون وقوع العدل في المعاصي، ولكن يجوز معها أن تتغلب النوازع ويقع في الذنب، أمّا العصمة فتعني استحالة الوقوع في الذنب بسبب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للرسل والأنبياء بواطنهم وظواهرهم من التلبّس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حفظه اللّه استرسل في الكلام حول عصمة الأنبياء بوجه جيد لا خلاف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العدالة عند أهل السنّة هي العدالة الّتي يجوز معها الوقوع في الخطأ، وهذا المفهوم ينطبق على الصحابة رضي اللّه عنهم، ولكن الشيعة لمّا توسعوا في مفهوم العصمة اضطروا لفتح باب الوحي للأئمة من بعد الأنبياء،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للأنبياء فقط، والوحي قد انقطع بوفاة النبيّ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189513_73709187"/>
      <w:bookmarkStart w:id="81" w:name="_Toc30"/>
      <w:bookmarkEnd w:id="80"/>
      <w:r>
        <w:rPr>
          <w:rtl w:val="true"/>
        </w:rPr>
        <w:t>أقول</w:t>
      </w:r>
      <w:r>
        <w:rPr>
          <w:rtl w:val="true"/>
        </w:rPr>
        <w:t xml:space="preserve">: </w:t>
      </w:r>
      <w:r>
        <w:rPr>
          <w:rtl w:val="true"/>
        </w:rPr>
        <w:t>وعلى كلامه حفظه اللّه ملاحظات</w:t>
      </w:r>
      <w:r>
        <w:rPr>
          <w:rtl w:val="true"/>
        </w:rPr>
        <w:t>:</w:t>
      </w:r>
      <w:bookmarkEnd w:id="8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العصمة لا تلازم استحالة الوقوع في الذنب، وإلّا لم تكن فخراً لواحد من الأنبياء، وقد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يجوز معها أن تتغّلب النوازع ويقع في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هي الّتي يجوز معها الوقوع في الخطأ</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التعريف الثاني لا صلة له بالعدالة، ولا منافاة بين الخطأ</w:t>
      </w:r>
    </w:p>
    <w:p>
      <w:pPr>
        <w:pStyle w:val="BookText"/>
        <w:rPr/>
      </w:pPr>
      <w:r>
        <w:rPr>
          <w:rFonts w:ascii="Amiri" w:hAnsi="Amiri" w:eastAsia="Amiri" w:cs="Amiri"/>
          <w:color w:val="111111"/>
          <w:sz w:val="28"/>
          <w:sz w:val="28"/>
          <w:szCs w:val="28"/>
          <w:rtl w:val="true"/>
          <w:lang w:bidi="ar-SA"/>
        </w:rPr>
        <w:t>والعدالة، بخلاف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نسبه إلى الشيعة من أنّهم لمّا توسّعوا في مفهوم العصمة اضطروا لفتح باب الوحي للأئمة من بعد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الإسلامية سنّة وشيعة قالوا بغلق باب الوحي بعد رحيل النبيّ صلى الله عليه و آله و سلم وهذا هو إمام الأُمّة يقول عند تجهيز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وَالْإِنْبَاءِ وَأَخْبَارِ السَّمَاءِ‌</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وعلى ذلك كيف يمكن للشيعة بأن يقولوا بأنّ الأئمة يوحى إليهم، غير أنّ الأُستاذ في قضائه هذا لم يفرّق بين الوحي والتحديث، فإنّ أئمة أهل البيت عليهم السلام محدَّثون، لا موحى إليهم، وقد عقد البخاري باباً في التحديث، وسيوافيك ما أورده فيه، بعد تعريف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فالمحدّث هو مَن تكلّمه الملائكة بلا نبوّة ولا رؤية صورة، أو يُلهم ويُلقى في روعه شيء من العلم على وجه الإلهام والمكاشفة من المبدأ الأعلى، أو ينكت له في قلبه من حقائق تخفى على غيره، أو غير ذلك من المعاني الّتي يمكن أن يراد منه، فوجود مَن هذا شأنه من رجالات هذه الأُمّة متّفق عليه بين فرق الإسلام، بيد أنّ الخلاف في تشخيصه، فالشيعة ترى أنّ عليّاً أمير المؤمنين وأولاده الأئمة عليهم السلام من المحدّثين، وأهل السنّة يرون أن منهم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في صحيحه في باب مناقب عمر بن الخطاب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لقد كان فيمَن كان قبلكم من بني إسرائيل رجال يُكلَّمون من غير أن يكونوا أنبياء، فإن يكن من أُمّتي منهم أحدٌ فعمر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فيما قبلكم من الأُمم محدَّثون فإن يكن في أُمّتي أحد فإنّه عمر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في باب فضائل عمر عن عائشة عن النبيّ صلى الله عليه و آله و سلم 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ابن 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جمع محدّث واختلف في تأويله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 قاله الأكثر،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بالفتح هو الرجل الصادق الظن وهو من أُلقي في روعه شيء من قبل الملأ الأعلى فيكون كالذي حدّثه غيره به، وبهذا جزم أبو أحمد العسكري،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يجري الصواب على لسانه من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 أي تكلّمه الملائكة بغير نبوّة، وهذا ورد من حديث أبي سعيد الخدري مرفوعاً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الملائكة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القابسي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ثبت في الرواية المعلقة، ويحتمل ردّه إلى المعنى الأوّل أي تكلّمه في نفسه وإن لم ير مكلّماً في الحقيقة فيرجع إلى الإلهام</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ولأعلام القوم حول المحدَّث والروايات الواردة في حقّه كلمات وافية تعرب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الفرق بين المحدَّث والنبي، وأنّه ليس كلّ مَن يُنكَت في أُذنه أو يُلقى في قلبه نبيّاً، واختلاف الشيعة مع السنّة إنّما هو في المصاديق فالشيعة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عليّاً أمير المؤمنين وأولاده الأئمة من</w:t>
      </w:r>
    </w:p>
    <w:p>
      <w:pPr>
        <w:pStyle w:val="BookText"/>
        <w:rPr/>
      </w:pPr>
      <w:r>
        <w:rPr>
          <w:rFonts w:ascii="Amiri" w:hAnsi="Amiri" w:eastAsia="Amiri" w:cs="Amiri"/>
          <w:color w:val="111111"/>
          <w:sz w:val="28"/>
          <w:sz w:val="28"/>
          <w:szCs w:val="28"/>
          <w:rtl w:val="true"/>
          <w:lang w:bidi="ar-SA"/>
        </w:rPr>
        <w:t>المحدَّثين وأهل السنّة يرون أنّ منهم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الدكتور أشار في محاضرته بأنّ هناك نوعاً آخر من العصمة عند أهل السنّة لابدّ من توضيحه بهذه المناسبة، وهو أنّ العصمة تكون لمجموع الأُمّة وليست لأفرادها، وهناك فرق بين المجموع وبين الأفراد، فلو أجمع علماء المسلمين على أمر وتلقّاه المسلمون بالقبول الحسن، فإنّ هذا الأمر يصير حقّاً، فإنّ الأُمّة معصومة في هذه الأحكام، وهي واجبة الاتّباع، بل هي حجج تشريعية بعد نصوص القرآن الكريم،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يقولون إنّ إجماع الأُمّة لو كان بينهم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هذا الإجماع معصوماً بعصمة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بينهم إمام معصوم فإجماع الأُمّة حينئذٍ 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مراتب التوحيد، التوحيد في التشريع بأنّه لا مشرّع إلّا اللّه، وليس لأحد حقّ التشريع والتقنين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فمصدر التشريع هو الكتاب والسنّة فقط، وأمّا الاحتجاج بالعقل، فلأجل أنّ إدراكه كاشف عن الحكم الشرعي، فليس له حقّ التشريع، وإنّما يتمتّع بالكشف عمّا هو الحكم عند الشارع على وجه بيّنه الأُصوليون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إجماع الأُمّة فلم يدلّ دليل صحيح على أنّ إجماعهم على حكم إذا كان معه دليل ظنّي يرتفع الحكم مع الإجماع إلى حكم قطعي واقعي ويكون</w:t>
      </w:r>
    </w:p>
    <w:p>
      <w:pPr>
        <w:pStyle w:val="BookText"/>
        <w:rPr/>
      </w:pPr>
      <w:r>
        <w:rPr>
          <w:rFonts w:ascii="Amiri" w:hAnsi="Amiri" w:eastAsia="Amiri" w:cs="Amiri"/>
          <w:color w:val="111111"/>
          <w:sz w:val="28"/>
          <w:sz w:val="28"/>
          <w:szCs w:val="28"/>
          <w:rtl w:val="true"/>
          <w:lang w:bidi="ar-SA"/>
        </w:rPr>
        <w:t>كسائر ما دلّ عليه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معنى هذا أنّ الإجماع من مصادر التشريع، وقد عرفت أنّ مقتضى القول بالتوحيد في التشريع انحصار التشريع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فلا يرون الإجماع من أدوات التشريع، بل أنّه كاشف عن الحكم الشرعي فلو كان الإمام المعصوم بينهم فإجماعهم يكشف عن موافقة الإمام لهم، فيكون أيضاً كاشفاً عن الحكم الشرعي، وأمّا في غير هذه الصورة فالشيعة تقول بحجّية الإجماع بطرق مختلفة مذكورة في الكتب الأُصولية أوضحها أنّها تكشف عن وجود دليل شرعي بين المجمعين، وصل إليهم ولم يصل إلينا، وعلى ذلك يصير النزاع في حجّية الإجماع نزاعاً لفظياً لا ثمرة له فهو حجّة في كلتا الحالتين، سواء أكان الإجماع من أدوات التشريع كما هو رأي أهل السنّة، أو كاشفاً قطعياً عن الحكم الشرعي أو الدليل الشرعي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نقترح على شيخ الأزهر بأن يسمح بدراسة الفقه الإمامي في الأزهر الشريف حتّى يتبيّن أنّ الفوارق أقل ممّا يُتصور، وأنّه ما من مسألة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موافق من فقهاء السنّة قديمهم أو حديثهم، ويكفي في ذلك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رحمه الله، وقد سمعت بأُذني من الفقيه المعاصر الدكتور وهبة الزحيلي عندما حلّ علينا ضيفاً في قم المقدّسة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الاختلاف بين فقهاء السنّة أكثر من الاختلاف بين السنّة والشيعة، أنار اللّه برهانه</w:t>
      </w:r>
      <w:r>
        <w:rPr>
          <w:rFonts w:eastAsia="Amiri" w:cs="Amiri" w:ascii="Amiri" w:hAnsi="Amiri"/>
          <w:color w:val="111111"/>
          <w:sz w:val="28"/>
          <w:szCs w:val="28"/>
          <w:rtl w:val="true"/>
          <w:lang w:bidi="ar-SA"/>
        </w:rPr>
        <w:t>.</w:t>
      </w:r>
      <w:bookmarkStart w:id="82" w:name="pg16780_176909"/>
    </w:p>
    <w:p>
      <w:pPr>
        <w:pStyle w:val="Heading4"/>
        <w:numPr>
          <w:ilvl w:val="3"/>
          <w:numId w:val="1"/>
        </w:numPr>
        <w:rPr/>
      </w:pPr>
      <w:bookmarkStart w:id="83" w:name="__RefHeading___Toc7189515_73709187"/>
      <w:bookmarkStart w:id="84" w:name="_Toc31"/>
      <w:bookmarkEnd w:id="82"/>
      <w:bookmarkEnd w:id="83"/>
      <w:r>
        <w:rPr>
          <w:rtl w:val="true"/>
        </w:rPr>
        <w:t>الحلقة العاشرة</w:t>
      </w:r>
      <w:r>
        <w:rPr>
          <w:rtl w:val="true"/>
        </w:rPr>
        <w:t xml:space="preserve">: </w:t>
      </w:r>
      <w:r>
        <w:rPr>
          <w:rtl w:val="true"/>
        </w:rPr>
        <w:t xml:space="preserve">اليوم العاشر من شهر رمضان </w:t>
      </w:r>
      <w:r>
        <w:rPr/>
        <w:t>1436</w:t>
      </w:r>
      <w:r>
        <w:rPr>
          <w:rtl w:val="true"/>
        </w:rPr>
        <w:t xml:space="preserve"> </w:t>
      </w:r>
      <w:r>
        <w:rPr>
          <w:rtl w:val="true"/>
        </w:rPr>
        <w:t>ه‍</w:t>
      </w:r>
      <w:bookmarkEnd w:id="84"/>
    </w:p>
    <w:p>
      <w:pPr>
        <w:pStyle w:val="BookText"/>
        <w:rPr/>
      </w:pPr>
      <w:r>
        <w:rPr>
          <w:rFonts w:ascii="Amiri" w:hAnsi="Amiri" w:eastAsia="Amiri" w:cs="Amiri"/>
          <w:color w:val="111111"/>
          <w:sz w:val="28"/>
          <w:sz w:val="28"/>
          <w:szCs w:val="28"/>
          <w:rtl w:val="true"/>
          <w:lang w:bidi="ar-SA"/>
        </w:rPr>
        <w:t>قال الدكتور أحمد الطيب في هذه المحاضرة بعد بيان الفرق بين العصمة في الأنبياء والعدالة في الصحابة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العدالة ليست عصمة إلهية، ولذا قد تضعف العدالة عند الصحابي وتتغلّب عليه نوازع النفس ويقع في الإثم وسرعان ما يتوب إلى اللّه، لكنّها حالات محدودة، فمن الصحابة مَن اقترف بعض الآثام، وكان يعترف بإثمه، ويذهب للنبي صلى الله عليه و آله و سلم يطلب منه أن يطهره بإقامة الحدّ، والتاريخ يقصّ علينا أنّ بعض الصحابة قد دخلوا فيما يُسمّى بالفتنة الكبرى وهو الاقتتال الّذي حدث فقتل سيدنا عثمان، وفي عهد سيدنا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ما دخلوا فيه إلّامجتهدين ومتأوّلين، فكلّ كان يعتقد أنّه يقاتل في سبيل الحقّ ومن أجل مصلحة المسلمين، ومعلوم أنّ المجتهد إذا اصاب 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الاجتهاد وأجر إصابة الحقّ‌، وأنّ المجتهد المخطئ له أجر واحد، وهو أجر الاجتهاد، وبالتالي فإنّ المسألة هنا لا تجرّم الصحابي الّذي ذهب وانضمّ للجيش المطالب بدم عثمان، ولا تجرّم الصحابي الّذي انظم لجيش علي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رضينا بقول الدكتور بأنّ الصحابة يصدر منهم الذنب الكبير، وقد ذكر مثالاً واحداً وهو الّذي جاء إلى النبيّ صلى الله عليه و آله و سلم طالباً منه أن يطهّره، بإقامة الحدّ، ولكن بيت القصيد الّذي تدور عليه رحى الاختلاف، هم الّذين حاربوا الخليفة الشرعي أعني الإمام عليّاً عليه السلام في الحروب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w:t>
      </w:r>
    </w:p>
    <w:p>
      <w:pPr>
        <w:pStyle w:val="BookText"/>
        <w:rPr/>
      </w:pPr>
      <w:r>
        <w:rPr>
          <w:rFonts w:ascii="Amiri" w:hAnsi="Amiri" w:eastAsia="Amiri" w:cs="Amiri"/>
          <w:color w:val="111111"/>
          <w:sz w:val="28"/>
          <w:sz w:val="28"/>
          <w:szCs w:val="28"/>
          <w:rtl w:val="true"/>
          <w:lang w:bidi="ar-SA"/>
        </w:rPr>
        <w:t xml:space="preserve">والنهروان، والأُستاذ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مجتهدين متأوّلين وأثبت لهم الأجر، ثم إنّه في ختام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شرب الخمر وادّعى الاجتهاد مجتهداً، لأنّه لا اجتهاد ولا تأويل مع النصوص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 أوضح من قول النبيّ صلى الله عليه و آله و سلم لعلي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ستقاتلك الفئة الباغية وأنت على الحقّ‌، فمَن لم ينصرك يومئذٍ فليس منّي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وأي دليل أوضح من قول رسول اللّه صلى الله عليه و آله و 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وقد قتله جيش معاوية الّذين سمّاهم رسول اللّه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عمل الفئة الباغية هذا، اجتهاداً في مقابل النصّ‌، وأيُّ فرق بين تحليل الخمر مع ورود النصّ الروائي على حرمته ومحاربة الإمام الّذي نصّ النبيّ صلى الله عليه و آله و سلم على كون المحارب له باغياً، متجاوزاً عن ميزان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يصحّ بعد ذلك تعديل هؤلاء والحكم بانّهم متأوّلون مثابون‌؟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القضية وخطورة الموقف المترتّب على الحروب الثلاثة تقتضي أن يكون النبيّ الأكرم صلى الله عليه و آله و سلم قد حذّر الجميع منها، ورسم</w:t>
      </w:r>
    </w:p>
    <w:p>
      <w:pPr>
        <w:pStyle w:val="BookText"/>
        <w:rPr/>
      </w:pPr>
      <w:r>
        <w:rPr>
          <w:rFonts w:ascii="Amiri" w:hAnsi="Amiri" w:eastAsia="Amiri" w:cs="Amiri"/>
          <w:color w:val="111111"/>
          <w:sz w:val="28"/>
          <w:sz w:val="28"/>
          <w:szCs w:val="28"/>
          <w:rtl w:val="true"/>
          <w:lang w:bidi="ar-SA"/>
        </w:rPr>
        <w:t>لهم الموقف المناسب الّذي عليهم اتّخاذه عند نشوبها؛ لأنّه صلى الله عليه و آله و سلم حذّر ممّا هو أدنى منها خطورة، فكيف بقضية بحجم تلك الفتنة الّتي كادت أن تعصف بالعالم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تؤيّده الروايات الّتي انتهت إلى كبار الصحابة، وهذه كلمات الصحابة مبثوثة في طيّات الكتب والمعاجم، وهي تعرب عن أنّ رسول اللّه صلى الله عليه و آله و سلم كان يحثّ أصحابه على نصرة أمير المؤمنين عليه السلام في تلك الحروب، ويدعوهم إلى القتال معه، ويأمر عيون أصحابه بقتال الناكثين والقاسطين والمارقين، ونشير هنا إلى نماذج من تلك الروايات الّتي تنتهي إلى كبار الصحابة كأمير المؤمنين علي بن أبي طالب عليه السلام وأبي أيوب الأنصاري، وابن مسعود، وأبي سعيد الخدري، وعمّار بن ياسر، وابن عباس، ممّا يكشف عن مدى اهتمامه بهذه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في المستدرك</w:t>
      </w:r>
      <w:r>
        <w:rPr>
          <w:rStyle w:val="FootnoteAnchor"/>
          <w:rtl w:val="true"/>
        </w:rPr>
        <w:footnoteReference w:id="73"/>
      </w:r>
      <w:r>
        <w:rPr>
          <w:rFonts w:ascii="Amiri" w:hAnsi="Amiri" w:eastAsia="Amiri" w:cs="Amiri"/>
          <w:color w:val="111111"/>
          <w:sz w:val="28"/>
          <w:sz w:val="28"/>
          <w:szCs w:val="28"/>
          <w:rtl w:val="true"/>
          <w:lang w:bidi="ar-SA"/>
        </w:rPr>
        <w:t>والذهبي في تلخيصه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أمر علي بن أبي طالب بقتال الناكثين والقاسطين والمارقين، ورواه أيضاً الكنجي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أيضاً</w:t>
      </w:r>
      <w:r>
        <w:rPr>
          <w:rStyle w:val="FootnoteAnchor"/>
          <w:rtl w:val="true"/>
        </w:rPr>
        <w:footnoteReference w:id="75"/>
      </w:r>
      <w:r>
        <w:rPr>
          <w:rFonts w:ascii="Amiri" w:hAnsi="Amiri" w:eastAsia="Amiri" w:cs="Amiri"/>
          <w:color w:val="111111"/>
          <w:sz w:val="28"/>
          <w:sz w:val="28"/>
          <w:szCs w:val="28"/>
          <w:rtl w:val="true"/>
          <w:lang w:bidi="ar-SA"/>
        </w:rPr>
        <w:t>،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والقاسطين والمارقين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عوتب أبو أيوب الأنصاري على مقاتلة المسلمين احتجّ بأنّه عهد من رسول اللّه صلى الله عليه و آله و سلم، قال أبو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أبو أيوب العراق فأهدت له الأزد جزراً، فبعثوها معي، فدخلت 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قد كرّمك اللّه</w:t>
      </w:r>
    </w:p>
    <w:p>
      <w:pPr>
        <w:pStyle w:val="BookText"/>
        <w:rPr/>
      </w:pPr>
      <w:r>
        <w:rPr>
          <w:rFonts w:ascii="Amiri" w:hAnsi="Amiri" w:eastAsia="Amiri" w:cs="Amiri"/>
          <w:color w:val="111111"/>
          <w:sz w:val="28"/>
          <w:sz w:val="28"/>
          <w:szCs w:val="28"/>
          <w:rtl w:val="true"/>
          <w:lang w:bidi="ar-SA"/>
        </w:rPr>
        <w:t>عزَّ وجلَّ بصحبة نبيّه صلى الله عليه و آله و سلم ونزوله عليك، فمالي أراك تستقبل الناس بسيفك تقاتلهم‌؟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مرّة وهؤلاء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عهد إلينا أن نقاتل مع علي الناكثين فقد قاتلناهم، وعهد إلينا أن نقاتل معه القاسطين، فهذا وجهنا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إلينا أن نقاتل مع علي المارقين، ولم أرهم بعد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وروى علقمة والأسود عن أبي أيوب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الرائد لا يكذب أهله، وإنّ رسول اللّه صلى الله عليه و آله و سلم أمرنا بقتال ثلاثة مع علي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وقال عتاب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الأنصاري في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آله و سلم بقتال الناكثين والقاسطين والمارقين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أصبغ بن نباتة غير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و سلم بقتال الناكثين والقاسطين والمارقين،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بقتال هؤلاء فمع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وعن أبي اليقظان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آله و سلم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وفي لفظه الآخر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أخرجه الطبراني وأبو يعلى، وعنهما الهيثمي</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ومن كلام لعمّار بن ياسر خاطب به أبا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أشهد أنّ رسول اللّه صلى الله عليه و آله و سلم أمر عليّاً بقتال الناكثين، وسمّى لي فيهم من سمّى، وأمره بقتال القاسطين، وان شئت لأقيمنّ لك شهوداً يشهدون أنّ رسول اللّه صلى الله عليه و آله و سلم إنّما نهاك وحدك وحذرك من الدخول في الفتنة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والعجب أنّ الدكتور يساوي بين الجبهتين في أنّ كلاهما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طيّبة أصلها ثابت وفرعها في السماء، وشجرة خبيثة اجتثت من فوق الأرض ما لها من قرار، وما أبعد ما بين الشجرتين، شجرة مباركة زيتونة والشجرة الملعونة في القرآن بتأويل من النبيّ الأعظم، بلا اختلاف بين اثنين في أنّهم هم المراد من الشجرة الملعونة كما ذكر الطبري</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نقل الأُستاذ محمد رشيد رضا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كبار علماء الألمان في الاستانة لبعض المسلمين وفيهم أحد شرفاء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لنا أن نقيم تمثالاً من الذهب لمعاوية بن أبي سفيان في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عاصمتنا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حوّل نظام الحكم الإسلامي من قاعدته الديمقراطية إلى عصبية الغلب، ولولا ذلك لعمّ الإسلام العالم كلّه، ولكنّا نحن الألمان وسائر شعوب أوربا عرباً مسلمين</w:t>
      </w:r>
      <w:r>
        <w:rPr>
          <w:rFonts w:eastAsia="Amiri" w:cs="Amiri" w:ascii="Amiri" w:hAnsi="Amiri"/>
          <w:color w:val="111111"/>
          <w:sz w:val="28"/>
          <w:szCs w:val="28"/>
          <w:rtl w:val="true"/>
          <w:lang w:bidi="ar-SA"/>
        </w:rPr>
        <w:t>.</w:t>
      </w:r>
      <w:r>
        <w:rPr>
          <w:rStyle w:val="FootnoteAnchor"/>
          <w:rtl w:val="true"/>
        </w:rPr>
        <w:footnoteReference w:id="83"/>
      </w:r>
      <w:bookmarkStart w:id="85" w:name="pg16780_176914"/>
    </w:p>
    <w:p>
      <w:pPr>
        <w:pStyle w:val="BookText"/>
        <w:rPr/>
      </w:pPr>
      <w:bookmarkEnd w:id="85"/>
      <w:r>
        <w:rPr>
          <w:rFonts w:ascii="Amiri" w:hAnsi="Amiri" w:eastAsia="Amiri" w:cs="Amiri"/>
          <w:color w:val="111111"/>
          <w:sz w:val="28"/>
          <w:sz w:val="28"/>
          <w:szCs w:val="28"/>
          <w:rtl w:val="true"/>
          <w:lang w:bidi="ar-SA"/>
        </w:rPr>
        <w:t>ومن الجدير بالذكر فإنّ الدكتور قد تطرّق في نهاية كلامه إلى ما ذكرته وكالة أنباء فارس، وأجاب هو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نتدخل في ذلك</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7189517_73709187"/>
      <w:bookmarkStart w:id="87" w:name="_Toc32"/>
      <w:bookmarkEnd w:id="86"/>
      <w:r>
        <w:rPr>
          <w:rtl w:val="true"/>
        </w:rPr>
        <w:t>الحلقة الحادية عشرة</w:t>
      </w:r>
      <w:r>
        <w:rPr>
          <w:rtl w:val="true"/>
        </w:rPr>
        <w:t xml:space="preserve">: </w:t>
      </w:r>
      <w:r>
        <w:rPr>
          <w:rtl w:val="true"/>
        </w:rPr>
        <w:t xml:space="preserve">اليوم الحادي عشر من شهر رمضان </w:t>
      </w:r>
      <w:r>
        <w:rPr/>
        <w:t>1436</w:t>
      </w:r>
      <w:r>
        <w:rPr>
          <w:rtl w:val="true"/>
        </w:rPr>
        <w:t xml:space="preserve"> </w:t>
      </w:r>
      <w:r>
        <w:rPr>
          <w:rtl w:val="true"/>
        </w:rPr>
        <w:t>ه‍</w:t>
      </w:r>
      <w:bookmarkEnd w:id="87"/>
    </w:p>
    <w:p>
      <w:pPr>
        <w:pStyle w:val="BookText"/>
        <w:rPr/>
      </w:pPr>
      <w:r>
        <w:rPr>
          <w:rFonts w:ascii="Amiri" w:hAnsi="Amiri" w:eastAsia="Amiri" w:cs="Amiri"/>
          <w:color w:val="111111"/>
          <w:sz w:val="28"/>
          <w:sz w:val="28"/>
          <w:szCs w:val="28"/>
          <w:rtl w:val="true"/>
          <w:lang w:bidi="ar-SA"/>
        </w:rPr>
        <w:t>ركّز الدكتور أحمد الطيب في حديثه اليومي على عصمة الأُمّة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تفخيم وتعظيم شأن الأُمّة على الرغم من عدم وجود دليل عقلي؛ ذاهب بنا إلى أنّ الأُمّة قد تجتمع على ضلال، وكثير من الأُمم اجتمعت على ضلالات كثيرة في التاريخ، وكان يمكن أن تجتمع الأُمة الإسلامية على ضلال عقلاً ولكن جاء الشرع ليستثني أُمّة المسلمين من الوقوع في الضلال، فعن ابن عمر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يجمع أُمّتي على ضلالة ويد اللّه مع الجماعة، وعن أنس بن مالك أنّ النبيّ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أجار أُمتي أن تجتمع على ضلالة، فاجتماع الأُمّة على أمر يعني أنّها معصومة من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مصادر التشريع منحصرة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والعقل والإجماع، وأُريد من الإجماع اتّفاق المسلمين على أمر شرعي بحيث يُعد من الاتّفاقيات بين عامّة المسلمين، وأين هذا من خلافة الخلفاء الّتي أصفق عليها جمع من المسلمين مع مخالفة غيرهم، فعلى هذا فهي ليست من الأُمور الّتي أطبق عليها كُلُّ المسلمين، كيف وقد خالف فيها جمع من الصحابة وهم روّاد التشيّع وعلى رأسهم أهل البيت كافّة‌؟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سماحة الدكتور أن يقرأ تاريخ السقيفة وما جرى فيها من نزاع</w:t>
      </w:r>
    </w:p>
    <w:p>
      <w:pPr>
        <w:pStyle w:val="BookText"/>
        <w:rPr/>
      </w:pPr>
      <w:r>
        <w:rPr>
          <w:rFonts w:ascii="Amiri" w:hAnsi="Amiri" w:eastAsia="Amiri" w:cs="Amiri"/>
          <w:color w:val="111111"/>
          <w:sz w:val="28"/>
          <w:sz w:val="28"/>
          <w:szCs w:val="28"/>
          <w:rtl w:val="true"/>
          <w:lang w:bidi="ar-SA"/>
        </w:rPr>
        <w:t>وتضارب في الآراء وشجار وعراك وسلّ السيوف، وقد خرج من تسنّم منصّة الخلافة برأي طائفة معيّنة من الأنصار وهم الأوس مع إنكار الخزرجيّين كلّهم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وأمّا الحديث الّذي استدلّ به الدكتور فهو ضعيف، وإليك بيانه على وجه 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ماجة في سننه عن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أُمّتي لا تجتمع على ضلالة، فإذا رأيتم اختلافاً فعليكم بالسواد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سنده أبو خلف الأعمى،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أنس، كذّبه ابن معين،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الترمذي عن ابن عمر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على ضلالة، ويد اللّه مع الجماعة ومن شذّ شذّ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سنده سليمان بن سفيان المدني، وقد عرّفه الذهبي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أبو حاتم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وليس له في السنن والمسانيد غير حديثين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داود عن أبي مالك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أجاركم من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لا تجتمعوا على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سنده محمد بن عوف الطائي ذكره الذهبي ووصفه بكونه مجهول الحال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في مسنده عن أبي ذر عن النبيّ صلى الله عليه و آله و سلم 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خير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لم يجمع أُمّتي إلّاعلى هدى</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وفي سنده ابن عياش الحميري 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النيسابوري في مستدركه هذا الحديث بمسانيد تشتمل جميعها على المعتمر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 بن سليمان البصري أحد الثقاة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يخطأ من حفظه وإذا حدّث من كتابه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فهذا الخبر على علّاته خبر واحد لا تثبت به القاعدة القطعية حتّى يحتج به في عامّة الأبواب، ولذلك يقول 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فلا أشكّ أنّه اليوم غير متواتر، بل لم يصحّ منه طريق على السبيل الّذي يرتضيه جهابذة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Style w:val="FootnoteAnchor"/>
          <w:rtl w:val="true"/>
        </w:rPr>
        <w:footnoteReference w:id="91"/>
      </w:r>
      <w:bookmarkStart w:id="88" w:name="pg16780_176917"/>
    </w:p>
    <w:p>
      <w:pPr>
        <w:pStyle w:val="BookText"/>
        <w:rPr/>
      </w:pPr>
      <w:bookmarkEnd w:id="88"/>
      <w:r>
        <w:rPr>
          <w:rFonts w:ascii="Amiri" w:hAnsi="Amiri" w:eastAsia="Amiri" w:cs="Amiri"/>
          <w:color w:val="111111"/>
          <w:sz w:val="28"/>
          <w:sz w:val="28"/>
          <w:szCs w:val="28"/>
          <w:rtl w:val="true"/>
          <w:lang w:bidi="ar-SA"/>
        </w:rPr>
        <w:t>وبهذا يظهر بأنّه لا يمكن أن يحتج على صحّة خلافة الخلفاء بالإجماع وذلك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الإجماع لكثرة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الاستناد في حجّية مثل هذا الإجماع إلى الحديث المذكور، غير تام؛ لأنّه خبر واحد لا يحتجّ به في العقائد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الخلافة الّتي تعد من مهام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عدم تحقق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تخلّف عن البيعة كثير من الأنصار كالخزرجيين وآل هاشم وعلى رأسهم الإمام علي بن أبي طالب وجمع معه</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89" w:name="__RefHeading___Toc7189519_73709187"/>
      <w:bookmarkStart w:id="90" w:name="_Toc33"/>
      <w:bookmarkEnd w:id="89"/>
      <w:r>
        <w:rPr>
          <w:rtl w:val="true"/>
        </w:rPr>
        <w:t>الحلقة الثانية عشرة</w:t>
      </w:r>
      <w:r>
        <w:rPr>
          <w:rtl w:val="true"/>
        </w:rPr>
        <w:t xml:space="preserve">: </w:t>
      </w:r>
      <w:r>
        <w:rPr>
          <w:rtl w:val="true"/>
        </w:rPr>
        <w:t xml:space="preserve">اليوم الثاني عشر من شهر رمضان </w:t>
      </w:r>
      <w:r>
        <w:rPr/>
        <w:t>1436</w:t>
      </w:r>
      <w:r>
        <w:rPr>
          <w:rtl w:val="true"/>
        </w:rPr>
        <w:t xml:space="preserve"> </w:t>
      </w:r>
      <w:r>
        <w:rPr>
          <w:rtl w:val="true"/>
        </w:rPr>
        <w:t>ه‍</w:t>
      </w:r>
      <w:bookmarkEnd w:id="90"/>
    </w:p>
    <w:p>
      <w:pPr>
        <w:pStyle w:val="BookText"/>
        <w:rPr/>
      </w:pPr>
      <w:r>
        <w:rPr>
          <w:rFonts w:ascii="Amiri" w:hAnsi="Amiri" w:eastAsia="Amiri" w:cs="Amiri"/>
          <w:color w:val="111111"/>
          <w:sz w:val="28"/>
          <w:sz w:val="28"/>
          <w:szCs w:val="28"/>
          <w:rtl w:val="true"/>
          <w:lang w:bidi="ar-SA"/>
        </w:rPr>
        <w:t>قال الدكتور أحمد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عدالة الصحابة ليست محلّ نقاش بين السنّة وهي قضية مسلّمة، فبعد تعديل اللّه عزوجل إيّاهم وثنائه عليهم في نصوص واضحة من القرآن الكريم</w:t>
      </w:r>
      <w:r>
        <w:rPr>
          <w:rStyle w:val="FootnoteAnchor"/>
          <w:rtl w:val="true"/>
        </w:rPr>
        <w:footnoteReference w:id="93"/>
      </w:r>
      <w:r>
        <w:rPr>
          <w:rFonts w:ascii="Amiri" w:hAnsi="Amiri" w:eastAsia="Amiri" w:cs="Amiri"/>
          <w:color w:val="111111"/>
          <w:sz w:val="28"/>
          <w:sz w:val="28"/>
          <w:szCs w:val="28"/>
          <w:rtl w:val="true"/>
          <w:lang w:bidi="ar-SA"/>
        </w:rPr>
        <w:t>، لا يصحّ أي تعديل بعد ذلك من أحد، ولا يجوز التطاول عليهم، ومَن يتطاول عليهم فإنّه يغامر بإيمانه والعياذ باللّه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تصريحات صحفية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يصحّ أن نبحث في أحوالهم</w:t>
      </w:r>
    </w:p>
    <w:p>
      <w:pPr>
        <w:pStyle w:val="BookText"/>
        <w:rPr/>
      </w:pPr>
      <w:r>
        <w:rPr>
          <w:rFonts w:ascii="Amiri" w:hAnsi="Amiri" w:eastAsia="Amiri" w:cs="Amiri"/>
          <w:color w:val="111111"/>
          <w:sz w:val="28"/>
          <w:sz w:val="28"/>
          <w:szCs w:val="28"/>
          <w:rtl w:val="true"/>
          <w:lang w:bidi="ar-SA"/>
        </w:rPr>
        <w:t>بنيّة معرفة هل الصحابي عدل أم لا؟ لأنّ القرآن الكريم أعطاهم شهادة تزكية، ومَن يتشكّك في هذا فهو متشكّك في هذه الشهادة الإلهية، ولذا لا يوجد في أي مصدر من مصادر علم الجرح والتعديل عند أهل السنّة اسم صحابي واحد، فهذا لم يحدث في كتب أهل السنّة، لعلمهم أنّهم معدّلون من فوق 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كلام شيخ الأزهر أمراً جديداً حتّى نتأمّل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الحلقة السابعة أنّ الآية لا تدلّ إلّاعلى رضا اللّه سبحانه عن جمع من الصحابة لا عن الكلّ من أوّلهم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تعديل وتحسين رهن بقاء المعدّل على الحالة السابقة إلى يوم وفاته، وقد مرّ نصّ النبيّ الأكرم صلى الله عليه و آله و سلم بأنّ الأُمور بخواتيمها، وعلى هذا فلا يمكن الاستدلال بالآية المذكورة على عدالة الصحابة إذا دلّ الدليل على صدور الذنب منهم، خصوصاً إذا كان الصحابي محارباً للإمام المنصوص على إمامته، أو من اتّفق المهاجرون والأنصار على بيعته، كما هو الحال في الإمام علي عليه السلام فهو إمّا إمام منصوص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قد بايعه المهاجرون والأنصار ولم يتخلّف عن بيعته إلّامَن لم يتجاوز عددهم عدد أصابع اليد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الدكتور لا يفرّق بين السبّ ودراسة حياة الصحابي، أمّا العمل الأوّل فقد مرّ أنّه عمل النوكى‌، والشيعة الإمامية برآء لا يسبّون أحداً، فكيف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 صلّة له بالسبّ‌، وهذا هو الّذي ربّما يتصوّر أنّه سبّ للصحابي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السيدة عائشة أُمّ المؤمنين فهي وإن كان لها كرامتها الأُولى حسب ما قاله الإمام علي عليه السلام، ولكنّ ذلك لا يصدّنا عن تقييم ودراسة ما قامت به من أعمال حيث خرجت على إمام زمانها، على رأس جيش يقوده طلحة والزبير اللّذان كانا يحرّضان الناس ضد عثمان بن عفّان، ولكنّهما انقلبا على عقبيهما فصارا يطالبان بدمه الّذي أُريق بسببهما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استعانا في تحريض الناس على الخروج على الإمام علي عليه السلام بزوج النبيّ صلى الله عليه و آله و سلم الّتي أُمرت بأن تقرّ في بيتها بنصّ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لمّا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في طريقها إلى مكّة لقيها عبد بن أُمّ كلاب وهو عبد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عثمان وبقوا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الأُمور إلى خير مجاز، اجتمعوا على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إن هذه انطبقت على هذه إن تمّ الأمر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ردّوني ردّوني، 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 فقال لها ابن أُم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أوّل من أمال حرفه لأنت، 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وقولي الأخير خير من قولي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 ومنك الرياح ومنك المطر</w:t>
      </w:r>
    </w:p>
    <w:p>
      <w:pPr>
        <w:pStyle w:val="BookText"/>
        <w:rPr/>
      </w:pPr>
      <w:r>
        <w:rPr>
          <w:rFonts w:ascii="Amiri" w:hAnsi="Amiri" w:eastAsia="Amiri" w:cs="Amiri"/>
          <w:color w:val="111111"/>
          <w:sz w:val="28"/>
          <w:sz w:val="28"/>
          <w:szCs w:val="28"/>
          <w:rtl w:val="true"/>
          <w:lang w:bidi="ar-SA"/>
        </w:rPr>
        <w:t>وأنت أمرت بقتل الإمام وقلت لنا إنّه قد كفر</w:t>
      </w:r>
    </w:p>
    <w:p>
      <w:pPr>
        <w:pStyle w:val="BookText"/>
        <w:rPr/>
      </w:pPr>
      <w:r>
        <w:rPr>
          <w:rFonts w:ascii="Amiri" w:hAnsi="Amiri" w:eastAsia="Amiri" w:cs="Amiri"/>
          <w:color w:val="111111"/>
          <w:sz w:val="28"/>
          <w:sz w:val="28"/>
          <w:szCs w:val="28"/>
          <w:rtl w:val="true"/>
          <w:lang w:bidi="ar-SA"/>
        </w:rPr>
        <w:t>فهبنا أطعناك في قتله وقاتله عندنا مَن أمر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فانصرفت إلى مكّة فنزلت على باب المسجد فقصدت للحجر فسترت،</w:t>
      </w:r>
    </w:p>
    <w:p>
      <w:pPr>
        <w:pStyle w:val="BookText"/>
        <w:rPr/>
      </w:pPr>
      <w:r>
        <w:rPr>
          <w:rFonts w:ascii="Amiri" w:hAnsi="Amiri" w:eastAsia="Amiri" w:cs="Amiri"/>
          <w:color w:val="111111"/>
          <w:sz w:val="28"/>
          <w:sz w:val="28"/>
          <w:szCs w:val="28"/>
          <w:rtl w:val="true"/>
          <w:lang w:bidi="ar-SA"/>
        </w:rPr>
        <w:t>واجتمع إليها الناس</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هذا هو عملنا في دراسة حياة الصحابي والصحابية، ولا نتجاوزه بشيء، فإذا كان هذا سبّاً لهم، فأوّل من سبّ هم أصحاب السير والتاريخ الّذين جمعوا حياة الصحابة في موسوعاتهم التاريخية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التشكيك في عدالة الصحابي ليس تشكيكاً في الشهادة الإلهية فهي حقّ في موضعها ومحلّها، كما أنّ الدراسة أيضاً حقّ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يُسمّيه نظراء شيخ الأزهر سبّاً فهو من مقولة دراسة حياتهم وأعمالهم، إن خيراً فخير، وإن شرّاً فشر، من دون النيل من كرامتهم أو أعراضهم،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كلمة قيّمة للشيخ محمد الحسين آل كاشف الغطاء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العداء بين الطائفتين أنّ الشيعة ترى جواز المسّ من كرامة الخلفاء أو الطعن فيهم، وقد يتجاوز البعض إلى السبّ والقدح ممّا يسيء الفريق الآخر طبعاً ويهيج عواطفهم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فيشتدّ العداء والخصومة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تبصّرنا قليلاً ورجعنا إلى حكم العقل بل والشرع أيضاً لم نجده مقتضياً للعداء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من رأي جميع الشيعة وإنّما هو رأي فردي من بعضهم، وربّما لا يوافق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أخبار أئمة الشيعة النهي عن ذلك، فلا يصحّ معاداة الشيعة أجمع لإساءة بعض المتطرّفين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على فرضه لا يكون موجباً للكفر والخروج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أقصى ما هناك أن يكون معصية، وما أكثر العصاة في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ومعصية المسلم لا تستوجب قطع رابطة الأُخوة الإسلامية معه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يدخل هذا في المعصية أيضاً ولا يوجب فسقاً إذا كان ناشئاً عن اجتهاد واعتقاد، وإن كان خطأ، فإنّ من المُتَسالمَ عليه عند الجميع في باب الاجتهاد أنّ للمخطئ أجراً وللمصيب أجرين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 علماء السنّة الحروب الّتي وقعت بين الصحابة في الصدر الأوّل كحرب الجمل وصفين وغيرهما، بأنّ طلحة والزبير ومعاوية اجتهدوا وهم وإن أخطأوا في اجتهادهم، ولكن لا يقدح ذلك في عدالتهم وعظيم مكانتهم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الاجتهاد يبرر ولا يستنكر قتلَ آلاف النفوس من المسلمين وإراقة دمائهم، فبالأولى أن يبرر ولا يستنكر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بعض المتطرفين على تلك المقامات المحترمة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كلّ هذا أننّا مهما تعمقّنا في البحث ومشينا على ضوء الأدلّة، عقلية أو شرعية، وتجرّدنا من الهوى والهوس والعصبيات، فلا نجد أي سبب مبرّر للعداء والتضارب بين طوائف المسلمين مهما اتّسعت شقّة الخلاف بينهم في كثير من المسائل</w:t>
      </w:r>
      <w:r>
        <w:rPr>
          <w:rFonts w:eastAsia="Amiri" w:cs="Amiri" w:ascii="Amiri" w:hAnsi="Amiri"/>
          <w:color w:val="111111"/>
          <w:sz w:val="28"/>
          <w:szCs w:val="28"/>
          <w:rtl w:val="true"/>
          <w:lang w:bidi="ar-SA"/>
        </w:rPr>
        <w:t>.</w:t>
      </w:r>
      <w:r>
        <w:rPr>
          <w:rStyle w:val="FootnoteAnchor"/>
          <w:rtl w:val="true"/>
        </w:rPr>
        <w:footnoteReference w:id="95"/>
      </w:r>
      <w:bookmarkStart w:id="91" w:name="pg16780_176922"/>
    </w:p>
    <w:p>
      <w:pPr>
        <w:pStyle w:val="Heading4"/>
        <w:numPr>
          <w:ilvl w:val="3"/>
          <w:numId w:val="1"/>
        </w:numPr>
        <w:rPr/>
      </w:pPr>
      <w:bookmarkStart w:id="92" w:name="__RefHeading___Toc7189521_73709187"/>
      <w:bookmarkStart w:id="93" w:name="_Toc34"/>
      <w:bookmarkEnd w:id="91"/>
      <w:bookmarkEnd w:id="92"/>
      <w:r>
        <w:rPr>
          <w:rtl w:val="true"/>
        </w:rPr>
        <w:t>الحلقة الثالثة عشرة</w:t>
      </w:r>
      <w:r>
        <w:rPr>
          <w:rtl w:val="true"/>
        </w:rPr>
        <w:t xml:space="preserve">: </w:t>
      </w:r>
      <w:r>
        <w:rPr>
          <w:rtl w:val="true"/>
        </w:rPr>
        <w:t xml:space="preserve">اليوم الثالث عشر من شهر رمضان </w:t>
      </w:r>
      <w:r>
        <w:rPr/>
        <w:t>1436</w:t>
      </w:r>
      <w:r>
        <w:rPr>
          <w:rtl w:val="true"/>
        </w:rPr>
        <w:t xml:space="preserve"> </w:t>
      </w:r>
      <w:r>
        <w:rPr>
          <w:rtl w:val="true"/>
        </w:rPr>
        <w:t>ه‍</w:t>
      </w:r>
      <w:bookmarkEnd w:id="93"/>
    </w:p>
    <w:p>
      <w:pPr>
        <w:pStyle w:val="BookText"/>
        <w:rPr/>
      </w:pPr>
      <w:r>
        <w:rPr>
          <w:rFonts w:ascii="Amiri" w:hAnsi="Amiri" w:eastAsia="Amiri" w:cs="Amiri"/>
          <w:color w:val="111111"/>
          <w:sz w:val="28"/>
          <w:sz w:val="28"/>
          <w:szCs w:val="28"/>
          <w:rtl w:val="true"/>
          <w:lang w:bidi="ar-SA"/>
        </w:rPr>
        <w:t>قال الدكتور أحمد الطيب، شيخ 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هدفنا هو البحث عن وحدة الأُمة الإسلامية لا فرقتها، فالأزهر لم يكن في يوم من الأيام مؤسسة فتنة أو فرقة بين المسلمين، فهو الّذي نادى في القرن الماضي بالتفاهم بين السنّة والشيعة، وهو حريص على هذه الوحدة، لأنّ ما أصابنا وما نكتوي بناره الآن، ما جاء إلّامن هذه الفرقة بين أصحاب المذهبين، فليكن هذا معلوماً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بين المذاهب الإسلامية أُمنية تمنّاها رجال التقريب في أوائل القرن الرابع عشر، وهم كانوا من العلماء المخلصين المتحمّسين للإصلاح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فِتْيَةٌ آمَنُوا بِرَبِّهِمْ وَ 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عَلى قُلُوبِهِمْ‌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ولتحقيق هذه الأُمنية قاموا بإصدار مجلة إسلامية عالمية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المجلة بأُسلوبها المركّز وحيادها التام واحترامها المتقابل وابتعادها عن كافّة الميول والاتجاهات السياسية، لم تثمر إلّاالخير والنصيحة للمسلمين ونالت ثقة علماء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الّذين رفعوا راية التقريب انتقلوا إلى رحمة اللّه سبحانه، فمن الشيعة أصحاب السماحة من العلماء الاعلام 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الحسين آل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هبة الدين الشهرستاني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عبدالحسين شرف الدين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جواد مغنية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والمراجع العظام نظراء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السيد صدر الدين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السيد محمد تقي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علماء أهل السنّة شيخا الأزهر الكبيران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عبدالمجيد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محمود شلتوت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من علماء الأزهر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أبو زهرة، والشيخ محمد محمد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تحرير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والأُستاذ الكبير عبد العزيز عيسى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إدارة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يومذاك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وعباس محمود العقّاد، ومحمد فريد وجدي،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النخبة الفاضلة قلّما يتّفق أن يأتي الزمان بأمثالهم، وقد حملوا هموم المسلمين، ووقفوا على مواضع الخطر الّذي يهدّد الأُمة الإسلامية فوضعوا العلاج له، فياليت أن يقوم الخلف من بعدهم بالاقتداء بهم والتمسّك بالمشتركات الكثيرة وإيكال المسائل الخلافية إلى المعاهد والمراكز العلمية دون نشرها على رؤوس الملأ</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كلام أحد أعلام التقريب،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يتصوّر أنّ التقريب بين المذاهب أمر ممتنع لوجود الفرق الجوهري بين الشيعة والسنّة، فالشيعة ترى أنّ الإمامة أصل من أُصول الدين وهي رديفة التوحيد والنبوّة، وأنّها منوطة بالنصّ‌</w:t>
      </w:r>
    </w:p>
    <w:p>
      <w:pPr>
        <w:pStyle w:val="BookText"/>
        <w:rPr/>
      </w:pPr>
      <w:r>
        <w:rPr>
          <w:rFonts w:ascii="Amiri" w:hAnsi="Amiri" w:eastAsia="Amiri" w:cs="Amiri"/>
          <w:color w:val="111111"/>
          <w:sz w:val="28"/>
          <w:sz w:val="28"/>
          <w:szCs w:val="28"/>
          <w:rtl w:val="true"/>
          <w:lang w:bidi="ar-SA"/>
        </w:rPr>
        <w:t xml:space="preserve">من اللّه ورسوله، وليس للأُمّة فيها من الرأي والاختيار شيء، كما لا اختيار لهم في النبوّة، بخلاف إخواننا من أهل السنّة، فهم متّفقون على عدم كونها من أُصول الدين، ومختلفون بين قائل بوجوب نصب الإمام على الرعية بالإجماع ونحوه، وبين قائل بأنّها قضية سياسية ليست من الدين في شيء لا من أُصوله ولا من فروعه، ولكن مع هذا التباعد الشاسع بين الفريقين في هذه القضية، هل تجد الشيعة تقول إنّ مَن لا يقول بالإمامة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تجد السنّة تقول إنّ القائل بالإمامة خارج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فالقول بالإمامة وعدمه لاعلاقة له بالجامعة الإسلامية وأحكامها من حرمة دم المسلم وعرضه وماله، ووجوب إخوّته، وحفظ حرمته، وعدم جواز غيبته، إلى كثير من أمثال ذلك من حقوق المسلم على أخيه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غرض مَن دعا إلى التقريب ليس إزالة الخلاف بين المذاهب الإسلامية وجعلها مذهباً واحداً سنّياً فقط أو شيعياً أو وهابياً، كيف واختلاف الرأي والخلاف في الجملة طبيعة ارتكازية في البشر؛ بل أقصى الغرض هو إزالة أن يكون هذا الخلاف سبباً للعداء والبغضاء، الغرض تبديل التباعد والتضارب بالإخاء والتقارب، فإنّ المسلمين جميعاً مهما اختلفوا في أشياء من الأُصول والفروع فإنّهم قد اتّفقوا على مضمون الأحاديث المقطوع عندهم بصحّتها من أنّ من شهد الشهادتين واتّخذ الإسلام ديناً له، فقد حرم دمه وماله وعرضه، والمسلم أخو المسلم، وأنّ مَن صلى إلى قبلتنا وأكلّ من ذبيحتنا ولم يتديّن بغير ديننا فهو منّا، له ما لنا وعليه ما علينا</w:t>
      </w:r>
      <w:r>
        <w:rPr>
          <w:rFonts w:eastAsia="Amiri" w:cs="Amiri" w:ascii="Amiri" w:hAnsi="Amiri"/>
          <w:color w:val="111111"/>
          <w:sz w:val="28"/>
          <w:szCs w:val="28"/>
          <w:rtl w:val="true"/>
          <w:lang w:bidi="ar-SA"/>
        </w:rPr>
        <w:t>.</w:t>
      </w:r>
      <w:r>
        <w:rPr>
          <w:rStyle w:val="FootnoteAnchor"/>
          <w:rtl w:val="true"/>
        </w:rPr>
        <w:footnoteReference w:id="98"/>
      </w:r>
      <w:bookmarkStart w:id="94" w:name="pg16780_176925"/>
    </w:p>
    <w:p>
      <w:pPr>
        <w:pStyle w:val="Heading4"/>
        <w:numPr>
          <w:ilvl w:val="3"/>
          <w:numId w:val="1"/>
        </w:numPr>
        <w:rPr/>
      </w:pPr>
      <w:bookmarkStart w:id="95" w:name="__RefHeading___Toc7189523_73709187"/>
      <w:bookmarkStart w:id="96" w:name="_Toc35"/>
      <w:bookmarkEnd w:id="94"/>
      <w:bookmarkEnd w:id="95"/>
      <w:r>
        <w:rPr>
          <w:rtl w:val="true"/>
        </w:rPr>
        <w:t>الحلقة الرابعة عشرة</w:t>
      </w:r>
      <w:r>
        <w:rPr>
          <w:rtl w:val="true"/>
        </w:rPr>
        <w:t xml:space="preserve">: </w:t>
      </w:r>
      <w:r>
        <w:rPr>
          <w:rtl w:val="true"/>
        </w:rPr>
        <w:t xml:space="preserve">اليوم الرابع عشر من شهر رمضان </w:t>
      </w:r>
      <w:r>
        <w:rPr/>
        <w:t>1436</w:t>
      </w:r>
      <w:r>
        <w:rPr>
          <w:rtl w:val="true"/>
        </w:rPr>
        <w:t xml:space="preserve"> </w:t>
      </w:r>
      <w:r>
        <w:rPr>
          <w:rtl w:val="true"/>
        </w:rPr>
        <w:t>ه‍</w:t>
      </w:r>
      <w:bookmarkEnd w:id="96"/>
    </w:p>
    <w:p>
      <w:pPr>
        <w:pStyle w:val="BookText"/>
        <w:rPr/>
      </w:pPr>
      <w:r>
        <w:rPr>
          <w:rFonts w:ascii="Amiri" w:hAnsi="Amiri" w:eastAsia="Amiri" w:cs="Amiri"/>
          <w:color w:val="111111"/>
          <w:sz w:val="28"/>
          <w:sz w:val="28"/>
          <w:szCs w:val="28"/>
          <w:rtl w:val="true"/>
          <w:lang w:bidi="ar-SA"/>
        </w:rPr>
        <w:t>استدلّ الدكتور أحمد الطيّب على محبّة الصحابة ووجوب الإحسان لهم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دليل على وجوب الإحسان والاستغفار للصحابة، لأنّ المولى سبحانه جعل لمن يأتي بعدهم حظّاً في الفيء ما أقاموا على محبّتهم وموالاتهم والاستغفار لهم، وأنّ مَن سبّهم أو واحداً منهم أو اعتقد فيهم شرّاً، لا حقّ له في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يبغض أحداً من أصحاب محمد صلى الله عليه و آله و سلم أو كان في قلبه عليهم غلّ‌، فليس له حقّ من فيء المسلمين،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الآية يستدلّ على أنّ الأجيال الّتي تأتي بعد المهاجرين والأنصار مأمورة بالإحسان والاستغفار للصحابة من الفريقين، وهذا يقتضي حرمة سبّهم ولعنهم والإساءة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قسّم المسلمين في سورة الحشر من الآية الثامنة إلى العاشرة، إلى أصناف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 أُولئِكَ هُمُ الصّادِقُونَ‌</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أنّهم يَدْعونَ ويستغفرون لأنفسهم ولمَن سبقهم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قُلُوبِنا غِلاًّ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يسألون اللّه تعالى أن يزيل الغلّ والحقد والعداء من قلوبهم، إذ لا يجتمع الإيمان مع وجود الغلّ في قلب مؤمن على المؤمن الآخر؛ لأنّ الحقد على المؤمن حقد على النفس، والمؤمنون كالجسد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رَؤُفٌ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يسألونه سبحانه بما أنّه رؤوف رحيم أن ينزّه قلوبهم من الغلّ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الدعوات الثلاث تختلف مضموناً، فهم في الدعاء الأوّل يسعون في إصلاح أنفسهم ويطلبون العفو والرحمة من اللّه بتلك الغاية، وفي الدعاء الثاني يطلبون العفو والمغفرة لمَن سبقهم بالإيمان، وفي الثالث يركّزون على تصفية نفوسهم من الرذائل والضغائن لمَن سبقهم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الأدعية مقابس نور لعامّة المسلمين، ولكلّ الأجيال ينبغي أن يستضيئوا بها في سلوكهم وتعاملهم مع إخوانهم بالصفاء والأُخوّة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w:t>
      </w:r>
    </w:p>
    <w:p>
      <w:pPr>
        <w:pStyle w:val="BookText"/>
        <w:rPr/>
      </w:pPr>
      <w:r>
        <w:rPr>
          <w:rFonts w:ascii="Amiri" w:hAnsi="Amiri" w:eastAsia="Amiri" w:cs="Amiri"/>
          <w:color w:val="111111"/>
          <w:sz w:val="28"/>
          <w:sz w:val="28"/>
          <w:szCs w:val="28"/>
          <w:rtl w:val="true"/>
          <w:lang w:bidi="ar-SA"/>
        </w:rPr>
        <w:t>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لعامّة المؤمنين في الأجيال السابقة ولا يختصّ بالصحابة دون غيرهم، فاللّه تعالى يعلّم المسلمين في كلّ جيل أن يدعون للسابقين عن هذا 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الدكتور تصوّر أنّ هذه الفقرة ناظرة للتابعين في مصطلح أهل الحديث وهم الّذين لم يروا النبيّ صلى الله عليه و آله و سلم ولكن رأوا من رآه، فعندئذٍ جاء الحثّ لهم على الدعاء للصحابة، غير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المسلمين بلسان الإخبار بالدعاء إلى كافّة المسلمين ممّن غبر من دون اختصاص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دلالة الآية على خصوص الدعاء للصحابة، لكنّها لا تدلّ على عدالتهم وأنّ سلوك الجميع كان سلوكاً صحيحاً لا غبار عليه؛ بل تدلّ على انهم أهل لطلب المغفرة لهم واين هذا من القول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تختصّ بالصحابة، بل مفادها هو دعاء كلّ جيل لعامّة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المغفرة للسابقين أو خصوص الصحابة لا يدلّ على كونهم أهل صلاح وفلاح، غاية الأمر يدلّ على أنّهم أهل لغفران الرب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قُلُوبِنا غِلاًّ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دعاء عام لا يختصّ بجيل دون جيل، فالاستدلال بالآية في مورد الصحابة غفلة عن مفادها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أُموراً</w:t>
      </w:r>
      <w:r>
        <w:rPr>
          <w:rFonts w:eastAsia="Amiri" w:cs="Amiri" w:ascii="Amiri" w:hAnsi="Amiri"/>
          <w:color w:val="111111"/>
          <w:sz w:val="28"/>
          <w:szCs w:val="28"/>
          <w:rtl w:val="true"/>
          <w:lang w:bidi="ar-SA"/>
        </w:rPr>
        <w:t>:</w:t>
      </w:r>
      <w:bookmarkStart w:id="97" w:name="pg16780_176928"/>
    </w:p>
    <w:p>
      <w:pPr>
        <w:pStyle w:val="BookText"/>
        <w:rPr/>
      </w:pPr>
      <w:bookmarkEnd w:id="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 الصحابي وشتمه والنيل من كرامته وكرامة أولاده وأزواجه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الحقد والعداء لواحد من الصحابة بما أنّه صحابي فإنّهما متناقضان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أحوال الصحابة من الإيجابيات والسلبيات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عامّة والإمامية خاصّة لا يحومون حول الأمر الأوّل والثاني، ويرونهما عمل النوكى والسفهاء، وأمّا الأمر الثالث فهو سيرة المحقّقين الواعين الّذين يدرسون حياة السابقين على ضوء الكتاب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سورة الحشر حصرت الحديث في المهاجرين الّذين أُخرجوا من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والأنصار الّذين تبوَّءوا الدار والإيمان ومن جاء بعدهم، فلا دلالة لإدراج مسلمة عام الفتح وما بعده تحت الآية المباركة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189525_73709187"/>
      <w:bookmarkStart w:id="99" w:name="_Toc36"/>
      <w:bookmarkEnd w:id="98"/>
      <w:r>
        <w:rPr>
          <w:rtl w:val="true"/>
        </w:rPr>
        <w:t>الحلقة الخامسة عشرة</w:t>
      </w:r>
      <w:r>
        <w:rPr>
          <w:rtl w:val="true"/>
        </w:rPr>
        <w:t xml:space="preserve">: </w:t>
      </w:r>
      <w:r>
        <w:rPr>
          <w:rtl w:val="true"/>
        </w:rPr>
        <w:t xml:space="preserve">اليوم الخامس عشر من شهر رمضان </w:t>
      </w:r>
      <w:r>
        <w:rPr/>
        <w:t>1436</w:t>
      </w:r>
      <w:r>
        <w:rPr>
          <w:rtl w:val="true"/>
        </w:rPr>
        <w:t xml:space="preserve"> </w:t>
      </w:r>
      <w:r>
        <w:rPr>
          <w:rtl w:val="true"/>
        </w:rPr>
        <w:t>ه‍</w:t>
      </w:r>
      <w:bookmarkEnd w:id="99"/>
    </w:p>
    <w:p>
      <w:pPr>
        <w:pStyle w:val="BookText"/>
        <w:rPr/>
      </w:pPr>
      <w:r>
        <w:rPr>
          <w:rFonts w:ascii="Amiri" w:hAnsi="Amiri" w:eastAsia="Amiri" w:cs="Amiri"/>
          <w:color w:val="111111"/>
          <w:sz w:val="28"/>
          <w:sz w:val="28"/>
          <w:szCs w:val="28"/>
          <w:rtl w:val="true"/>
          <w:lang w:bidi="ar-SA"/>
        </w:rPr>
        <w:t>ذكر الدكتور الطيّب أنّ الشيعة يسيئون لزوج النبيّ عائشة أُم المؤمنين وأبيها الخليفة أبي بكر، ويعدّ سبّهما سبّاً وتطاولاً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الدكتور شيخ الأزهر استنكر على الشيعة لأنّهم يسيئون لزوج النبيّ عائشة أُم المؤمنين وأبيها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السيدة عائشة من زوجات النبيّ صلى الله عليه و آله و سلم وأُمّهات المؤمنين، ولم يشكّ‌</w:t>
      </w:r>
    </w:p>
    <w:p>
      <w:pPr>
        <w:pStyle w:val="BookText"/>
        <w:rPr/>
      </w:pPr>
      <w:r>
        <w:rPr>
          <w:rFonts w:ascii="Amiri" w:hAnsi="Amiri" w:eastAsia="Amiri" w:cs="Amiri"/>
          <w:color w:val="111111"/>
          <w:sz w:val="28"/>
          <w:sz w:val="28"/>
          <w:szCs w:val="28"/>
          <w:rtl w:val="true"/>
          <w:lang w:bidi="ar-SA"/>
        </w:rPr>
        <w:t>أحدٌ من المسلمين في براءتها من الإفك</w:t>
      </w:r>
      <w:r>
        <w:rPr>
          <w:rStyle w:val="FootnoteAnchor"/>
          <w:rtl w:val="true"/>
        </w:rPr>
        <w:footnoteReference w:id="101"/>
      </w:r>
      <w:r>
        <w:rPr>
          <w:rFonts w:ascii="Amiri" w:hAnsi="Amiri" w:eastAsia="Amiri" w:cs="Amiri"/>
          <w:color w:val="111111"/>
          <w:sz w:val="28"/>
          <w:sz w:val="28"/>
          <w:szCs w:val="28"/>
          <w:rtl w:val="true"/>
          <w:lang w:bidi="ar-SA"/>
        </w:rPr>
        <w:t xml:space="preserve">الّذي صنعته يد النفاق، ونشره عميد المنافقين وأذنابه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النبيّ وحدّث عنه القرآن في آيات،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 لا تَحْسَبُوهُ شَرًّا لَكُمْ بَلْ هُوَ خَيْرٌ لَكُمْ لِكُلِّ امْرِئٍ مِنْهُمْ مَا اكْتَسَبَ مِنَ الْإِثْمِ وَ الَّذِي تَوَلّى كِبْرَهُ مِنْهُمْ لَهُ عَذابٌ عَظِيمٌ‌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إِذْ سَمِعْتُمُوهُ قُلْتُمْ ما يَكُونُ لَنا أَنْ نَتَكَلَّمَ بِهذا 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ولمعرفة تفاصيل هذه الفرية وتفسير الآيات النازلة حولها نرجع القارئ إلى تفسيرها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ولكن هذا لا يصدنا عن دراسة حياتها بعد النبيّ صلى الله عليه و آله و سلم خصوصاً في فتنة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والدها فنحن لا ننكر أنّه صاحب النبيّ صلى الله عليه و آله و سلم في الغار وأنّه من المهاجرين السابقين ولكنّ الاعتراف بهذا لا يمنعنا من دراسة حياته وخلافته ومواقفه، وانّه كيف تمّت البيعة له، وكيف دامت، فكلّ ذلك على عاتق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إيقاف البحث حول الصحابة يورث حرمان الآخرين عمّا وقع في عصرهم من الحوادث الحلوة والمرّة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تأملنا في أُمّهات مصادر الحديث والتاريخ الّتي ألّفها كبار الأعلام من أهل السنّة نراهم لا يرون ضيراً في رصد الواقع ونقل الأحداث الّتي بدأنا نتحاشى عن التعرّض لها اليوم، فقد أخرج البخاري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رجالاً من المهاجرين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فبينما أنا</w:t>
      </w:r>
    </w:p>
    <w:p>
      <w:pPr>
        <w:pStyle w:val="BookText"/>
        <w:rPr/>
      </w:pPr>
      <w:r>
        <w:rPr>
          <w:rFonts w:ascii="Amiri" w:hAnsi="Amiri" w:eastAsia="Amiri" w:cs="Amiri"/>
          <w:color w:val="111111"/>
          <w:sz w:val="28"/>
          <w:sz w:val="28"/>
          <w:szCs w:val="28"/>
          <w:rtl w:val="true"/>
          <w:lang w:bidi="ar-SA"/>
        </w:rPr>
        <w:t>في منزله بمنى، وهو عند عمر بن الخطاب في آخر حجّة حجّها، إذ رجع إليّ عبدالرحمن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أتى أمير المؤمنين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لك في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لقد بايعت فلاناً، فواللّه ما كانت بيعة أبي بكر إلّافلتة فتمّت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ذكر البخاري بقية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الخليفة إلى المدينة خطب الناس فممّا جاء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مات عمر 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بيعة أبي بكر فلتة وتمّت، ألّا وإنها كانت كذلك ولكنّ اللّه وقى شرّها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فهذا البخاري ومن قبله ابن عباس وعبد الرحمن بن عوف لم يعتبروا قول القائل ولا قول الخليفة سبّاً لأبي بكر وإساءة له بل هو ذكر لحادثة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ابن الأثير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بالفلتة الفجأة، ومثل هذه البيعة جديرة بأن تكون مهيّجة للشر والفتنة، فعَصَم اللّه من ذلك ووقوا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والفلتة كلّ شيء فُعل من غير رويّة، وإنّما بودر بها خوف انتشار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بالفلتة الخلسة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الإمامة يوم السقيفة مالت إلى توليها الانفس، ولذلك كثر فيها التشاجر فما قُلدّها أبو بكر إلّاانتزاعاً من الأيدي واختلاساً</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ابن الأثير وهو واضح في الإشارة إلى الشجار ورغبة كلّ فريق</w:t>
      </w:r>
      <w:bookmarkStart w:id="100" w:name="pg16780_176931"/>
    </w:p>
    <w:p>
      <w:pPr>
        <w:pStyle w:val="BookText"/>
        <w:rPr/>
      </w:pPr>
      <w:bookmarkEnd w:id="100"/>
      <w:r>
        <w:rPr>
          <w:rFonts w:ascii="Amiri" w:hAnsi="Amiri" w:eastAsia="Amiri" w:cs="Amiri"/>
          <w:color w:val="111111"/>
          <w:sz w:val="28"/>
          <w:sz w:val="28"/>
          <w:szCs w:val="28"/>
          <w:rtl w:val="true"/>
          <w:lang w:bidi="ar-SA"/>
        </w:rPr>
        <w:t>من المجتمعين في السقيفة بتولّي الخلافة والإمامة، ولم يرَ ابن الأثير في عرضه للخبر أنّه في معرض سب المجتمعين في السقيفة بقدر ما هو عرض لواقعة تاريخية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189527_73709187"/>
      <w:bookmarkStart w:id="102" w:name="_Toc37"/>
      <w:bookmarkEnd w:id="101"/>
      <w:r>
        <w:rPr>
          <w:rtl w:val="true"/>
        </w:rPr>
        <w:t>الحلقة السادسة عشرة</w:t>
      </w:r>
      <w:r>
        <w:rPr>
          <w:rtl w:val="true"/>
        </w:rPr>
        <w:t xml:space="preserve">: </w:t>
      </w:r>
      <w:r>
        <w:rPr>
          <w:rtl w:val="true"/>
        </w:rPr>
        <w:t xml:space="preserve">اليوم السادس عشر من شهر رمضان </w:t>
      </w:r>
      <w:r>
        <w:rPr/>
        <w:t>1436</w:t>
      </w:r>
      <w:r>
        <w:rPr>
          <w:rtl w:val="true"/>
        </w:rPr>
        <w:t xml:space="preserve"> </w:t>
      </w:r>
      <w:r>
        <w:rPr>
          <w:rtl w:val="true"/>
        </w:rPr>
        <w:t>ه‍</w:t>
      </w:r>
      <w:bookmarkEnd w:id="102"/>
    </w:p>
    <w:p>
      <w:pPr>
        <w:pStyle w:val="BookText"/>
        <w:rPr/>
      </w:pPr>
      <w:r>
        <w:rPr>
          <w:rFonts w:ascii="Amiri" w:hAnsi="Amiri" w:eastAsia="Amiri" w:cs="Amiri"/>
          <w:color w:val="111111"/>
          <w:sz w:val="28"/>
          <w:sz w:val="28"/>
          <w:szCs w:val="28"/>
          <w:rtl w:val="true"/>
          <w:lang w:bidi="ar-SA"/>
        </w:rPr>
        <w:t xml:space="preserve">رفض شيخ الأزهر أحمد الطيب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تسمية الشيعة بالرافضة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قلّة متعصّبة من أهل السنّة يكفّرون الشيعة، وتسمّيهم بالرافضة،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هناك تلاق والسنّة يسمعون هذه الإساءات من كثير من المنتسبين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بعض السلبيات عند قلّة متعصّبة من أهل السنّة جعلت الشيعة يشعرون بالتوتر، مثل تكفير البعض للشيعة، والإصرار على تسميتهم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أنّ هذا لا ينبغي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الشيعة بالرافضة جهل بمعناها، فإنّ الرافضة كلمة سياسية تطلق على كلّ جماعة لم تقبل الحكومة القائمة سواء أكانت حقّاً أم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معاوية بن أبي سفيان يصف شيعة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يخضعوا لحكومة علي بن أبي طالب عليه السلام وسلطته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بالرافضة ويكتب في كتابه إلى عمرو بن العاص وهو في البيع</w:t>
      </w:r>
      <w:r>
        <w:rPr>
          <w:rStyle w:val="FootnoteAnchor"/>
          <w:rtl w:val="true"/>
        </w:rPr>
        <w:footnoteReference w:id="107"/>
      </w:r>
      <w:r>
        <w:rPr>
          <w:rFonts w:ascii="Amiri" w:hAnsi="Amiri" w:eastAsia="Amiri" w:cs="Amiri"/>
          <w:color w:val="111111"/>
          <w:sz w:val="28"/>
          <w:sz w:val="28"/>
          <w:szCs w:val="28"/>
          <w:rtl w:val="true"/>
          <w:lang w:bidi="ar-SA"/>
        </w:rPr>
        <w:t>في فلسطين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أمر عليّ وطلحة والزبير ما قد بلغك، وقد سقط إلينا مروان بن الحكم في رافضة أهل البصرة، وقدم علينا جرير</w:t>
      </w:r>
    </w:p>
    <w:p>
      <w:pPr>
        <w:pStyle w:val="BookText"/>
        <w:rPr/>
      </w:pPr>
      <w:r>
        <w:rPr>
          <w:rFonts w:ascii="Amiri" w:hAnsi="Amiri" w:eastAsia="Amiri" w:cs="Amiri"/>
          <w:color w:val="111111"/>
          <w:sz w:val="28"/>
          <w:sz w:val="28"/>
          <w:szCs w:val="28"/>
          <w:rtl w:val="true"/>
          <w:lang w:bidi="ar-SA"/>
        </w:rPr>
        <w:t>بن عبداللّه في بيعة علي، وقد حبست نفسي عليك حتّى تأتيني، أقبل أُذاكرك أمراً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ترى أنّ معاوية يصف من جاء مع مروان بن الحكم بالرافضة، وهؤلاء كانوا أعداء عليّ ومخالفيه، وما هذا إلّالأنّ هؤلاء الجماعة كانوا غير خاضعين للحكومة القائمة آنذاك، وبما ذكرنا يظهر أنّ كلّ مَن رفض الحكومة الحاضرة فهو رافضي، سواء أكان سنّياً أو شيعياً أو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ما نقله ابن منظور في معجمه عن الأصمعي غير صحيح،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بايعوا زيد بن علي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الشيخين نقاتل معك،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وزيري جدّي فلا أبرأ منهما، فرفضوه وارفضوا عنه، فسُمّوا رافضة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إذا عرفت ذلك نرجع إلى تقييم ما ذكره الدكتور فلا شكّ أنّ ما أفاده في هذه الحلقة من أروع كلامه وأنفع محاضراته وأطيب ما صدر منه في هذه الحلقات، فإنّ التقريب لا يتحقّق إلّابالالتزام بالأدب الإسلامي الّذي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نرحّب بكلّ دعوة تقرّب المسلمين وتوحّدهم وتجعلهم يداً واحدة وصفّاً واحداً أمام الصهاينة والمستكبرين الّذين يفرّقون المسلمين للتسلّط عليهم وشعارهم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نتبرأ من بعض الفضائيات الّتي تنال من وحدة المسلمين وتضرّ بها ببيانات بعيدة عن الأدب الإسلامي ومنطقه</w:t>
      </w:r>
      <w:r>
        <w:rPr>
          <w:rFonts w:eastAsia="Amiri" w:cs="Amiri" w:ascii="Amiri" w:hAnsi="Amiri"/>
          <w:color w:val="111111"/>
          <w:sz w:val="28"/>
          <w:szCs w:val="28"/>
          <w:rtl w:val="true"/>
          <w:lang w:bidi="ar-SA"/>
        </w:rPr>
        <w:t>.</w:t>
      </w:r>
      <w:bookmarkStart w:id="103" w:name="pg16780_176933"/>
    </w:p>
    <w:p>
      <w:pPr>
        <w:pStyle w:val="Heading4"/>
        <w:numPr>
          <w:ilvl w:val="3"/>
          <w:numId w:val="1"/>
        </w:numPr>
        <w:rPr/>
      </w:pPr>
      <w:bookmarkStart w:id="104" w:name="__RefHeading___Toc7189529_73709187"/>
      <w:bookmarkStart w:id="105" w:name="_Toc38"/>
      <w:bookmarkEnd w:id="103"/>
      <w:bookmarkEnd w:id="104"/>
      <w:r>
        <w:rPr>
          <w:rtl w:val="true"/>
        </w:rPr>
        <w:t>الحلقة الثامنة عشرة</w:t>
      </w:r>
      <w:r>
        <w:rPr>
          <w:rtl w:val="true"/>
        </w:rPr>
        <w:t>:</w:t>
      </w:r>
      <w:r>
        <w:rPr>
          <w:rtl w:val="true"/>
        </w:rPr>
        <w:t xml:space="preserve">اليوم الثامن عشر من شهر رمضان </w:t>
      </w:r>
      <w:r>
        <w:rPr/>
        <w:t>1436</w:t>
      </w:r>
      <w:r>
        <w:rPr>
          <w:rtl w:val="true"/>
        </w:rPr>
        <w:t xml:space="preserve"> </w:t>
      </w:r>
      <w:r>
        <w:rPr>
          <w:rtl w:val="true"/>
        </w:rPr>
        <w:t>ه‍</w:t>
      </w:r>
      <w:bookmarkEnd w:id="105"/>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أحمد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الإمامة ليست من أُصول الاعتقاد ولا متعلّقة بالإيمان أو بالكفر عند أهل السنّة؛ لأنّ الإيمان يُبنى على الاعتقاد، حيث إنّه عمل قلبي، وليس من أعمال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فإنّ 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أصل من أُصول الدين فمن لا يؤمن بالإمامة لا يكتمل إيمانه وليس شيعياً، وأُصول الدين عند الشيعة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والإيمان بالمعاد بالبعث أي الحياة بعد الممات والجنة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والشيعة متّفقون في كلّ هذه الأُصول ما عدا أصل الإمامة، فالشيعة يعتقدون أنّها من أُصول الدين، فكما يجب على المسلم أن يعتقد بالنبوة، فيجب عليه أيضاً بالإمامة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الدكتور في بيان النظريتين لا غبار عليه، ولتبيين موضع الإمامة عند أهل السنّة نذكر ما ذكره التفتازاني في شرح المقاصد حتّى يعلم أنّها فرع من فروع الدين عندهم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أنّ مباحث الإمامة بعلم الفروع أليق لرجوعها إلى القيام بالإمامة ونصب الإمام الموصوف بالصفات المخصوصة من فروض الكفايات، وهي أُمور كلّية تتعلّق بها مصالح دينية أو دنيوية، لا ينتظم الأمر إلّابحصولها ويقصد بتحصيلها في الجملة من غير أن يقصد أُصولها من كلّ أحد ولا خفاء في ذلك أنّها من الأحكام العملية دون الاعتقادية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ويقول السيد الشريف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ليست من أُصول الديانات والعقائد بل هي عندنا من الفروع المتعلّقة بأفعال المكلّفين، إذ نصب الإمام عندنا واجب على الأُمة سمعاً، وإنّما ذكرناه في علم الكلام تأسّياً بمن قبلنا إذ جرت العادة من المتكلمين بذكرها في أواخر كتبهم للفائدة المذكورة في صدر الكتاب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مسألة الإمامة من الأحكام الفرعية الّتي ربّما يكثر فيها الخلاف، فلا عتب على مَن لم يعتقد بخلافة الخلفاء استناداً إلى دليل مقنع عنده كما هو الحال في عامّة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لاحظت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من القدماء، أو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للجزيري، قلّما تجد مسألة كلّية مصونة من الاختلاف، فكما يكون المخالف فيها معذوراً فليكن المخالف في خلافة الخلفاء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 الاختلاف في عدالة الصحابة من أوّلهم إلى آخرهم ليست مسألة أُصولية عقديّة وإنّما هي أمر تاريخي يمكن أن يقع مورد الخلاف والخصام، فالموافق والمخالف كلّهم يتظلّلون تحت خيمة الإسلام لكنّهم يختلفون في أُمور تاريخية لكلّ دليله ومدركه، وللمحقّق سعد الدين التفتازاني كلام في المقام نذكره بنصّه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بين الصحابة من المحاربات والمشاجرات على الوجه المسطور في كتب التواريخ، والمذكور على ألسنة الثقاة، يدلّ بظاهره على أنّ بعضهم قد حاد عن طريق الحق، وبلغ حد الظلم والفسق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الباعث له الحقد</w:t>
      </w:r>
    </w:p>
    <w:p>
      <w:pPr>
        <w:pStyle w:val="BookText"/>
        <w:rPr/>
      </w:pPr>
      <w:r>
        <w:rPr>
          <w:rFonts w:ascii="Amiri" w:hAnsi="Amiri" w:eastAsia="Amiri" w:cs="Amiri"/>
          <w:color w:val="111111"/>
          <w:sz w:val="28"/>
          <w:sz w:val="28"/>
          <w:szCs w:val="28"/>
          <w:rtl w:val="true"/>
          <w:lang w:bidi="ar-SA"/>
        </w:rPr>
        <w:t>والعناد، والحسد واللداد، وطلب الملك والرئاسة، والميل إلى اللّذات والشهوات، إذ ليس كلّ صحابي معصوماً، ولا كلّ من لقي النبيّ صلى الله عليه و آله و سلم بالخير موسوماً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العلماء لحسن ظنّهم بأصحاب رسول اللّه صلى الله عليه و آله و سلم ذكروا لها محامل وتأويلات بها تليق، وذهبوا إلى أنّهم محفوظون عمّا يوجب التضليل والتفسيق صوناً لعقائد المسلمين عن الزيغ والضلالة في حقّ كبار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المهاجرين منهم والأنصار، والمبشرين بالثواب في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جرى بعدهم من الظلم على أهل بيت النبيّ صلى الله عليه و آله و سلم فمن الظهور بحيث لا مجال للإخفاء، ومن الشناعة بحيث لا اشتباه على الآراء، إذ تكاد تشهد به الجماد والعجماء، ويبكي له من في الأرض والسماء، وتنهدّ منه الجبال، وتنشق الصخور، ويبقى سوء عمله على كرّ الشهور ومر الدهور، فلعنة اللّه على من باشر، أو رضي، أو سعى، ولعذاب الآخرة أشد وأبقى</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نعم أنّ نظرية الإمامة عند الشيعة الإمامية مبنية على أنّها منصب إلهي لا اجتماعي وقد بيّنت دلائلها ومصادرها في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الغرض هو الإيجاز في المقام وتحليل كلمات الدكتور أحمد الطيب فلنكتف بما ذكرنا، ومن أراد التفصيل فليرجع إلى الموسوعات الكلامية لعلماء الإسلام</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لابدّ من الإيعاز إلى أمر وهو أنّ أُصول الدين عند الإمامية تنحصر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فمن اعتقد بها فهو مسلم، يحرم دمه وماله إلّابسبب شرعي؛ وأمّا الاعتقاد بالعدل والإمامة فهو من أُصول المذهب</w:t>
      </w:r>
      <w:bookmarkStart w:id="106" w:name="pg16780_176936"/>
    </w:p>
    <w:p>
      <w:pPr>
        <w:pStyle w:val="BookText"/>
        <w:rPr/>
      </w:pPr>
      <w:bookmarkEnd w:id="106"/>
      <w:r>
        <w:rPr>
          <w:rFonts w:ascii="Amiri" w:hAnsi="Amiri" w:eastAsia="Amiri" w:cs="Amiri"/>
          <w:color w:val="111111"/>
          <w:sz w:val="28"/>
          <w:sz w:val="28"/>
          <w:szCs w:val="28"/>
          <w:rtl w:val="true"/>
          <w:lang w:bidi="ar-SA"/>
        </w:rPr>
        <w:t>بمعنى أنّه لا يوصف الرجل بالشيعي إلّاإذا اعتقد بهما وأن اللّه عادل لا يجور عقلاً، وأنّ القيادة الشرعية بعد رحيل النبيّ صلى الله عليه و آله و سلم، فوضت بتخصيص من النبيّ إلى علي وأوصيائه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يعتقد بهما لا يوصف بكونه شيعيّاً، ولكنّه مسلم تجري عليه كلّ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محلّه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189531_73709187"/>
      <w:bookmarkStart w:id="108" w:name="_Toc39"/>
      <w:bookmarkEnd w:id="107"/>
      <w:r>
        <w:rPr>
          <w:rtl w:val="true"/>
        </w:rPr>
        <w:t xml:space="preserve">الحلقة التاسعة عشرة اليوم التاسع عشر من شهر رمضان </w:t>
      </w:r>
      <w:r>
        <w:rPr/>
        <w:t>1436</w:t>
      </w:r>
      <w:r>
        <w:rPr>
          <w:rtl w:val="true"/>
        </w:rPr>
        <w:t xml:space="preserve"> </w:t>
      </w:r>
      <w:r>
        <w:rPr>
          <w:rtl w:val="true"/>
        </w:rPr>
        <w:t>ه‍</w:t>
      </w:r>
      <w:bookmarkEnd w:id="108"/>
    </w:p>
    <w:p>
      <w:pPr>
        <w:pStyle w:val="Heading5"/>
        <w:numPr>
          <w:ilvl w:val="4"/>
          <w:numId w:val="1"/>
        </w:numPr>
        <w:rPr/>
      </w:pPr>
      <w:bookmarkStart w:id="109" w:name="__RefHeading___Toc7189533_73709187"/>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قال الدكتور أحمد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السقيفة نموذج مبكر لديمقراطية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مفهوم إلهي عند الشيعة بينما هو عند السنّة مفهوم خاضع للأحكام البشرية، لأنّ أهل السنّة يرون أن النبيّ صلى الله عليه و آله و سلم لم ينصّ على أحد من بعده وترك المسلمين أحراراً فيمن يختارون، مثل ما حدث في اجتماع الصحابة في السقيفة واختاروا أبا بكر خليفة للمسلمين بطريقة ديمقراطية، وهذا الأمر بالعكس عند الشيعة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حدّد إماماً من بعده وهو الإمام عليّ بن أبي طالب عليه السلام وأنّ المسألة لا تخضع لاختيار الأُمة ولا لاختيار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أفاض الكلام في أنّ الخليفة عند أهل السنّة ليس معصوماً لكنّه معصوم عند الشيعة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عند الشيعة أصل من أُصول الدين، وليست أمراً متروكاً لتقدير الناس أو اختيارهم، ومن لا يعتقد بذلك فلا يكون شيعياً، بل لا يكون مسلماً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الخلافة عند أهل السنّة فليست من أُصول الدين، وإنّما هي من المسائل العملية، إذ لمّا كانت هناك أحكام تتطلّب خليفة أو حاكماً قلنا</w:t>
      </w:r>
    </w:p>
    <w:p>
      <w:pPr>
        <w:pStyle w:val="BookText"/>
        <w:rPr/>
      </w:pPr>
      <w:r>
        <w:rPr>
          <w:rFonts w:ascii="Amiri" w:hAnsi="Amiri" w:eastAsia="Amiri" w:cs="Amiri"/>
          <w:color w:val="111111"/>
          <w:sz w:val="28"/>
          <w:sz w:val="28"/>
          <w:szCs w:val="28"/>
          <w:rtl w:val="true"/>
          <w:lang w:bidi="ar-SA"/>
        </w:rPr>
        <w:t>بوجوب اختيار الأُمّة لخليفة يقيم لها الأحكام ويحفظ عليها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الدكتور على أنّ انتخاب الخليفة الأوّل في سقيفة بني ساعدة يمثل ممارسة ديمقراطية في ذلك العهد، وها نحن نذكر مجريات الأُمور في السقيفة حتّى يُعلم أنّه هل كان الانتخاب انتخاباً صحيحاً وعقلائياً وحسب اصطلاح الدكتور ديمقراطياً، أو كان فلتة من الفلتات‌؟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تحديد أحد الوجهين بدون سرد القصة كما وردت في المصادر، بدون تغيير، ثم القضاء عليها وتحليل الأحداث كما ورد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رسول اللّه صلى الله عليه و آله و سلم وأبو بكر في السنح، وعمر حاضر،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المنافقين يزعمون أنّ رسول اللّه توفّي، وأنّ رسول اللّه واللّه ما مات ولكن ذهب إلى ربّه كما ذهب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ليرجعن رسول اللّه فليقطعنّ أيدي رجالٍ وأرجلهم يزعمون أنّ رسول اللّه مات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أبو بكر حتّى نزل على باب المسجد حين بلغه الخبر وعمر يكلم الناس حتّى دخل على رسول اللّه ورسول اللّه مسجّى في ناحية البيت فأقبل حتّى كشف عن وجهه ثم أقبل عليه فقبّله ثم ردّ الثوب على وجهه فقال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رسلك يا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أنّه مَن كان يعبد محمّداً فإنّ محمداً قد مات ومن كان يعبد اللّه فإن اللّه حيٌّ لا يموت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قال</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وعرفت أنّ رسول اللّه قد مات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قبض رسول اللّه انحاز هذا الحيّ من الأنصار إلى سعد بن عبادة في سقيفة بني ساعدة وأبو بكر وعمر حول بيت النبيّ صلى الله عليه و آله و سلم يفكّران في تجهيز النبيّ صلى الله عليه و آله و سلم كسائر المهاجرين، إذ جاء رجلان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 بن ساعدة ومعن 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 من الأنصار مع سعد بن عبادة في سقيفة بني ساعدة قد انحازوا إليه، فإن كان لكم بأمر الناس حاجة فأدركوا قبل أن يتفاقم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آله و سلم في بيته لم يفرغ من أمره قد أَغلق دونه الباب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هؤلاء من الأنصار حتّى ننظر ما هم عليه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فدخلا ومعهما أبو عبيدة السقيفة وسعد بن عبادة وهو يخطب ويقول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الأنصار لكم سابقة وفضيلة ليست لأحد من العرب، إنّ محمد صلى الله عليه و آله و سلم لبث في قومه بضع عشرة سنة يدعوهم فما آمن به إلّاالقليل، ما كانوا يقدرون على منعه ولا على إعزاز دينه ولاعلى دفع ضيم،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بكم الفضيلة ساق إليكم الكرامة ورزقكم الإيمان به وبرسوله والمنع له ولأصحابه والإعزاز له ولدينه والجهاد لأعدائه فكنتم أشدّ الناس على عدوّه حتّى استقامت العرب لأمر اللّه طوعاً وكرهاً وأعطى البعيد المقادة صاغراً فدانت لرسوله بأسيافكم العرب، وتوفّاه اللّه وهو عنكم راضٍ قرير العين، استبدّوا بهذا الأمر دون الناس، فإنّه لكم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وفّقت وأصبت الرأي ونحن نولّيك هذا الأمر فإنّك مقنع ورضاً للمؤمنين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خطب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الأنصار مَن لا ينكر فضلهم في الدين ولا سابقتهم في الإسلام رضيكم اللّه أنصاراً لدينه ورسوله وجعل إليكم هجرته، فليس بعد المهاجرين الأولين عندنا بمنزلتكم، فنحن الأُمراء وأنتم الوزراء لا تفاوتون بمشورة ولا تقضى دونكم الأُمور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إن تطاولت إليه الخزرج لم تقصر عنه الأوس، وإن تطاولت إليه الأوس لم تقصر عنه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بين الحيين قتلى لا تنسى وجراح لا تداوى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نعق منكم ناعق فقد جلس بين لحيي أسد يضغمه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 ويجرحه الأنصاري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حباب بن المنذر بين الجموع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عليكم أمركم فإنّ الناس في ظلّكم ولن يجترئ على خلافكم ولا يصدروا إلّا عن رأيكم، أنتم أهل العزّ وأُولو العدد والمنعة وذوو البأس، وإنّما ينظر الناس ما تصنعون، ولا تختلفوا فيفسد عليكم أمركم، وإن أبى هؤلاء إلّاما سمعتم، فمنّا أمير ومنهم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أنا أبو شبل في عرينة الأسد، واللّه لئن شئتم لنعيدنها جذعة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اثنان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ترضى العرب</w:t>
      </w:r>
    </w:p>
    <w:p>
      <w:pPr>
        <w:pStyle w:val="BookText"/>
        <w:rPr/>
      </w:pPr>
      <w:r>
        <w:rPr>
          <w:rFonts w:ascii="Amiri" w:hAnsi="Amiri" w:eastAsia="Amiri" w:cs="Amiri"/>
          <w:color w:val="111111"/>
          <w:sz w:val="28"/>
          <w:sz w:val="28"/>
          <w:szCs w:val="28"/>
          <w:rtl w:val="true"/>
          <w:lang w:bidi="ar-SA"/>
        </w:rPr>
        <w:t>أن تؤمّركم ونبينا من غيركم، ولا تمتنع العرب أن تولّي أمرها مَنْ كانت النبوّة فيهم، ولنا بذلك الحجّة الظاهرة، مَن ينازعنا سلطان محمّد ونحن أولياؤه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عمر عن تهديد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ليقتلك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تمّ الجدال بين الطائفتين، وهيمن السكوت لم يفضه إلّابشير بن سعد الخزرجي الّذي هو ابن عم سعد بن عبادة، حينما شعر بأنّ الأنصار يميلون إلى سعد بن عبادة، وكان يكنّ له العداء والحقد ولا يرضى بإمارته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محمداً من قريش وقومه أحق به وأولى، وأيم اللّه لا يراني اللّه أُنازعهم في هذا الأمر أبداً، فاتّقوا اللّه ولا تخالفوهم ولا تنازعوهم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الحالة استغلّ أبو بكر الفرصة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وهذا أبو عبيدة فأيّهما شئتم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نتولّى هذا الأمر عليك أبسط يدك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ذهبا يبايعانه سبقهما بشير بن سعد فبايعه فناداه الحباب 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أنفِسَت على ابن عمّك الإمارة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رأت الأوس ما صنع بشير بن سعد، وما تدعو إليه قريش، وما تطلب الخزرج من تأمير سعد بن عبادة، قال بعضهم لبعض، وفيهم أسيد بن حضير، وكان أحد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لا زالت لهم عليكم بذلك الفضيلة، ولا جعلوا لكم معهم فيها نصيباً أبداً، فقوموا فبايعوا أبا بكر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فقاموا إليه فبايعوه، فانكسر على سعد بن عبادة وعلى الخزرج ما كانوا أجمعوا له من أمره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يبايعون أبا بكر وكادوا يطئون سعد بن عبادة، فقال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اقتلوه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عضدك، فأخذ سعد بلحية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هاهنا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بي قوّة مّا، أقوى على النهوض، لسمعت مني في أقطارها وسككها زئيراً يجحرك وأصحابك، أما واللّه إذاً لألحقنك بقوم كنت فيهم تابعاً غير 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من هذا المكان، فحملوه وأدخلوه في داره وترك أيّاماً ثم بُعث إليه أن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أنّ الجن اجتمعت لكم مع الإنس ما بايعتكم حتّى أُعرض على ربيّ‌، وأعلم ما حسابي،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تدعوه حتّى يبايع،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لجّ وأبى وليس بمبايعكم حتّى يقتل وليس بمقتول حتّى يقتل معه ولده وأهل بيته وطائفة من عشيرته، فتركوه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قبيلة أسلم فبايعت، فقوي أبو بكر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 وبنو هاشم والزبير ستة أشهر لم يبايعوا أبا بكر حتّى ماتت فاطمة رضي اللّه عنها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هذه صورة مصغرّة ملخّصة من أحداث السقيفة نقلتها من مصادرها بلا تصرّف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فلنرجع إلى كلام الدكتور هل كانت هذه البيعة بيعة ديمقراطية أو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فلنرجع إلى ما حررنا</w:t>
      </w:r>
      <w:r>
        <w:rPr>
          <w:rFonts w:eastAsia="Amiri" w:cs="Amiri" w:ascii="Amiri" w:hAnsi="Amiri"/>
          <w:color w:val="111111"/>
          <w:sz w:val="28"/>
          <w:szCs w:val="28"/>
          <w:rtl w:val="true"/>
          <w:lang w:bidi="ar-SA"/>
        </w:rPr>
        <w:t>.</w:t>
      </w:r>
      <w:bookmarkStart w:id="111" w:name="pg16780_176942"/>
    </w:p>
    <w:p>
      <w:pPr>
        <w:pStyle w:val="Heading5"/>
        <w:numPr>
          <w:ilvl w:val="4"/>
          <w:numId w:val="1"/>
        </w:numPr>
        <w:rPr/>
      </w:pPr>
      <w:bookmarkStart w:id="112" w:name="__RefHeading___Toc7189535_73709187"/>
      <w:bookmarkStart w:id="113" w:name="_Toc41"/>
      <w:bookmarkEnd w:id="111"/>
      <w:bookmarkEnd w:id="112"/>
      <w:r>
        <w:rPr>
          <w:rtl w:val="true"/>
        </w:rPr>
        <w:t>تحليل أحداث السقيفة</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جهل عمر بهذا الأمر الواضح والحال أنّ النبيّ صلى الله عليه و آله و سلم مسجّى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يصفه بأنّه غاب كغيبة موسى عليه السلام وسيرجع‌؟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أنّه رجع فوراً عند سماع الآية الّتي تلاها أبو بكر،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أظنّ كما تدلّ عليه قرائن الحادثة أنّه أراد بطرح هذه الفكرة أن يصرف القوم عمّا 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ينوب مناب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ويحوّل تفكيرهم إلى ناحية أُخرى حتّى لا يحدثوا بيعة واحد من الناس قبل وصول صاحبه، وليس هناك مَن تحوم حوله الأفكار إلّاعليّاً للنصّ عليه كما نعتقد، أو لأنّه أولى الناس، حتّى كان عامّة المهاجرين وجلّ الأنصار لا يشكّون أنّ عليّاً هو صاحب الأمر بعد رسول اللّه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انتخاب الخليفة عن طريق المشورة باجتماع أهل الحلّ والعقد فهذا الشرط لم يكن متوفراً في سقيفة بني ساعدة، فلو أرادوا الانتخاب الصحيح للخليفة كان عليهم أن يخبروا عامّة المهاجرين وعلى رأسهم بنو هاشم بما يجري في سقيفة بني ساعدة حتّى يجتمع الجميع ويتشاوروا بضع أيام لانتخاب ما هو الأصلح، مع أنا نرى أنّ الشيخين لم يخبرا أحداً من المهاجرين إلّا أبا عبيدة، أو شخصاً رابعاً، وهذا يدلّ على أنّ موقفهم هذا كان انتهازاً للفرصة، إذ لو كان بنو هاشم وعلى رأسهم علي بن أبي طالب، في مجلس المشاورة لما تمّ هذا الأمر وبهذه السرعة في يوم واحد أو ساعة أو ساعتين لأبي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للخليفة في الشريعة الإسلامية شروطاً ومؤهّلات، فكان اللازم على القوم أن يبحثوا عن وجود هذه الملاكات في أيّ شخص من المهاجرين</w:t>
      </w:r>
    </w:p>
    <w:p>
      <w:pPr>
        <w:pStyle w:val="BookText"/>
        <w:rPr/>
      </w:pPr>
      <w:r>
        <w:rPr>
          <w:rFonts w:ascii="Amiri" w:hAnsi="Amiri" w:eastAsia="Amiri" w:cs="Amiri"/>
          <w:color w:val="111111"/>
          <w:sz w:val="28"/>
          <w:sz w:val="28"/>
          <w:szCs w:val="28"/>
          <w:rtl w:val="true"/>
          <w:lang w:bidi="ar-SA"/>
        </w:rPr>
        <w:t>والأنصار حتّى ينتخبوا الأعلم بكتاب اللّه وسنّة رسوله، والأقوى في إدارة الأُمور، إلى غير ذلك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نرى أنّ المجتمعين عدلوا عن هذه المعايير إلى معايير جاهلية وقبيلية، فالأنصار اعتمدوا على أنّهم نصروا النبيّ صلى الله عليه و آله و سلم وآووا المهاجرين وجاهدوا المشركين، والشيخان وأبو عبيدة اعتمدوا على كون النبيّ صلى الله عليه و آله و سلم منهم، وكلا المعيارين لا يلازم كون الخليفة منهم، فنصرتهم للدين لا تدلّ على أنّ مرشّحهم واجد للمؤهلات، كما أنّ كون النبيّ من عشيرتهم لا يلازم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الحيّين الأوس والخزرج كانا متنافسين ومتخاصمين منذ أمد بعيد، وكان يوم بُعاث أشدّ الأيام بينهم في القتال، والنبيّ الأكرم صلى الله عليه و آله و سلم جعلهما إخوة وأمرهم بتناسي ما سبق؛ ويا للأسف، ترى أنّ الخليفة يشير إلى تلك المنافسات الشيطانية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إن تطاولت إليه الخزرج لم تقصر عنه الأوس، وإن تطاولت إليه الأوس لم تقصر عنه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بين الحيّين قتلى لا تنسى وجراح لا تُداوى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نعق منكم ناعق فقد جلس بين لحيي أسد يضغمه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 ويجرحه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بكلامه هذا أحيا ما كان قد خفي من الخلافات والنزعات الجاهلية، فكلامه هذا صار سبباً لانفضاض الوحدة بين الأنصار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النبيّ صلى الله عليه و آله و سلم جعل الحيين إخوة وأمرهم بتناسي ما كانوا عليه من الخلافات، ورغم ذلك كانت جذور التنافس والتنافر بين الحيّين موجودة ويشهد على ذلك ما رواه البخاري عن عائشة في أمر الإفك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و سلم من يومه فاستعذر من عبداللّه بن أُبي وهو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معشر المسلمين مَن يعذرني من رجل قد بلغني عنه أذاه في أهلي، واللّه ما علمت على أهلي إلّاخيراً، ولقد ذكروا رجلاً ما علمت عليه إلّاخيراً وما يدخل على أهلي إلّامعي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أخو بني عبد الأشهل،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أعذرك فإن كان من الأوس ضربت عنقه، وإن كان من إخواننا من الخزرج أمرتنا ففعلنا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وهو سيد الخزرج، وكان قبل ذلك رجلاً صالحاً ولكن احتملته الحميّة، 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تقتله ولا تقدر على قتله، ولو كان من رهطك ما أحببت أن يُقتل، فقام أُسيد بن حضير وهو ابن عمّ سعد،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فإنّك منافق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الحيّان الأوس والخزرج حتّى همّوا أن يقتتلوا، ورسول اللّه قائم على المنبر، فلم يزل رسول اللّه صلى الله عليه و آله و سلم يخفضّهم حتّى سكتوا وسكت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أبا بكر يقدّم الرجلين للبيعة ويقول لكلّ من عمر وأبي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ابسط يدك لأُبايعك، وهما يردّان عليه الأمر قائلين بأنّك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وجود اتّفاق بين الثلاثة حتّى يتمّ الأمر إلى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كان اللازم للخليفة أن يبحث عن الأصلح داخل السقيفة وخارجها ويرشّحه للخلافة، مكان ترشيحه هذين الرجلين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بيعة الأوس لم تكن مبنية على أنّ أبا بكر كان يتحلّى بالمؤهّلات الّتي تصلح لأن يكون هو الخليفة، وإنّما بايعوه لأجل أن لا يكون للحيّ المنافس لهم، مزيّة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مجلس المشاورة يسوده الهدوء واستماع منطق المخالف، ثم أخذ الرأي بأمانة خاصّة، ولا نرى هذا الشرط موجوداً بأقل وجه في مجلس السقيفة،</w:t>
      </w:r>
    </w:p>
    <w:p>
      <w:pPr>
        <w:pStyle w:val="BookText"/>
        <w:rPr/>
      </w:pPr>
      <w:r>
        <w:rPr>
          <w:rFonts w:ascii="Amiri" w:hAnsi="Amiri" w:eastAsia="Amiri" w:cs="Amiri"/>
          <w:color w:val="111111"/>
          <w:sz w:val="28"/>
          <w:sz w:val="28"/>
          <w:szCs w:val="28"/>
          <w:rtl w:val="true"/>
          <w:lang w:bidi="ar-SA"/>
        </w:rPr>
        <w:t>بل كان أشبه بمجلس المهاترة حيث إنّ سعد بن عبادة يأخذ بلحية عمر ويقول ما يقول، ويجيبه عمر بما مرّ عليك، إلى أن انتهى إلى وطء سعد بن عبادة، ذلك الرجل الهرم الّذي خدم الإسلام من حين آمن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يصف الدكتور هذا الانتخاب انتخاباً ديمقراطياً مع أنّ رفيق الخليفة في شبابه وهرمه يصف الانتخاب بأنّه فلتة وقى اللّه المسلمين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البخاري في صحيحه عن ابن عباس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مات عمر 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بيعة أبي بكر فلتة وتمّت، ألا وإنّها قد كانت كذلك، ولكنّ اللّه وقى شرّها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 الانتخاب بسرعة خاطفة لم تبق مجال للمفكّر حتّى يفكّر بالموضوع، ولا للمعارض أن يقيم حجّة، فكانت مفاجأة في مفاجأة مع أنّ العاطفة العدائية عند الأوس المهيّجة من أبي بكر كان لها الأثر الفعّال في انتخاب الخليفة، فلا يمكن لباحث أن يتّخذ هذا النوع من الانتخاب إسوة للأجيال الآتية فالحادثة من مبدئها إلى منتهاها كانت على غفلة من علي عليه السلام ومن بني هاشم إلى آخر لحظة منها، وأهمل شأنهم كأنّهم لم يكونوا من المسلمين، أو لم يكونوا من الحاضرين في المدينة إلّابعد أن تمّ كلّ شيء</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كان من مانع شرعي أو عقلي أو عرفي يمنع من تأجيل عقد البيعة إلى فراغهم من تجهيز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بأن يوكل حفظ الأمن إلى القيادة العسكرية مؤقتاً حتّى يستتب أمر الخلافة‌؟ أليس هذا المقدار من التريّث كان</w:t>
      </w:r>
    </w:p>
    <w:p>
      <w:pPr>
        <w:pStyle w:val="BookText"/>
        <w:rPr/>
      </w:pPr>
      <w:r>
        <w:rPr>
          <w:rFonts w:ascii="Amiri" w:hAnsi="Amiri" w:eastAsia="Amiri" w:cs="Amiri"/>
          <w:color w:val="111111"/>
          <w:sz w:val="28"/>
          <w:sz w:val="28"/>
          <w:szCs w:val="28"/>
          <w:rtl w:val="true"/>
          <w:lang w:bidi="ar-SA"/>
        </w:rPr>
        <w:t>أرفق بهؤلاء المفجوعين‌؟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وديعة النبيّ صلى الله عليه و آله و سلم لديهم، وبقيته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جرى بعد انتخاب الخليفة على أهل بيت النبوّة وأخي رسول اللّه عليّ عليه السلام وبضعة الرسول فلنجعجع القلم عن ذكر الحوادث المريرة، ويكفي في مرارتها قول شاعر النيل حافظ إبراهيم في القصيدة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 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 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بقائلها أمام فارس عدنان وحاميها</w:t>
      </w:r>
    </w:p>
    <w:p>
      <w:pPr>
        <w:pStyle w:val="BookText"/>
        <w:rPr/>
      </w:pPr>
      <w:r>
        <w:rPr>
          <w:rFonts w:ascii="Amiri" w:hAnsi="Amiri" w:eastAsia="Amiri" w:cs="Amiri"/>
          <w:color w:val="111111"/>
          <w:sz w:val="28"/>
          <w:sz w:val="28"/>
          <w:szCs w:val="28"/>
          <w:rtl w:val="true"/>
          <w:lang w:bidi="ar-SA"/>
        </w:rPr>
        <w:t>فالبيعة الّتي تطالب بالتهديد والوعيد بإحراق البيت ومن فيه، هل تعدّ بيعة شرعية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هذه البيعة بيعة إسلامية فعلى الإسلام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ديمقراطية هذه الّتي تهدّد المعارضين بالقتل والنفي وحرق البيوت على أصحابها؟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جوابنا بكلام الإمام علي عليه السلام لمّا انتهت إليه أنباء السقيفة بعد وفاة رسول اللّه صلى الله عليه و آله و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احْتَجَجْتُمْ عَلَيْهِمْ بِأَنَّ رَسُولَ اللّهِ صلى الله عليه و آله و سلم وَصَّى بِأَنْ يُحْسَنَ إِلى مُحْسِنِهِمْ‌، وَيُتَجَاوَزَ عَنْ مُسِيئِهِمْ؟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وللإمام علي عليه السلام كلام آخر في 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w:t>
      </w:r>
      <w:bookmarkStart w:id="114" w:name="pg16780_176947"/>
    </w:p>
    <w:p>
      <w:pPr>
        <w:pStyle w:val="BookText"/>
        <w:rPr/>
      </w:pPr>
      <w:bookmarkEnd w:id="114"/>
      <w:r>
        <w:rPr>
          <w:rFonts w:ascii="Amiri" w:hAnsi="Amiri" w:eastAsia="Amiri" w:cs="Amiri"/>
          <w:color w:val="111111"/>
          <w:sz w:val="28"/>
          <w:sz w:val="28"/>
          <w:szCs w:val="28"/>
          <w:rtl w:val="true"/>
          <w:lang w:bidi="ar-SA"/>
        </w:rPr>
        <w:t>بِالصَّحَابَةِ وَلا تَكُونُ بِالصَّحابَةِ وَالْقَرَابَةِ؟ وروي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 فَكَيْفَ بِهذا وَ الْمُشِيرُونَ غُيَّبُ؟</w:t>
      </w:r>
    </w:p>
    <w:p>
      <w:pPr>
        <w:pStyle w:val="BookText"/>
        <w:rPr/>
      </w:pPr>
      <w:r>
        <w:rPr>
          <w:rFonts w:ascii="Amiri" w:hAnsi="Amiri" w:eastAsia="Amiri" w:cs="Amiri"/>
          <w:color w:val="111111"/>
          <w:sz w:val="28"/>
          <w:sz w:val="28"/>
          <w:szCs w:val="28"/>
          <w:rtl w:val="true"/>
          <w:lang w:bidi="ar-SA"/>
        </w:rPr>
        <w:t>وَإِنْ كُنْتُ بِالْقُربَى حَجَجْتَ خَصِيمَهُمْ فَغَيْرُكَ أَوْلَى بِالنَّبِيِّ وَ أَقْرَبُ‌</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وممّا ذكرنا يمكن للقارئ النابه أن يستنتج أنّ عمل القوم في انتخاب الخليفة لم يكن مستنداً إلى قاعدة إسلامية ولم يكن إلّاقراراً خاطفاً تحكمت فيه العواطف في المبدأ والمنتهى وكانت المعايير الّتي اعتمدت في إنتخاب الخليفة معايير جاهلية، وبذلك تمثّل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Style w:val="FootnoteAnchor"/>
          <w:rtl w:val="true"/>
        </w:rPr>
        <w:footnoteReference w:id="134"/>
      </w:r>
    </w:p>
    <w:p>
      <w:pPr>
        <w:pStyle w:val="Heading4"/>
        <w:numPr>
          <w:ilvl w:val="3"/>
          <w:numId w:val="1"/>
        </w:numPr>
        <w:rPr/>
      </w:pPr>
      <w:bookmarkStart w:id="115" w:name="__RefHeading___Toc7189537_73709187"/>
      <w:bookmarkStart w:id="116" w:name="_Toc42"/>
      <w:bookmarkEnd w:id="115"/>
      <w:r>
        <w:rPr>
          <w:rtl w:val="true"/>
        </w:rPr>
        <w:t>الحلقة العشرون</w:t>
      </w:r>
      <w:r>
        <w:rPr>
          <w:rtl w:val="true"/>
        </w:rPr>
        <w:t xml:space="preserve">: </w:t>
      </w:r>
      <w:r>
        <w:rPr>
          <w:rtl w:val="true"/>
        </w:rPr>
        <w:t xml:space="preserve">اليوم العشرون من شهر رمضان </w:t>
      </w:r>
      <w:r>
        <w:rPr/>
        <w:t>1436</w:t>
      </w:r>
      <w:r>
        <w:rPr>
          <w:rtl w:val="true"/>
        </w:rPr>
        <w:t xml:space="preserve"> </w:t>
      </w:r>
      <w:r>
        <w:rPr>
          <w:rtl w:val="true"/>
        </w:rPr>
        <w:t>ه‍</w:t>
      </w:r>
      <w:bookmarkEnd w:id="116"/>
    </w:p>
    <w:p>
      <w:pPr>
        <w:pStyle w:val="Heading5"/>
        <w:numPr>
          <w:ilvl w:val="4"/>
          <w:numId w:val="1"/>
        </w:numPr>
        <w:rPr/>
      </w:pPr>
      <w:bookmarkStart w:id="117" w:name="__RefHeading___Toc7189539_73709187"/>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ذكر الدكتور أحمد الطيّب في حديثه اليومي الّذي يُبث من الفضائية المصرية قبل الإفطار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من الفوارق الواضحة بين السنة والشيعة أنّ الأئمة الاثني عشر عند السنّة بشر يصيبون ويخطأون بينما هم معصومون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الأئمة عند الشيعة أفضل من الأنبياء والرسل عدا النبيّ محمد صلى الله عليه و آله و سلم، وهذا مخالف لعقيدة أهل السنّة الّذين يعتقدون أنّ الأنبياء والمرسلين</w:t>
      </w:r>
      <w:bookmarkStart w:id="119" w:name="pg16780_176948"/>
    </w:p>
    <w:p>
      <w:pPr>
        <w:pStyle w:val="BookText"/>
        <w:rPr/>
      </w:pPr>
      <w:bookmarkEnd w:id="119"/>
      <w:r>
        <w:rPr>
          <w:rFonts w:ascii="Amiri" w:hAnsi="Amiri" w:eastAsia="Amiri" w:cs="Amiri"/>
          <w:color w:val="111111"/>
          <w:sz w:val="28"/>
          <w:sz w:val="28"/>
          <w:szCs w:val="28"/>
          <w:rtl w:val="true"/>
          <w:lang w:bidi="ar-SA"/>
        </w:rPr>
        <w:t>معصومون ومفضّلون على باقي البشر، لأنّه يوحى إليهم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 شيخ الأزهر في هذه الحلقة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الأئمة الاثني عشر،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الأئمة أفضل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ثبوته ما ثبت من أحاديث صحيحة عن رسول اللّه صلى الله عليه و آله و سلم ومنها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7189541_73709187"/>
      <w:bookmarkStart w:id="121" w:name="_Toc44"/>
      <w:bookmarkEnd w:id="120"/>
      <w:r>
        <w:rPr/>
        <w:t>1</w:t>
      </w:r>
      <w:r>
        <w:rPr>
          <w:rtl w:val="true"/>
        </w:rPr>
        <w:t xml:space="preserve">. </w:t>
      </w:r>
      <w:r>
        <w:rPr>
          <w:rtl w:val="true"/>
        </w:rPr>
        <w:t>حديث الثقلين</w:t>
      </w:r>
      <w:bookmarkEnd w:id="121"/>
    </w:p>
    <w:p>
      <w:pPr>
        <w:pStyle w:val="BookText"/>
        <w:rPr/>
      </w:pPr>
      <w:r>
        <w:rPr>
          <w:rFonts w:ascii="Amiri" w:hAnsi="Amiri" w:eastAsia="Amiri" w:cs="Amiri"/>
          <w:color w:val="111111"/>
          <w:sz w:val="28"/>
          <w:sz w:val="28"/>
          <w:szCs w:val="28"/>
          <w:rtl w:val="true"/>
          <w:lang w:bidi="ar-SA"/>
        </w:rPr>
        <w:t>قال النبيّ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كأنّي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تواتر هذا الحديث في مصادر الفريقين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إنّ رسول الله صلى الله عليه و آله و سلم قد حكى في حديث الثقلين عن وجود التلازم بين عترته وأهل بيته وبين الكتاب العزيز، وأوصى المسلمين بالتمسّك بهما معاً مصطحبين، ليتجنّبوا الوقوع في الضلالة، وأشار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بمنزلة الخليفتين التوأمين عنه صلى الله عليه و آله و سلم، وهذا يقتضي أن يكون أهل البيت عليهم السلام مقارنين للكتاب في الوجود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وجود أحد المتلازمين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أنّه لابدّ في كلّ عصر، من حجّة معصوم مأمون يُقطع بصحّة قوله</w:t>
      </w:r>
      <w:r>
        <w:rPr>
          <w:rFonts w:eastAsia="Amiri" w:cs="Amiri" w:ascii="Amiri" w:hAnsi="Amiri"/>
          <w:color w:val="111111"/>
          <w:sz w:val="28"/>
          <w:szCs w:val="28"/>
          <w:rtl w:val="true"/>
          <w:lang w:bidi="ar-SA"/>
        </w:rPr>
        <w:t>.</w:t>
      </w:r>
      <w:bookmarkStart w:id="122" w:name="pg16780_176949"/>
    </w:p>
    <w:p>
      <w:pPr>
        <w:pStyle w:val="BookText"/>
        <w:rPr/>
      </w:pPr>
      <w:bookmarkEnd w:id="122"/>
      <w:r>
        <w:rPr>
          <w:rFonts w:ascii="Amiri" w:hAnsi="Amiri" w:eastAsia="Amiri" w:cs="Amiri"/>
          <w:color w:val="111111"/>
          <w:sz w:val="28"/>
          <w:sz w:val="28"/>
          <w:szCs w:val="28"/>
          <w:rtl w:val="true"/>
          <w:lang w:bidi="ar-SA"/>
        </w:rPr>
        <w:t>وممّا يؤيد ما ذكرنا أنّه ورد في ذيل بعض الصور أنّ النبيّ صلى الله عليه و آله و سلم بعد ما ذكر أنّه مخلّف كتاب ربه وعترته أهل بيته، قد أخذ بيد عليٍّ عليه السلام ورفعها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والقرآن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وعصمة القرآن أمرٌ مسلمٌ لا يُشكّ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لا يشكّ في عصمة مَن لا يفارقه</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189543_73709187"/>
      <w:bookmarkStart w:id="124" w:name="_Toc45"/>
      <w:bookmarkEnd w:id="123"/>
      <w:r>
        <w:rPr/>
        <w:t>2</w:t>
      </w:r>
      <w:r>
        <w:rPr>
          <w:rtl w:val="true"/>
        </w:rPr>
        <w:t xml:space="preserve">. </w:t>
      </w:r>
      <w:r>
        <w:rPr>
          <w:rtl w:val="true"/>
        </w:rPr>
        <w:t>حديث السفينة</w:t>
      </w:r>
      <w:bookmarkEnd w:id="124"/>
    </w:p>
    <w:p>
      <w:pPr>
        <w:pStyle w:val="BookText"/>
        <w:rPr/>
      </w:pPr>
      <w:r>
        <w:rPr>
          <w:rFonts w:ascii="Amiri" w:hAnsi="Amiri" w:eastAsia="Amiri" w:cs="Amiri"/>
          <w:color w:val="111111"/>
          <w:sz w:val="28"/>
          <w:sz w:val="28"/>
          <w:szCs w:val="28"/>
          <w:rtl w:val="true"/>
          <w:lang w:bidi="ar-SA"/>
        </w:rPr>
        <w:t>تضافرت الروايات عن النبيّ الأكرم صلى الله عليه و آله و سلم أنّه شبّه أهل بيته بسفينة نوح،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 وإنّما مثل أهل بيتي فيكم مثل باب حطّة 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شرف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المراد بتشبيههم عليهم السلام بسفينة نوح، أنّ مَن لجأ إليهم في الدين فأخذ فروعه وأُصوله عن أئمتهم الميامين، نجا من عذاب النار، ومَن تخلّف عنهم كان كمن آوى يوم الطوفان إلى جبل ليعصمه من أمر الله، غير أنّ ذاك غرق في الماء، وهذا في الحميم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تشبيههم عليهم السلام بباب حطّة هو أنّ الله تعالى جعل ذلك الباب مظهراً من مظاهر التواضع لجلاله والخضوع لحكمه، ولهذا كان سبباً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انقياد هذه الأُمّة لأهل بيت نبيّها والاتّباع لأئمتهم مظهراً من مظاهر التواضع لجلاله والبخوع لحكمه، وبهذا كان سبباً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حجر</w:t>
      </w:r>
      <w:r>
        <w:rPr>
          <w:rStyle w:val="FootnoteAnchor"/>
          <w:rtl w:val="true"/>
        </w:rPr>
        <w:footnoteReference w:id="139"/>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الأحاديث وغيرها من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تشبيههم بالسفينة أنّ مَن أحبّهم وعظّمهم شكراً لنعمة مشرّفهم، وأخذ بهدي علمائهم نجا من ظلمة المخالفات، ومَن تخلّف عن ذلك غرق في بحر كفر النعم، وهلك في مفاوز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دخول ذلك الباب الذي هو باب أريحا أو بيت المقدس مع التواضع والاستغفار سبباً للمغفرة، وجعل لهذه الأُمّة مودّة أهل البيت سبباً لها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وأمّا الأمر الثاني أعني أفضلية الأئمة على الأنبياء غير النبيّ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الكتاب أنّ عليّاً عليه السلام أفضل من سائر الأنبياء لأنّه عدّ فيه نفس النبيّ صلى الله عليه و آله و سلم في آية المباهلة النازلة في مباهلة النبيّ مع نصارى نجران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تضافرت النصوص على أنّ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وأنّ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والمراد</w:t>
      </w:r>
    </w:p>
    <w:p>
      <w:pPr>
        <w:pStyle w:val="BookText"/>
        <w:rPr/>
      </w:pP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فإذا كان عليّ عليه السلام نفس النبيّ صلى الله عليه و آله و سلم وهو أفضل من سائر الأنبياء فليكن عليّ أيضاً كذلك، ومع ذلك فليس في المسألة قول موحّد للشيعة؛ بل هي مسألة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الشيخ المفيد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قوم من أهل الإمامة بفضل الأئمة من آل محمد على سائر من تقدّم من الرسل والأنبياء سوى نبينا محمد صلى الله عليه و آله و سلم، وأوجب فريق منهم لهم الفضل على جميع الأنبياء سوى أُولي العزم منهم عليهم السلام، وأبى القولين فريق منهم آخر وقطعوا بفضل الأنبياء كلّهم على سائر الأئمة عليهم السلام، وهذا باب ليس للعقول في إيجابه والمنع منه مجال، ولا على أحد الأقوال فيه إجماع، وقد جاءت الآثار عن النبيّ صلى الله عليه و آله و سلم في أمير المؤمنين عليه السلام وذريته من الأئمة، والأخبار عن الأئمة الصادقين أيضاً من بعد، وفي القرآن مواضع تقوّي العزم على ما قاله الفريق الأوّل في هذا المعنى، وأنا ناظر فيه وباللّه اعتصم من الضلال</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ترى أنّ الشيخ المفيد شيخ الشيعة لم يتّخذ موقفاً موحّداً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 آخر للعلّامة السيد هبة الدين الشهرستاني وقد سأله 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الأئمة أفضل من الأنبياء أو الأمر بالعكس‌؟ فأجاب رحمه الله عنه بهذا النص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بالقياس إلى النبيّ صلى الله عليه و آله و سلم فالجميع دونه في جميع الفضائل وإنّما فضائلهم رشحات من فضله، وعلومهم مقتسبة من علمه، وشرفهم فرع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بالقياس إلى سائر الأنبياء السالفين فلا يبعد أن تكون جملة من هؤلاء أفضل</w:t>
      </w:r>
    </w:p>
    <w:p>
      <w:pPr>
        <w:pStyle w:val="BookText"/>
        <w:rPr/>
      </w:pPr>
      <w:r>
        <w:rPr>
          <w:rFonts w:ascii="Amiri" w:hAnsi="Amiri" w:eastAsia="Amiri" w:cs="Amiri"/>
          <w:color w:val="111111"/>
          <w:sz w:val="28"/>
          <w:sz w:val="28"/>
          <w:szCs w:val="28"/>
          <w:rtl w:val="true"/>
          <w:lang w:bidi="ar-SA"/>
        </w:rPr>
        <w:t>وأشرف من جملة من أُولئك، لأنّ في هؤلاء مَن هو أعلم وأشرف وأكثر جهاداً في سبيل اللّه وأصبر وأعظم نفعاً للبشر علمياً وأدبياً وأخلاقياً واجتماعياً، فلا يبقى ما يقف عثرة في سبيل التفضيل سوى ميزة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قرّرت في محلّه أنّ الخلافة لأفضل الأنبياء قد تعتبر أعظم درجة من بعض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الخلافة الإلهية عن أعظم الأنبياء أقلّ درجة من كلّ نبي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هذان النصّان أحدهما من شيخ الشيعة القدامى، والآخر من بعض فطاحلهم المتأخّرين يعربان عن أنّ المسألة ليست مورد اتّفاق للشيعة حتّى تُعدّ ممّا يميّز به الشيعة عن غيرهم، والعجب أنّ الدكتور يطرح هذه المسألة ونظائرها لتمييز إحدى الطائفتين عن الأُخرى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التفصيل في هذه المسألة فليرجع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للشيخ الجليل محمد بن شهرآشوب السروي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الشيعة وأُصولها للعلّامة الشهير الشيخ محمد الحسين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5"/>
      </w:r>
      <w:bookmarkStart w:id="125" w:name="pg16780_176953"/>
    </w:p>
    <w:p>
      <w:pPr>
        <w:pStyle w:val="Heading4"/>
        <w:numPr>
          <w:ilvl w:val="3"/>
          <w:numId w:val="1"/>
        </w:numPr>
        <w:rPr/>
      </w:pPr>
      <w:bookmarkStart w:id="126" w:name="__RefHeading___Toc7189545_73709187"/>
      <w:bookmarkStart w:id="127" w:name="_Toc46"/>
      <w:bookmarkEnd w:id="125"/>
      <w:bookmarkEnd w:id="126"/>
      <w:r>
        <w:rPr>
          <w:rtl w:val="true"/>
        </w:rPr>
        <w:t>الحلقة الحادية والعشرون</w:t>
      </w:r>
      <w:r>
        <w:rPr>
          <w:rtl w:val="true"/>
        </w:rPr>
        <w:t xml:space="preserve">: </w:t>
      </w:r>
      <w:r>
        <w:rPr>
          <w:rtl w:val="true"/>
        </w:rPr>
        <w:t xml:space="preserve">اليوم الحادي والعشرون من شهر رمضان </w:t>
      </w:r>
      <w:r>
        <w:rPr/>
        <w:t>1436</w:t>
      </w:r>
      <w:r>
        <w:rPr>
          <w:rtl w:val="true"/>
        </w:rPr>
        <w:t xml:space="preserve"> </w:t>
      </w:r>
      <w:r>
        <w:rPr>
          <w:rtl w:val="true"/>
        </w:rPr>
        <w:t>ه‍</w:t>
      </w:r>
      <w:bookmarkEnd w:id="127"/>
    </w:p>
    <w:p>
      <w:pPr>
        <w:pStyle w:val="BookText"/>
        <w:rPr/>
      </w:pPr>
      <w:r>
        <w:rPr>
          <w:rFonts w:ascii="Amiri" w:hAnsi="Amiri" w:eastAsia="Amiri" w:cs="Amiri"/>
          <w:color w:val="111111"/>
          <w:sz w:val="28"/>
          <w:sz w:val="28"/>
          <w:szCs w:val="28"/>
          <w:rtl w:val="true"/>
          <w:lang w:bidi="ar-SA"/>
        </w:rPr>
        <w:t>قال الدكتور أحمد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الخلاف بين السنّة والشيعة مسألة عقد الإمامة، أي بم تنعقد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أهل السنّة طريقان تنعقد بهما الإمامة لا ثالث لهما؛ إمّا باستخلاف الخليفة، كاختيار أبي بكر لعمر ليخلفه في الحكم؛ وإمّا ببيعة فريق من العلماء وأهل الحل والعقد؛ لاختيار شخص معيّن، فإذاً يصبح شرعاً هو الخليفة أو هو الحاكم، وهذا يشبه الوضع الحالي تقريباً لكنه وضع مصغّر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الراشدة أو خلافة النبوّة هي الّتي قامت عقب وفاة الرسول صلى الله عليه و آله و سلم وهي الدولة الّتي تعتمد الشورى في نظامها، وقد توالى على حكم الدولة الإسلامية أربعة خلفاء من كبار الصحابة، وجميعهم من العشرة المبشّرين بالجنّة،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وعمر بن الخطّاب، وعثمان بن عفان، وعلي بن أبي طالب، وهذا وفق معتقد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أُمّتي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للنبيّ حيث كانت خلافة الخلفاء الأربعة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الدكتور شيخ الأزهر في هذه المحاضرة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الخليفة إمّا باختيار الخليفة السابق أو باختيار أهل الحلّ والعقد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بعد النبيّ صلى الله عليه و آله و سلم لأربعة من كبار الصحابة، وأنّ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أُمّتي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عليه الماوردي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تنعقد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أهل الحلّ والعقد،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الإمام من قبل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أمر الإمامة منوطاً بانتخاب أهل الحلّ والعقد لما أهمل الرسول التصريح به والإرشاد إليه، كيف وأمر الإمامة أعظم الأُمور في حياة الأُمّة حيث يقود الإمام الأُمة الإسلامية بعد رحيل النبيّ‌، وكيف سكت عن ذلك مع أنّه صلى الله عليه و آله و سلم ذكر مندوبات الوضوء وآداب المائدة وغيرها من المستحبّات ودقائق الأُمور، ومع ذلك لم يصرّح بذلك الأمر المهم والخطير الّذي يتوقّف عليه مصير الأُمّة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الحلّ والعقد تعبير غامض، فمَن هم أهل الحلّ والعقد؟</w:t>
      </w:r>
    </w:p>
    <w:p>
      <w:pPr>
        <w:pStyle w:val="BookText"/>
        <w:rPr/>
      </w:pPr>
      <w:r>
        <w:rPr>
          <w:rFonts w:ascii="Amiri" w:hAnsi="Amiri" w:eastAsia="Amiri" w:cs="Amiri"/>
          <w:color w:val="111111"/>
          <w:sz w:val="28"/>
          <w:sz w:val="28"/>
          <w:szCs w:val="28"/>
          <w:rtl w:val="true"/>
          <w:lang w:bidi="ar-SA"/>
        </w:rPr>
        <w:t>وماذا 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يعقدون‌؟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عبدالكريم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أصحاب الفقه والرأي الّذين يرجع إليهم الناس فيما ينوبونهم في أُمور؟ وهل هناك درجة معيّنة من الفقه والعلم إذا بلغها الإنسان صار من أهل الحلّ والعقد؟ وما هي تلك الدرجة‌؟ وبأيّ ميزان توزن‌؟ ومَن إليه يرجع الأمر في تقديرها؟ إنّ كلمة أهل العقد والحلّ لأغمض غموضاً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 المسؤولون</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التعبير بأهل الحلّ والعقد عبارة أُخرى عن كون أساس الحكم ومنشئه هو الشورى حتّى يتشاور أعضاء الشورى في أمر الخلافة، فلو كانت صيغة الحكومة بعد النبيّ هي الشورى كان على النبيّ توعية الأُمّة وتطبيقها في حياته، إذ ليس أمر الحكومة أمراً صغيراً؛ بل هو أمر خطير خصوصاً في المجتمعات العشائرية الّتي يتنافس فيها شيخ العشيرة مع شيخ العشيرة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تحقيق للعلّامة الشهيد محمد باقر الصدر نأتي بإجماله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النبيّ صلى الله عليه و آله و سلم قد اتّخذ من مستقبل الدعوة بعده موقفاً إيجابياً يستهدف وضع نظام الشورى موضع التطبيق بعد وفاته مباشرة وإسناد زعامة الدعوة إلى القيادة الّتي تنبثق عن هذا النظام، لكان من أبده الأشياء الّتي يتطلّبها هذا الموقف الإيجابي أن يقوم الرسول القائد بعملية توعية للأُمّة والدعاة على نظام الشورى وحدوده وتفاصيله وإعطائه طابعاً دينياً مقدّساً وإعداد المجتمع الإسلامي إعداداً فكرياً وروحياً لتقبّل هذا النظام، وهو مجتمع نشأ من مجموعة من العشائر لم تكن قد عاشت قبل الإسلام وضعاً سياسياً على أساس الشورى وإنّما كانت تعيش في الغالب وضع زعامات قبلية وعشائرية تتحكّم فيها القوة والثروة وعامل الوراثة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بسهولة أن ندرك أنّ النبيّ صلى الله عليه و آله و سلم لم يمارس عملية التوعية على نظام الشورى وتفاصيله التشريعية أو مفاهيمه الفكرية؛ لأنّ هذه العملية لو كانت قد أُنجزت لكان من الطبيعي أن تنعكس وتتجسّد في الأحاديث المأثورة عن النبيّ صلى الله عليه و آله و سلم وفي ذهنية الأُمّة، أو على أقلّ تقدير في ذهنية الجيل الطليعي منها الّذي يضم المهاجرين والأنصار بوصفه هو المكلّف بتطبيق نظام الشورى، مع أنّنا لا نجد في الأحاديث المأثورة عن النبيّ صلى الله عليه و آله و سلم أي صورة تشريعية محدّدة لنظام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ذهنية الأُمّة أو ذهنية الجيل الطليعي منها فلا نجد فيها أي ملامح أو انعكاسات محدّدة لتوعية من ذلك القبيل</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غموض نظرية الشورى برمّتها وعدم ورود نصّ واضح وصريح حولها يقول الدكتور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كان للمسلمين هذا النظام المكتوب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نظام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المسلمون في أيام عثمان ما يأتون من ذلك، وما يدّعون دون أن تكون بينهم فرقة أو اختلاف</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كون الشورى أساساً للحكم غموضاً آخر غيرما ذكر، لم يرد في الشرع حلّه،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يجب أن يشاركوا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هل هم العلماء وحدهم، أو السياسيّون وحدهم، أو كلاهما معاً؟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يختارون أهل الشورى‌؟</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أهل الشورى في شخص فبأي شيء يكون الترجيح، هل يكون بملاك الكمّ‌، أم بملاك الكيف‌؟</w:t>
      </w:r>
    </w:p>
    <w:p>
      <w:pPr>
        <w:pStyle w:val="BookText"/>
        <w:rPr/>
      </w:pPr>
      <w:r>
        <w:rPr>
          <w:rFonts w:ascii="Amiri" w:hAnsi="Amiri" w:eastAsia="Amiri" w:cs="Amiri"/>
          <w:color w:val="111111"/>
          <w:sz w:val="28"/>
          <w:sz w:val="28"/>
          <w:szCs w:val="28"/>
          <w:rtl w:val="true"/>
          <w:lang w:bidi="ar-SA"/>
        </w:rPr>
        <w:t xml:space="preserve">إنّ جميع هذه الأُمور تتّصل بجوهر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يجوز ترك بيانها، وتوضيحها؟ وكيف سكت الإسلام عنها إن كان 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تعيين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الماوردي نفسه بعد تعرضه لبيان الوجهين في انعقاد الإمامة، تعرّض للاضطراب الّذي أصاب مفكري المدرسة السنية في هذا المجال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انعقادها باختيار أهل الحلّ والعقد، فقد اختلف العلماء في عدد من تنعقد به الإمامة منهم على مذاهب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إلّابجمهور أهل العقد والحلّ من كلّ بلد ليكون الرضاء به عامّاً والتسليم لإمامته اجماعياً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آخرون بأنّه مذهب مدفوع ببيعة أبي بكر على الخلافة باختيار من</w:t>
      </w:r>
    </w:p>
    <w:p>
      <w:pPr>
        <w:pStyle w:val="BookText"/>
        <w:rPr/>
      </w:pPr>
      <w:r>
        <w:rPr>
          <w:rFonts w:ascii="Amiri" w:hAnsi="Amiri" w:eastAsia="Amiri" w:cs="Amiri"/>
          <w:color w:val="111111"/>
          <w:sz w:val="28"/>
          <w:sz w:val="28"/>
          <w:szCs w:val="28"/>
          <w:rtl w:val="true"/>
          <w:lang w:bidi="ar-SA"/>
        </w:rPr>
        <w:t>حضرها ولم ينتظر ببيعته قدوم غائب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تنعقد به منهم الإمامة خمسة يجتمعون على عقدها أو يعقدها أحدهم برضا الأربعة استدلالاً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بيعة أبي بكر انعقدت بخمسة اجتمعوا عليها ثم تابعهم الناس فيها،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وأبو عبيدة بن الجراح وأسيد بن حضير وبشر بن سعد وسالم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جعل الشورى في ستة ليعقد لأحدهما برضا الخمسة، وهذا قول أكثر الفقهاء والمتكلمين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من علماء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بثلاثة يتولاها أحدهم برضا الاثنين ليكونوا حاكما وشاهدين كما يصحّ عقد النكاح بولي وشاهدين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بواحد، لأن العباس قال لعلي أُمدد يدك أبايعك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صلى الله عليه و آله و سلم بايع ابن عمه فلا يختلف عليك اثنان، ولأنّه حكم وحكم واحد نافذ</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ولم يغفل ابن حزم عن نقطة فساد هذه الآراء، في مطاوي حديثه عنها حيث إنّ البعض منها يعد تكليفا بما لا يطاق مضافاً إلى ضياع أُمور المسلمين قبل أن يجمع جزء من مائة جزء من فضلاء أهل هذه البلاد، مع أنّه لو كان ممكنا لما لزم لأنّه دعوى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من قال أن عقد الإمامة لا يصحّ إلّابعقد أهل حضرة الإمام وأهل الموضع الّذي فيه قرار الأئمة، فإن أهل الشام كانوا قد دعوا ذلك لأنفسهم حتّى حملهم ذلك على بيعة مروان وابنه عبدالملك واستحلوا بذلك دماء أهل الإسلام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قول فاسد لا حجة لأهله وكلّ قول في الدين عري عن ذلك من</w:t>
      </w:r>
    </w:p>
    <w:p>
      <w:pPr>
        <w:pStyle w:val="BookText"/>
        <w:rPr/>
      </w:pPr>
      <w:r>
        <w:rPr>
          <w:rFonts w:ascii="Amiri" w:hAnsi="Amiri" w:eastAsia="Amiri" w:cs="Amiri"/>
          <w:color w:val="111111"/>
          <w:sz w:val="28"/>
          <w:sz w:val="28"/>
          <w:szCs w:val="28"/>
          <w:rtl w:val="true"/>
          <w:lang w:bidi="ar-SA"/>
        </w:rPr>
        <w:t>القرآن أو من سنة رسول اللّه صلى الله عليه و آله و سلم أو من إجماع الأُمة المتيقن فهو باطل بيقين،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فصح أن من لا برهان له على صحة قوله فليس صادقاً فيه، فسقط هذا القول أيضاً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الدكتور الطيب اكتفى بذكر وجهين لتعيين الخليفة المتمثلين باختيار أهل الحلّ والعقد وتعيين الخليفة السابق، وأهمل الوجه الثالث المتمثل بالقهر والاستيلاء أو الغلبة بالسيف،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غلبهم بالسيف حتّى صار خليفة وسمي أمير المؤمنين فلا يحل لأحد يؤمن باللّه واليوم الآخر أن يبيت ولا يراه إماما، براً كان أو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وجود إمام مستقر ثم يخرج عليه آخر طلبا للملك، فقد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لمن غلب، واحتجّ لذلك بأن ابن عمر صلّى بأهل المدينة في زمن الحرّة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من غلب</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والأمر مطرد، فلو ثبتت الإمامة لواحد بالقهر والاستيلاء، فيجئ آخر ويقهره ويستولي على الأمر، ينعزل الأوّل ويصير الإمام هو الثاني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وهو كسابقه لا يستند إلى مرتكز شرعي وإنّما هو تبرير لواقع فرضته السياسة أو موقف اتخذه البعض كأبن عمر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كون الشورى أساس الحكم، وأمّا انعقاد الإمامة بعهد الإمام من قبل فليس له أي دليل سوى عمل الخلفاء حيث تمّت خلافة عمر بن الخطاب بتعيين أبي بكر، وهكذا كان الأمر في الخلافة الأموية والعباسية، فلو كانت صيغة الحكومة الإسلامية بعهد الخليفة من قبل، فمرجع هذا إلى الاستبداد الّذي يخالف روح الإسلام، وعلى هذا الأساس غير المشروع دالت الخلافة بين الأمويين والعباسيين من والد إلى ولد دون أن تتوفّر فيهم المؤهّلات اللازمة</w:t>
      </w:r>
    </w:p>
    <w:p>
      <w:pPr>
        <w:pStyle w:val="BookText"/>
        <w:rPr/>
      </w:pPr>
      <w:r>
        <w:rPr>
          <w:rFonts w:ascii="Amiri" w:hAnsi="Amiri" w:eastAsia="Amiri" w:cs="Amiri"/>
          <w:color w:val="111111"/>
          <w:sz w:val="28"/>
          <w:sz w:val="28"/>
          <w:szCs w:val="28"/>
          <w:rtl w:val="true"/>
          <w:lang w:bidi="ar-SA"/>
        </w:rPr>
        <w:t>للولاية والقدرة على الإدارة والسياسة الناجحة والإحاطة بأُصول الإسلام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 الأزهر ومن سبقه من علماء أهل السنّة اتّخذوا الأمر الواقع بعد رحيل الرسول صلى الله عليه و آله و سلم دليلاً على المشروعية دون أن يقيموا على صحة الأمر الواقع دليلاً من الكتاب أو من 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أعرضوا عمّا ورد عن الرسول صلى الله عليه و آله و سلم في أمر الوصاية والخلافة من غير فرق بين ما أدلى به بوصاية الإمام في صدر البعثة، وما أوصى به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صدر البعثة فلمّا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دعا النبيّ أقرباءه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فأحجم القوم عنها جميعاً، وقلتُ وإنّي لأحدثهم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أُخريات عمره فيكفي في ذلك ما بلّغ عن اللّه سبحانه في أمر</w:t>
      </w:r>
    </w:p>
    <w:p>
      <w:pPr>
        <w:pStyle w:val="BookText"/>
        <w:rPr/>
      </w:pPr>
      <w:r>
        <w:rPr>
          <w:rFonts w:ascii="Amiri" w:hAnsi="Amiri" w:eastAsia="Amiri" w:cs="Amiri"/>
          <w:color w:val="111111"/>
          <w:sz w:val="28"/>
          <w:sz w:val="28"/>
          <w:szCs w:val="28"/>
          <w:rtl w:val="true"/>
          <w:lang w:bidi="ar-SA"/>
        </w:rPr>
        <w:t>الخلافة يوم الغدير وبما أنّ الحديث معروف بأسانيده فقد اقتصرنا بما مرّ عليك، وسيوافيك بعض تفاصيله في الحلقات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الدكتور أحمد الطيب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رسول اللّه من أنّ الخلافة في أُمّتي ثلاثون سنة هي معجزة للنبيّ صلى الله عليه و آله و سلم حيث كانت خلافة الخلفاء الأربعة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الدكتور في كلامه هذا على ما رواه الترمذي في سننه عن أحمد بن منيع، عن سريح بن النعمان، عن حشرج بن نباتة، عن سعيد بن جمهان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في أُمّتي ثلاثون سنة ثم ملك بعد ذلك</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لا يحتجّ به سنداً ولا دلالة، أمّا السند ففيه حشرج بن نباتة،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وأخرج له الترمذي حديثاً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ولحشرج غير ما ذكرت، وأحاديثه حسان وأفراد وغرائب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 منكر الرواية، لا يجوز الاحتجاج بخبره إذا انفرد</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سندها أيضاً سعيد بن جمهان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وقوم يضعفونه، ليس له عند الترمذي غيره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هذا عن السند وأمّا دلالة الحديث، فإنّ ظاهر الحديث أنّ النبيّ صلى الله عليه و آله و سلم كان واقفاً على أنّ الخلافة ستدوم ثلاثين سنة، فلو صرّح النبيّ صلى الله عليه و آله و سلم بمدة خلافتهم، فلماذا لم يصرّح بأسمائهم وأعيانهم، فهل كان التصريح بمدة الخلافة أولى من التصريح بأعيانهم‌؟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 الحديث يضاد تماماً مع ما ورد عن النبيّ صلى الله عليه و آله و سلم متضافراً بدوام الخلافة عنه صلى الله عليه و آله و سلم باثني عشر رجلاً، فقد عقد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لهذه الرواية وذكراها بأسانيد مختلفة، نذكر شيئاً طفيفاً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ثم قال كلمة لم أفهمها، فقلت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 آله و سلم 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 فقال كلمة صمّنيها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 بسنده إلى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عبداللّه بن مسعود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صلى الله عليه و آله و سلم كم يملك هذهِ الأُمة من خليفة‌؟</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سألنا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وروى أحمد في مسنده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من أربع وثلاثين طريقاً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صالحاً حتّى 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يدلّ على أن الخلافة تدوم أكثر من ثلاثين سنة، وبما أن القسم الثاني من الروايات متضافرة فيؤخذ بها ويترك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يدلّ على أن مدّتها، ثلاثون سنة</w:t>
      </w:r>
      <w:r>
        <w:rPr>
          <w:rFonts w:eastAsia="Amiri" w:cs="Amiri" w:ascii="Amiri" w:hAnsi="Amiri"/>
          <w:color w:val="111111"/>
          <w:sz w:val="28"/>
          <w:szCs w:val="28"/>
          <w:rtl w:val="true"/>
          <w:lang w:bidi="ar-SA"/>
        </w:rPr>
        <w:t>.</w:t>
      </w:r>
      <w:bookmarkStart w:id="128" w:name="pg16780_176963"/>
    </w:p>
    <w:p>
      <w:pPr>
        <w:pStyle w:val="Heading4"/>
        <w:numPr>
          <w:ilvl w:val="3"/>
          <w:numId w:val="1"/>
        </w:numPr>
        <w:rPr/>
      </w:pPr>
      <w:bookmarkStart w:id="129" w:name="__RefHeading___Toc7189547_73709187"/>
      <w:bookmarkStart w:id="130" w:name="_Toc47"/>
      <w:bookmarkEnd w:id="128"/>
      <w:bookmarkEnd w:id="129"/>
      <w:r>
        <w:rPr>
          <w:rtl w:val="true"/>
        </w:rPr>
        <w:t>الحلقة الثالثة والعشرون</w:t>
      </w:r>
      <w:r>
        <w:rPr>
          <w:rtl w:val="true"/>
        </w:rPr>
        <w:t xml:space="preserve">: </w:t>
      </w:r>
      <w:r>
        <w:rPr>
          <w:rtl w:val="true"/>
        </w:rPr>
        <w:t xml:space="preserve">اليوم الثالث والعشرون من شهر رمضان </w:t>
      </w:r>
      <w:r>
        <w:rPr/>
        <w:t>1436</w:t>
      </w:r>
      <w:r>
        <w:rPr>
          <w:rtl w:val="true"/>
        </w:rPr>
        <w:t xml:space="preserve"> </w:t>
      </w:r>
      <w:r>
        <w:rPr>
          <w:rtl w:val="true"/>
        </w:rPr>
        <w:t>ه‍</w:t>
      </w:r>
      <w:bookmarkEnd w:id="130"/>
    </w:p>
    <w:p>
      <w:pPr>
        <w:pStyle w:val="BookText"/>
        <w:rPr/>
      </w:pPr>
      <w:r>
        <w:rPr>
          <w:rFonts w:ascii="Amiri" w:hAnsi="Amiri" w:eastAsia="Amiri" w:cs="Amiri"/>
          <w:color w:val="111111"/>
          <w:sz w:val="28"/>
          <w:sz w:val="28"/>
          <w:szCs w:val="28"/>
          <w:rtl w:val="true"/>
          <w:lang w:bidi="ar-SA"/>
        </w:rPr>
        <w:t>الحلقة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 الدكتور أحمد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عصمة لأيّ إمام أو خليفة من بعد النبيّ صلى الله عليه و آله و سلم بداية من أبي بكر الصديق حتّى تقوم الساعة، وهذا ما أكّده سيدنا أبو بكر في خطبة التنصيب،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 عليكم ولست بخيركم، فإن أحسنت فأعينوني وإن أسأت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يعترف بأنّ الخليفة يُخطئ أو يجانبه الصواب‌؟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تعيدونني وترجعونني إلى الصواب، وبالتالي فليس لأي أحد عصمة بعد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تابع الدكتور مسألة عدم وجود نص على إمامة سيدنا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الّتي وردت في الثناء على الخلفاء ومنهم سيدنا عليّ‌، ليس فيها لا من قريب ولا من بعيد ما يشير إلى إمامة سيدنا علي عليه السلام بعد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ذهب الشيعة لنصّ على ذلك صراحة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عليٌّ هو الإمام من بعدي، وتحسم المسألة، لكن نحن أمام نصّ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الشريف المرتضى‌؛ وهو من أعمدة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دالّاً ويحتمل أن يكون غير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الدكتور فيما أُثر عن أبي بكر، فقد روي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فإنّي قد ولّيت عليكم ولست بخيركم، فإن أحسنت فأعينوني، وإن أسأت فقوّموني</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الناس أنّي لم أجعل لهذا المكان أن أكون خيركم</w:t>
      </w:r>
    </w:p>
    <w:p>
      <w:pPr>
        <w:pStyle w:val="BookText"/>
        <w:rPr/>
      </w:pPr>
      <w:r>
        <w:rPr>
          <w:rFonts w:ascii="Amiri" w:hAnsi="Amiri" w:eastAsia="Amiri" w:cs="Amiri"/>
          <w:color w:val="111111"/>
          <w:sz w:val="28"/>
          <w:sz w:val="28"/>
          <w:szCs w:val="28"/>
          <w:rtl w:val="true"/>
          <w:lang w:bidi="ar-SA"/>
        </w:rPr>
        <w:t>ولوددت أنّ بعضكم كفانيه ولئن أخذتموني بما كان اللّه يقيم به رسوله من الوحي ما كان ذلك عندي وما أنا إلّاكأحدكم، فإذا رأيتموني قد استقمت فاتّبعوني وإن زغت فقوّموني، واعلموا أنّ لي شيطاناً يعتريني</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أمّا الأوّل 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بين الصحابة مَن هو خير منه وأعلم بالأُصول والفروع والتنزيل والتأويل، فلماذا لم يشر إليه يوم السقيفة حتّى يختاره الناس ويبايعه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بخساً لحقّ الأُمّة أن يتسنّم الفاضل مع وجود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المفضول مع وجود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فالاعتراف به عجيب وخطير جداً، فإنّ تدخل الشيطان في أفكاره في موضع بيان الأحكام والقضاء أمر غير مغتفر، فليس لمثل هذا أن يترشّح للزعامة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الغاية من تنصيب الرجل للزعامة هو تدبير الأُمّة على ضوء الكتاب والسنّة، وهو رهن أن يكون الخليفة عارفاً بما تحتاج إليه الأُمّة في الإدارة والسياسة،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وقال الإمام الحسين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الإمام إلّاالقائم بالقسط، الحاكم بالكتاب، الحابس نفسه على ذات اللّه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وظاهر كلام الخليفة أنّه يحتاج في أمر القيادة إلى أفراد آخرين، وعندئذٍ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يفقد مقوّماتها ومؤهلّاتها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الدكتور أنكر وجود النصّ على إمامة عليّ عليه السلام ونقل عن السيد</w:t>
      </w:r>
    </w:p>
    <w:p>
      <w:pPr>
        <w:pStyle w:val="BookText"/>
        <w:rPr/>
      </w:pPr>
      <w:r>
        <w:rPr>
          <w:rFonts w:ascii="Amiri" w:hAnsi="Amiri" w:eastAsia="Amiri" w:cs="Amiri"/>
          <w:color w:val="111111"/>
          <w:sz w:val="28"/>
          <w:sz w:val="28"/>
          <w:szCs w:val="28"/>
          <w:rtl w:val="true"/>
          <w:lang w:bidi="ar-SA"/>
        </w:rPr>
        <w:t>المرتضى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النص دالّاً ويحتمل أن يكون غير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اعتمد في نقله هذا على ما كتبه أحمد الكاتب في المقام، ولم ينقله بوجه صحيح، وإليك كلامه الّذي أشار إليه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نذهب إليه أنّ النبيّ صلى الله عليه و آله و سلم نصّ على أمير المؤمنين عليه السلام بالإمامة بعده، ودلّ على وجوب فرض طاعته ولزومها لكلّ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النص عندنا في الأصل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يرجع إلى الفعل ويدخل فيه القول، والآخر إلى القول دون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دللنا على ثبوت النصّ بولاية أمير المؤمنين عليه السلام بأخبار مجمع على صحّتها، متّفق عليها، وإن كان الاختلاف واقعاً في تأويلها، وبيّنا أنها تفيد النصّ عليه عليه السلام بغير احتمال ولا إشكال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دللنا، على أنّ القرآن يشهد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فلابدّ من أن نطرح كلّ خبرٍ نافِ ما دلّت عليه هذه الأدلة القاطعة إن كان غير محتمل للتأويل، ونحمله بالتأويل على ما يوافقها ويطابقها إذا ساغ ذلك فيه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ترى أنّه رحمه الله عدّ حديث الغدير من الأحاديث الّتي تفيد النص عليه عليه السلام بلا احتمال ولا إشكال، وأنّ دلالتها قاطعة توجب طرح كلّ خبر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والنقل إن عَدِم الأما نة كان عنوانَ الخسار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بحث هذا الموضوع المحقّق الأُستاذ حيدر محمد علي البغدادي الطحّان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وكشف الهفوات الّتي وقع فيها أحمد الكاتب في كتابه المذكور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ثم إنّ الدكتور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ذهب إليه الشيعة لنصّ النبيّ صلى الله عليه و آله و سلم على إمامة علي بصراحة،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 هو الإمام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كرّر ذلك القول أكثر من مرّة خلال سنيّ حياته،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نقله من حديث بدء الدعوة، وقد مرّ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حديث الولاية يعني قول النبي صلى الله عليه و آله و سلم في حقّ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وهو وليّكم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المتضافرة الّذي أخرجه غير واحد من أئمّة الصحاح والسنن وحفّاظ الحديث، وقد نقله جمّ غفير من كبار أئمّة الحديث في كتبهم، ربما يبلغ عددهم حسب ما استخرجه المحقّق المتتبع السيد حامد حسين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وعلى رأسهم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أئمّة الحفّاظ والمحدّثين</w:t>
      </w:r>
      <w:r>
        <w:rPr>
          <w:rStyle w:val="FootnoteAnchor"/>
          <w:rtl w:val="true"/>
        </w:rPr>
        <w:footnoteReference w:id="172"/>
      </w:r>
      <w:r>
        <w:rPr>
          <w:rFonts w:ascii="Amiri" w:hAnsi="Amiri" w:eastAsia="Amiri" w:cs="Amiri"/>
          <w:color w:val="111111"/>
          <w:sz w:val="28"/>
          <w:sz w:val="28"/>
          <w:szCs w:val="28"/>
          <w:rtl w:val="true"/>
          <w:lang w:bidi="ar-SA"/>
        </w:rPr>
        <w:t>، وإليك نصّ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النسائي في سننه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واصل بن عبد الأعلى، عن ابن فضيل، عن الأعرج،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و سلم إلى اليمن مع خالد بن الوليد وبعث عليّاً على جيش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التقيتما فعليٌّ‌</w:t>
      </w:r>
    </w:p>
    <w:p>
      <w:pPr>
        <w:pStyle w:val="BookText"/>
        <w:rPr/>
      </w:pPr>
      <w:r>
        <w:rPr>
          <w:rFonts w:ascii="Amiri" w:hAnsi="Amiri" w:eastAsia="Amiri" w:cs="Amiri"/>
          <w:color w:val="111111"/>
          <w:sz w:val="28"/>
          <w:sz w:val="28"/>
          <w:szCs w:val="28"/>
          <w:rtl w:val="true"/>
          <w:lang w:bidi="ar-SA"/>
        </w:rPr>
        <w:t>على الناس، وإن تفرّقتما فكلّ واحدٍ منكما على جنده، فلقينا بني زبيد من أهل اليمن، وظفر المسلمون على المشركين، فقاتلنا المقاتلة وسبينا الذرية، فاصطفى عليٌّ جاريةً لنفسه من السبي، فكتب بذلك خالد بن الوليد إلى النبيّ صلى الله عليه و آله و سلم وأمرني أن أنال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الكتاب إليه ونلت من عليّ‌، فتغيّر وجه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بعثتني مع رجلٍ وألزمتني بطاعته فبلّغت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تقعنَّ يا بريدة في عليّ‌، فإنّ عليّاً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مسنده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 قدمتُ على رسول اللّه صلى الله عليه و آله و سلم ذكرت عليّاً فتنقصته فرأيت وجه رسول اللّه صلى الله عليه و آله و سلم يتغيّر،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جاء في الحديث الّذي أخرجه النسائي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المنقول في مسند أحمد ولعلّ الرسول جمع بين الكلمتين، أو أنّ الراوي نقل بالمعنى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فالحديث كان مذيّلاً بما يدلّ على ولايته بعد رحيل الرسول صلى الله عليه و آله و 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أنّ الإمام أحمد أخرج الحديث عن عمران بن حصين بالشكل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سرية وأمّر عليهم علي بن أبي طالب رضى الله عنه فتعاقد أربعة من أصحاب محمد أن يذكروا أمره لرسول اللّه،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سفرنا بدأنا برسول اللّه،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وكذا،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قيام الثلاثة الباقين وتكرارهم ذلك القول وإعراض الرسول عنهم،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على الرابع وقد تغيّر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إنّ عليّاً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عن عمران بن حصين ونقل الحديث مثل ما نقل أحمد بن حنبل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الرابع، فقال مثل ما قالوا، فأقبل إليه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الرواية تنصّ على الولاية الدالّة على أنّه الإمام بعد رحيل الرسول صلى الله عليه و آله و سلم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الغدير نصّ على ولاية علي عليه السلام، فإنّ رسول اللّه صلى الله عليه و آله و سلم ذكر في خطبته التوحيد والرسالة والمعاد،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إلّااللّه وحده لا شريك له وأنّ محمداً عبده ورسوله وأنّ الجنة حق وأنّ النار حق وتؤمنون بالكتاب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 قد صدقتم وصدقتموني، إلّا وأنّي فرطكم وأنّكم تبعي توشكون أن تردوا عليّ الحوض، فأسألكم حين تلقوني عن ثقلي، كيف خلفتموني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منهما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والأصغر منهما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فرفعها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 رسول اللّه عليّاً بعمامته أمام الجموع الحاشدة من المؤمنين بيده الشريفة، فسدل طرفها على منكبه وأمر المهاجرين والأنصار أن يسلّموا على عليّ بأمر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جرى في الغدير وقد حضر خطبته جموع كثيرة من عشرات الآلاف، في أرض غدير خم القريبة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الغدير رواه قرابة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ومن التابعين ما يقارب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تابعياً، ومن العلماء السنّة عبر القرون ما يناهز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وبما أنّ هذه الرسالة تضيق عن ذكر جميع المصادر فعلى الدكتور الرجوع إلى موسوعة الغدير للعلّامة الحجّة عبدالحسين الأميني النجفي فقد جمع رواة الحديث من الصحابة والتابعين ومَن نقله من الحفاظ في كتابه وهو من حسنات الدهر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المسلمين، وإمام المتقين،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وروى مثله الطبراني في المعجم الصغير عن حكيم الجهني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الأثير في أُسد الغابة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والمغازلي الشافعي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يصحّ في الأذهان شيءٌ إذا احتاج النهار إلى دليل</w:t>
      </w:r>
      <w:bookmarkStart w:id="131" w:name="pg16780_176970"/>
    </w:p>
    <w:p>
      <w:pPr>
        <w:pStyle w:val="Heading4"/>
        <w:numPr>
          <w:ilvl w:val="3"/>
          <w:numId w:val="1"/>
        </w:numPr>
        <w:rPr/>
      </w:pPr>
      <w:bookmarkStart w:id="132" w:name="__RefHeading___Toc7189549_73709187"/>
      <w:bookmarkStart w:id="133" w:name="_Toc48"/>
      <w:bookmarkEnd w:id="131"/>
      <w:bookmarkEnd w:id="132"/>
      <w:r>
        <w:rPr>
          <w:rtl w:val="true"/>
        </w:rPr>
        <w:t>الحلقة الرابعة والعشرون</w:t>
      </w:r>
      <w:r>
        <w:rPr>
          <w:rtl w:val="true"/>
        </w:rPr>
        <w:t xml:space="preserve">: </w:t>
      </w:r>
      <w:r>
        <w:rPr>
          <w:rtl w:val="true"/>
        </w:rPr>
        <w:t xml:space="preserve">اليوم الرابع والعشرون من شهر رمضان </w:t>
      </w:r>
      <w:r>
        <w:rPr/>
        <w:t>1436</w:t>
      </w:r>
      <w:r>
        <w:rPr>
          <w:rtl w:val="true"/>
        </w:rPr>
        <w:t xml:space="preserve"> </w:t>
      </w:r>
      <w:r>
        <w:rPr>
          <w:rtl w:val="true"/>
        </w:rPr>
        <w:t>ه‍</w:t>
      </w:r>
      <w:bookmarkEnd w:id="133"/>
    </w:p>
    <w:p>
      <w:pPr>
        <w:pStyle w:val="Heading5"/>
        <w:numPr>
          <w:ilvl w:val="4"/>
          <w:numId w:val="1"/>
        </w:numPr>
        <w:rPr/>
      </w:pPr>
      <w:bookmarkStart w:id="134" w:name="__RefHeading___Toc7189551_73709187"/>
      <w:bookmarkStart w:id="135" w:name="_Toc49"/>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قال فضيلة الدكتور أحمد الطيب شيخ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نصّاً صريحاً يلزم المسلم بأن عليّاً هو الإمام بعد رسول اللّه صلى الله عليه و آله و سلم لأنّ الجميع فهم تقديراً خاصّاً لسيدنا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فضيلته في حديثه اليومي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قول الشيعة الإمامية إنّ الصحابة خانوا عهد اللّه وعهد رسوله ورضوا أن يغتصب الخلافة من سيدنا علي، وهذا كلام غير معقول، إذ كيف يوصف الصحابة الكرام بالخيانة ونقض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الصحابة هم الّذين حملوا إلينا القرآن الكريم وبلّغوا لنا هذا الدين الحنيف فلو كانت الصحابة خونة كيف أخذ الشيعة كالسنّة القرآن وفهموه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 الدكتور في محاضرته هذه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دلالة حديث الغدير على كون عليّ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هو الإمام المنصوص فمعنى ذلك خيانة الصحابة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الصحابة بهذا الوصف فكيف أخذ الشيعة القرآن من جماعة لهم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كلّ واحد بالتحليل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أجبنا عنه في الحلقة السابقة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خطبة الحديث أفضل دليل على أنّ النبيّ صلى الله عليه و آله و سلم بصدد بيان أصل من أُصول الإسلام حيث أخذ</w:t>
      </w:r>
    </w:p>
    <w:p>
      <w:pPr>
        <w:pStyle w:val="BookText"/>
        <w:rPr/>
      </w:pPr>
      <w:r>
        <w:rPr>
          <w:rFonts w:ascii="Amiri" w:hAnsi="Amiri" w:eastAsia="Amiri" w:cs="Amiri"/>
          <w:color w:val="111111"/>
          <w:sz w:val="28"/>
          <w:sz w:val="28"/>
          <w:szCs w:val="28"/>
          <w:rtl w:val="true"/>
          <w:lang w:bidi="ar-SA"/>
        </w:rPr>
        <w:t>الشهادة على الأُصول الثلاثة من الحاضرين، ثم رفع يد عليٍّ وقال ما قال، فلو كانت الغاية بيان فضيلة من فضائل الإمام لما احتاج إلى ذكر الأُصول الثلاثة، على أنّ في خطبة النبيّ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يدلّ على أنّ النبيّ بصدد تنزيل عليّ منزلة نفسه في الأولوية على أنفس الآخرين، والأولى على الأنفس والأموال، يلازم كون الموصوف زعيماً إلهيّاً، فأي تنصيص أظهر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الحاضرين فهموا من الحديث تفويض قيادة المجتمع إلى عليّ عليه السلام، فهذان هما الشيخان لما أمر الرسول المسلمين بالتسليم على عليّ بإمرة المؤمنين قدما يسلّمان عليه بإمرة المؤمنين ويهنّئانه حتّى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فقد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بالفاظ تقارب هذا المعنى</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ومن الحاضرين في واقعة الغدير حسّان بن ثابت شاعر عصر الرسالة فقد صاغ حديث الغدير في قالب الشعر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بالرسول مناديا</w:t>
      </w:r>
    </w:p>
    <w:p>
      <w:pPr>
        <w:pStyle w:val="BookText"/>
        <w:rPr/>
      </w:pPr>
      <w:r>
        <w:rPr>
          <w:rFonts w:ascii="Amiri" w:hAnsi="Amiri" w:eastAsia="Amiri" w:cs="Amiri"/>
          <w:color w:val="111111"/>
          <w:sz w:val="28"/>
          <w:sz w:val="28"/>
          <w:szCs w:val="28"/>
          <w:rtl w:val="true"/>
          <w:lang w:bidi="ar-SA"/>
        </w:rPr>
        <w:t>فقال فمن مولاكم ونبيكم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 ولم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كنت مولاه فهذا وليُّهُ فكونوا له أتباع صدق مواليا</w:t>
      </w:r>
    </w:p>
    <w:p>
      <w:pPr>
        <w:pStyle w:val="BookText"/>
        <w:rPr/>
      </w:pPr>
      <w:r>
        <w:rPr>
          <w:rFonts w:ascii="Amiri" w:hAnsi="Amiri" w:eastAsia="Amiri" w:cs="Amiri"/>
          <w:color w:val="111111"/>
          <w:sz w:val="28"/>
          <w:sz w:val="28"/>
          <w:szCs w:val="28"/>
          <w:rtl w:val="true"/>
          <w:lang w:bidi="ar-SA"/>
        </w:rPr>
        <w:t>هناك دعا اللهم وال وليّهُ وكن للّذي عادا عليّاً معادياً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وهناك قرائن كثيرة في متن الحديث ربّما تناهز العشرة قد أسهب الكلام فيها الباحث الكبير العلّامة الأميني في موسوعته وأثبت أنّ المراد هو الولاية الإلهية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الدكتور الإلمام بهذه القرائن فليرجع إلى الجزء الأوّل من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اتّهام الشيعة بالقول بخيانة الصحابة فإنّ هذه الكلمة من الدكتور غريبة جدّاً،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 غفيراً من الصحابة بقوا على ما كانوا عليه في عهد الرسالة فأكّدوا على إمامة عليّ وأنّه الإمام المنصوص، وهم روّاد الشيعة ويبلغ عددهم مائتين أو أزيد، ولا يساعد المقام على ذكر أسمائهم، وقد تحملّ عبء هذا العمل الشيخ الدكتور أحمد الوائلي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الدكتور أحمد الطيّب الرجوع إلى هذا الكتاب ليعرف أنّ قسماً من الصحابة لم يتّفقوا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في هذا الموضوع العلّامة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الدرجات الرفيعة في طبقات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وتلاه غير واحد من المحقّقين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عدول غيرهم عن إمامة الإمام عليّ إلى الآخرين فإنّما كان من باب التأويل والاجتهاد حيث إنّ كثيراً من الصحابة يقدّمون المصلحة المزعومة على النصّ الصريح، وليس هذا المورد أوّل قارورة كسرت في الإسلام، فكم لكبار الصحابة من مواقف عدلوا فيها عن النص الصريح 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منها شيئاً قليلاً</w:t>
      </w:r>
      <w:r>
        <w:rPr>
          <w:rFonts w:eastAsia="Amiri" w:cs="Amiri" w:ascii="Amiri" w:hAnsi="Amiri"/>
          <w:color w:val="111111"/>
          <w:sz w:val="28"/>
          <w:szCs w:val="28"/>
          <w:rtl w:val="true"/>
          <w:lang w:bidi="ar-SA"/>
        </w:rPr>
        <w:t>:</w:t>
      </w:r>
      <w:bookmarkStart w:id="136" w:name="pg16780_176973"/>
    </w:p>
    <w:p>
      <w:pPr>
        <w:pStyle w:val="Heading5"/>
        <w:numPr>
          <w:ilvl w:val="4"/>
          <w:numId w:val="1"/>
        </w:numPr>
        <w:rPr/>
      </w:pPr>
      <w:bookmarkStart w:id="137" w:name="__RefHeading___Toc7189553_73709187"/>
      <w:bookmarkStart w:id="138" w:name="_Toc50"/>
      <w:bookmarkEnd w:id="136"/>
      <w:bookmarkEnd w:id="137"/>
      <w:r>
        <w:rPr/>
        <w:t>1</w:t>
      </w:r>
      <w:r>
        <w:rPr>
          <w:rtl w:val="true"/>
        </w:rPr>
        <w:t xml:space="preserve">. </w:t>
      </w:r>
      <w:r>
        <w:rPr>
          <w:rtl w:val="true"/>
        </w:rPr>
        <w:t>رزية يوم الخميس</w:t>
      </w:r>
      <w:bookmarkEnd w:id="138"/>
    </w:p>
    <w:p>
      <w:pPr>
        <w:pStyle w:val="BookText"/>
        <w:rPr/>
      </w:pPr>
      <w:r>
        <w:rPr>
          <w:rFonts w:ascii="Amiri" w:hAnsi="Amiri" w:eastAsia="Amiri" w:cs="Amiri"/>
          <w:color w:val="111111"/>
          <w:sz w:val="28"/>
          <w:sz w:val="28"/>
          <w:szCs w:val="28"/>
          <w:rtl w:val="true"/>
          <w:lang w:bidi="ar-SA"/>
        </w:rPr>
        <w:t>أخرج البخاري عن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بكتاب اكتب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غلبه الوجع وعندنا كتاب اللّه حسبنا، فاختلفوا وكثر اللغط،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 ينبغي عندي التنازع،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وبين كتابه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ترى أنّ الصحابة الّذين حضروا عند النبيّ صلى الله عليه و آله و سلم يومذاك رفضوا الانصياع لأمر النبيّ وهو حيّ يرزق، متمسّكين بعذر يخجل القلم من ذكره، فكيف بأوامره ونصوصه بعد رحيله عنهم‌؟</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189555_73709187"/>
      <w:bookmarkStart w:id="140" w:name="_Toc51"/>
      <w:bookmarkEnd w:id="139"/>
      <w:r>
        <w:rPr/>
        <w:t>2</w:t>
      </w:r>
      <w:r>
        <w:rPr>
          <w:rtl w:val="true"/>
        </w:rPr>
        <w:t xml:space="preserve">. </w:t>
      </w:r>
      <w:r>
        <w:rPr>
          <w:rtl w:val="true"/>
        </w:rPr>
        <w:t>الاعتراض على صلح الحديبية</w:t>
      </w:r>
      <w:bookmarkEnd w:id="140"/>
    </w:p>
    <w:p>
      <w:pPr>
        <w:pStyle w:val="BookText"/>
        <w:rPr/>
      </w:pPr>
      <w:r>
        <w:rPr>
          <w:rFonts w:ascii="Amiri" w:hAnsi="Amiri" w:eastAsia="Amiri" w:cs="Amiri"/>
          <w:color w:val="111111"/>
          <w:sz w:val="28"/>
          <w:sz w:val="28"/>
          <w:szCs w:val="28"/>
          <w:rtl w:val="true"/>
          <w:lang w:bidi="ar-SA"/>
        </w:rPr>
        <w:t>لمّا تمّ الصلح بين النبيّ صلى الله عليه و آله و سلم ورؤساء الشرك عملاً بما توحيه المصلحة وثب عمر بن الخطاب وقد أدركته الحميّة، فأتى أبا بكر وقد استشاط غضباً وغيظاً،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أليس هو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بالمسلمين‌؟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نُعطي الدنية من ديننا؟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إنّه رسول اللّه وليس يعصي ربّه</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141" w:name="__RefHeading___Toc7189557_73709187"/>
      <w:bookmarkStart w:id="142" w:name="_Toc52"/>
      <w:bookmarkEnd w:id="141"/>
      <w:r>
        <w:rPr/>
        <w:t>3</w:t>
      </w:r>
      <w:r>
        <w:rPr>
          <w:rtl w:val="true"/>
        </w:rPr>
        <w:t xml:space="preserve">. </w:t>
      </w:r>
      <w:r>
        <w:rPr>
          <w:rtl w:val="true"/>
        </w:rPr>
        <w:t>الأمر بالإحلال</w:t>
      </w:r>
      <w:bookmarkEnd w:id="1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تمّ صلح الحديبية بين المسلمين والمشركين واتّفقا على رجوع النبيّ صلى الله عليه و آله و سلم من مكانه هذا إلى المدينة ومجيئه في العام القادم في نفس الوقت إلى العمرة، وكان بين المسلمين من ساق بدنة، فقال النبيّ صلى الله عليه و آله و 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قام منهم رجل حتّى قال ذلك ثلاث مرّات،</w:t>
      </w:r>
      <w:bookmarkStart w:id="143" w:name="pg16780_176974"/>
    </w:p>
    <w:p>
      <w:pPr>
        <w:pStyle w:val="BookText"/>
        <w:rPr/>
      </w:pPr>
      <w:bookmarkEnd w:id="143"/>
      <w:r>
        <w:rPr>
          <w:rFonts w:ascii="Amiri" w:hAnsi="Amiri" w:eastAsia="Amiri" w:cs="Amiri"/>
          <w:color w:val="111111"/>
          <w:sz w:val="28"/>
          <w:sz w:val="28"/>
          <w:szCs w:val="28"/>
          <w:rtl w:val="true"/>
          <w:lang w:bidi="ar-SA"/>
        </w:rPr>
        <w:t>فلمّا لم يقم منهم أحد، دخل على أُمّ سلمة فذكر لها ما لقي من الناس،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أتحب ذلك‌؟ أُخرج ثم لا تُكلِّم أحداً منهم كلمة حتّى تنحر بدنك وتدعو حالقك فيحلقك، فخرج فلم يكلّم أحداً منهم حتّى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نحر بدنة ودعا حالقه فحلقه، فلمّا رأوا ذلك قاموا فنحروا، وجعل بعضهم يحلق بعضاً حتّى كاد بعضهم يقتل بعضاً غمّاً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هذا الحديث وما قبله يدلّ على أنّ ما اشتهر بين الناس من أنّ الصحابة كانوا أطوع للنبيّ صلى الله عليه و آله و سلم من مطاوعة الظل لصاحبه ممّا لا أساس له، بل يوافقونه تارة فيما لم يخالف 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اجتهاد القوم وتأويلهم للنصوص بعد رحيل النبيّ صلى الله عليه و آله و سلم فحدّث عنه ولا حرج، ولا يسعنا المقام الإشارة إلى قليل منه فضلاً عن الكثير، وإنّما نقتصر بذكر موردين من ذلك حتّى يعلم موقف كبار الصحابة من النصوص النبوية</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7189559_73709187"/>
      <w:bookmarkStart w:id="145" w:name="_Toc53"/>
      <w:bookmarkEnd w:id="144"/>
      <w:r>
        <w:rPr/>
        <w:t>4</w:t>
      </w:r>
      <w:r>
        <w:rPr>
          <w:rtl w:val="true"/>
        </w:rPr>
        <w:t xml:space="preserve">. </w:t>
      </w:r>
      <w:r>
        <w:rPr>
          <w:rtl w:val="true"/>
        </w:rPr>
        <w:t>سرية أُسامة</w:t>
      </w:r>
      <w:bookmarkEnd w:id="1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آله و سلم أمر أصحابه بالتهيّؤ لسرية أمّر عليها أُسامة بن زيد، وكان ذلك لأربع ليال بقين من صفر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فلمّا كان من الغد دعا أُسامة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موضع قتل أبيك، فقد وليتك هذا الجيش، فلمّا كان يوم الثامن والعشرون من صفر بدأ به مرض الموت، فحمّ وصدع، فلمّا أصبح يوم التاسع والعشرون ووجدهم متثاقلين، خرج إليهم فحضّهم على السير وعقد اللواء لأُسامة بيده الشريفة تحريكاً لحميّتهم وإرهافاً لعزيمتهم، ثم تثاقلوا، فلم يبرحوا مع ما سمعوه من النصوص الصريحة في وجوب إسراعهم، وطعن قوم في تأمير أُسامة، ولمّا بلغ كلامهم النبيّ صلى الله عليه و آله و سلم صعد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مقالة بلغتني عن بعضكم في تأميري أُسامة، ولئن طعنتم في تأميري أُسامة، لقد طعنتم</w:t>
      </w:r>
      <w:bookmarkStart w:id="146" w:name="pg16780_176975"/>
    </w:p>
    <w:p>
      <w:pPr>
        <w:pStyle w:val="BookText"/>
        <w:rPr/>
      </w:pPr>
      <w:bookmarkEnd w:id="146"/>
      <w:r>
        <w:rPr>
          <w:rFonts w:ascii="Amiri" w:hAnsi="Amiri" w:eastAsia="Amiri" w:cs="Amiri"/>
          <w:color w:val="111111"/>
          <w:sz w:val="28"/>
          <w:sz w:val="28"/>
          <w:szCs w:val="28"/>
          <w:rtl w:val="true"/>
          <w:lang w:bidi="ar-SA"/>
        </w:rPr>
        <w:t>في تأميري أباه من قبله، وأيم اللّه إن كان لخليقاً بالإمارة، وإن ابنه من بعده لخليق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أنفذوا جيش أُسامة، أرسلوا بعث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يكرّر ذلك وهم مُثّاقلون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الأمر خرج أُسامة في ثلاثة آلاف مقاتل وتخلّف عنه جماعة ممّن عبّأهم رسول اللّه صلى الله عليه و آله و سلم في جيشه، ولم يطيعوا أمر النبيّ صلى الله عليه و آله و سلم حتّى لقي ربه، وما هذا إلّالأنّهم تشبّثوا بأعذار واهية من أنّ إشفاقهم على النبيّ صلى الله عليه و آله و سلم وهو طريح فراش الموت، هو الّذي ثبّطهم عن السير، مع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w:t>
      </w:r>
      <w:r>
        <w:rPr>
          <w:rStyle w:val="FootnoteAnchor"/>
          <w:rtl w:val="true"/>
        </w:rPr>
        <w:footnoteReference w:id="180"/>
      </w:r>
    </w:p>
    <w:p>
      <w:pPr>
        <w:pStyle w:val="Heading5"/>
        <w:numPr>
          <w:ilvl w:val="4"/>
          <w:numId w:val="1"/>
        </w:numPr>
        <w:rPr/>
      </w:pPr>
      <w:bookmarkStart w:id="147" w:name="__RefHeading___Toc7189561_73709187"/>
      <w:bookmarkStart w:id="148" w:name="_Toc54"/>
      <w:bookmarkEnd w:id="147"/>
      <w:r>
        <w:rPr/>
        <w:t>5</w:t>
      </w:r>
      <w:r>
        <w:rPr>
          <w:rtl w:val="true"/>
        </w:rPr>
        <w:t xml:space="preserve">. </w:t>
      </w:r>
      <w:r>
        <w:rPr>
          <w:rtl w:val="true"/>
        </w:rPr>
        <w:t>إسقاط سهم المؤلّفة قلوبهم</w:t>
      </w:r>
      <w:bookmarkEnd w:id="148"/>
    </w:p>
    <w:p>
      <w:pPr>
        <w:pStyle w:val="BookText"/>
        <w:rPr/>
      </w:pPr>
      <w:r>
        <w:rPr>
          <w:rFonts w:ascii="Amiri" w:hAnsi="Amiri" w:eastAsia="Amiri" w:cs="Amiri"/>
          <w:color w:val="111111"/>
          <w:sz w:val="28"/>
          <w:sz w:val="28"/>
          <w:szCs w:val="28"/>
          <w:rtl w:val="true"/>
          <w:lang w:bidi="ar-SA"/>
        </w:rPr>
        <w:t>جعل سبحانه المؤلّفة قلوبهم أحد المصارف للزكاة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لكن لمّا ولي أبو بكر جاء المؤلّفة قلوبهم لاستيفاء سهمهم هذا، جرياً على عادتهم مع رسول اللّه صلى الله عليه و آله و سلم، فكتب أبو بكر لهم بذلك، فذهبوا بكتابه إلى عمر ليأخذوا خطه عليه فمزّقه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بكم فقد أعز اللّه تعالى الإسلام وأغنى عنكم، فإن ثبتّم على الإسلام وإلّا فبيننا وبينكم السيف، فرجعوا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أم عمر؟ بذلت لنا الخط ومزقّه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شاء اللّه ووافقه</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بصدد استقصاء مخالفة القوم لنصوص النبيّ صلى الله عليه و آله و سلم وتعليماته، فإنّ‌</w:t>
      </w:r>
    </w:p>
    <w:p>
      <w:pPr>
        <w:pStyle w:val="BookText"/>
        <w:rPr/>
      </w:pPr>
      <w:r>
        <w:rPr>
          <w:rFonts w:ascii="Amiri" w:hAnsi="Amiri" w:eastAsia="Amiri" w:cs="Amiri"/>
          <w:color w:val="111111"/>
          <w:sz w:val="28"/>
          <w:sz w:val="28"/>
          <w:szCs w:val="28"/>
          <w:rtl w:val="true"/>
          <w:lang w:bidi="ar-SA"/>
        </w:rPr>
        <w:t>المخالفات ربّما تربو على نيّف وسبعين مورداً استقصاها بعض الأعلام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بقي الكلام في بيان ما هي المصلحة المزعومة الّتي سببت العدول‌؟</w:t>
      </w:r>
    </w:p>
    <w:p>
      <w:pPr>
        <w:pStyle w:val="BookText"/>
        <w:rPr/>
      </w:pPr>
      <w:r>
        <w:rPr>
          <w:rFonts w:ascii="Amiri" w:hAnsi="Amiri" w:eastAsia="Amiri" w:cs="Amiri"/>
          <w:color w:val="111111"/>
          <w:sz w:val="28"/>
          <w:sz w:val="28"/>
          <w:szCs w:val="28"/>
          <w:rtl w:val="true"/>
          <w:lang w:bidi="ar-SA"/>
        </w:rPr>
        <w:t>إنّ في غضون التاريخ شواهد واضحة على سبب عدولهم عن زعامة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أما واللّه إنّ صاحبك هذا أولى الناس بالأمر بعد رسول اللّه صلى الله عليه و آله و سلم إلّاأنّا خفناه على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خفناه على حداثة سنّه، وحبّه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كرهناه على حداثة السنّ‌، وحبّه بني عبدالمطلب</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ونقل ابن أبي الحديد عن أحمد بن أبي طاهر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مُسنداً،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في أوّل خلافته، وقد أُلقي له صاعٌ من تمر على خَصَفة، فدعاني إلى الأكل فأكلت تمرة واحدة، وأقبل يأكل حتّى أتى عليهن ثم شرب من جَرّ كان عنده، واستلقى على مِرفقةٍ له، وطفق يحمد اللّه، يكرّر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فظننته يعني عبداللّه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أعنِ ذلك، إنّما عنيتُ عظيمَكم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w:t>
      </w:r>
      <w:r>
        <w:rPr>
          <w:rStyle w:val="FootnoteAnchor"/>
          <w:rtl w:val="true"/>
        </w:rPr>
        <w:footnoteReference w:id="185"/>
      </w:r>
      <w:r>
        <w:rPr>
          <w:rFonts w:ascii="Amiri" w:hAnsi="Amiri" w:eastAsia="Amiri" w:cs="Amiri"/>
          <w:color w:val="111111"/>
          <w:sz w:val="28"/>
          <w:sz w:val="28"/>
          <w:szCs w:val="28"/>
          <w:rtl w:val="true"/>
          <w:lang w:bidi="ar-SA"/>
        </w:rPr>
        <w:t>على نخيلات من فلان، وهو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صلى الله عليه و آله و سلم نصّ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 صلى الله عليه و آله و سلم في أمره ذَرْوٌ</w:t>
      </w:r>
      <w:r>
        <w:rPr>
          <w:rStyle w:val="FootnoteAnchor"/>
          <w:rtl w:val="true"/>
        </w:rPr>
        <w:footnoteReference w:id="186"/>
      </w:r>
      <w:r>
        <w:rPr>
          <w:rFonts w:ascii="Amiri" w:hAnsi="Amiri" w:eastAsia="Amiri" w:cs="Amiri"/>
          <w:color w:val="111111"/>
          <w:sz w:val="28"/>
          <w:sz w:val="28"/>
          <w:szCs w:val="28"/>
          <w:rtl w:val="true"/>
          <w:lang w:bidi="ar-SA"/>
        </w:rPr>
        <w:t>من قول لا يثبتُ حُجّة، ولا يقطع عذراً، ولقد كان يربَع في أمره وقتاً ما، ولقد أراد في مرضه أن يصرّح باسمه، فمنعتُ من ذلك إشفاقاً وحيطة على الإسلام، لا ورب هذه البنيّة لا تجتمع عليه قريش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وليها لانتقضت عليه العرب من أقطارها، فعلم رسول اللّه صلى الله عليه و آله و سلم أنّي علمت ما في نفسه، فأمسك، وأبى اللّه إلّاإمضاء ما حتم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ونقل ابن أبي الحديد في مكان آخر نظرية الخليفة في مسألة اجتماع النبوّة والخلافة في بيت واحد، فخاطب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أتدري ما منع الناس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والخلافة، فيجخِفوا جخفاً، فنظرتْ قريش لنفسها فاختارت، ووفقت فأصابت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هذه النصوص تعرب عن وجه عدول الصحابة عن النصّ على الولاية لعليّ‌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التعبير يعرب عن أنّ الخليفة لا يرى صحّة اجتماع النبوّة والخلافة</w:t>
      </w:r>
    </w:p>
    <w:p>
      <w:pPr>
        <w:pStyle w:val="BookText"/>
        <w:rPr/>
      </w:pPr>
      <w:r>
        <w:rPr>
          <w:rFonts w:ascii="Amiri" w:hAnsi="Amiri" w:eastAsia="Amiri" w:cs="Amiri"/>
          <w:color w:val="111111"/>
          <w:sz w:val="28"/>
          <w:sz w:val="28"/>
          <w:szCs w:val="28"/>
          <w:rtl w:val="true"/>
          <w:lang w:bidi="ar-SA"/>
        </w:rPr>
        <w:t>في بيت واحد، وفي مقابل هذا الرأي يحكي الذكر الحكيم عن اجتماع النبوّة والإمامة في آل إبراهيم،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فالملك العظيم هو الإمامة والخلافة الراشدة الّتي أعطاها اللّه سبحانه لآل إبراهيم مع ما آتاهم من النبوّة وخصّهم بالوصاية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غيض من فيض وقليل من كثير ممّا يدلّ على أنّ إعراض القوم عن حديث الغدير وما يشابهه الدالّ على الولاية الكبرى والزعامة العظمى لعليّ عليه السلام، كان نابعاً عن اجتهادات وتأويلات ولمصالح متوهّمة، وإلّا لم يكن أي شكّ ولا ريب في قلوب الحاضرين في يوم الغدير من أنّ النبيّ صلى الله عليه و آله و سلم جعله إماماً للناس وزعيماً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الدكتور أحمد الطيب زعم أنّ حديث الغدير تقدير خاص لسيدنا علي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مفاد حديث الغدير فضيلة خاصّة لعليّ‌، لما كانت ضرورة لجمع الناس العائدين من الحجّ حيث إنّه صلى الله عليه و آله و سلم لمّا وصل غدير خم من الجحفة الّتي تتشعب فيها طرق المدنيين والشاميين والعراقيين، أمر الناس بالترجل عن رواحلهم وكان أوائل القوم قريباً من الجحفة فأمر رسول اللّه برجوع مَن تقدم منهم وبحبس مَن تأخّر عنهم في ذلك المكان، وكان يوماً هاجراً، إذ يضع الرجل بعض ردائه على رأسه وبعضه تحت قدميه من شدّة الرمضاء، وظلّل لرسول اللّه بثوب على شجرة سمرة من الشمس، فلمّا انصرف صلى الله عليه و آله و سلم من صلاته قام خطيباً وسط القوم على أقتاب الابل وأسمع</w:t>
      </w:r>
    </w:p>
    <w:p>
      <w:pPr>
        <w:pStyle w:val="BookText"/>
        <w:rPr/>
      </w:pPr>
      <w:r>
        <w:rPr>
          <w:rFonts w:ascii="Amiri" w:hAnsi="Amiri" w:eastAsia="Amiri" w:cs="Amiri"/>
          <w:color w:val="111111"/>
          <w:sz w:val="28"/>
          <w:sz w:val="28"/>
          <w:szCs w:val="28"/>
          <w:rtl w:val="true"/>
          <w:lang w:bidi="ar-SA"/>
        </w:rPr>
        <w:t>الجميع، رافعاً عقيرته،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فضيلة خاصّة بعلي لا يحتاج إلى هذه المقدّمات الكثيرة والتمهيدات والاستعدادات المتعدّدة المحرجة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نرجو من الدكتور حفظه اللّه أن يراجع شأن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فقد نصّ غير واحد من اعلام السنّة على نزول هذه الآية في حادثة الغدير، والقرائن الموجودة في الآية تؤيد ذلك حيث إن مورد التبليغ، بلغ من الأهمية حدّاً قيل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هو هذا الأمر الّذي لو لم يؤده لم يؤد الرسالة الإلهية بشكل كامل‌؟ مع أنّه صلى الله عليه و آله و سلم صرف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عمره الشريف في تبليغ رسالة ربّه، أضف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الفقرة تكشف عن حساسية المهمة، بحيث تحيطها الاخطار والردود المعاكسة من قبل المنافقين ومن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الأمران يؤيدان نزول الآية في قضية سياسية مهمة يُعد عدم تبليغها عدم تبليغ الرسالة، وأن في تبليغها خوفاً على النفس والنفيس، وليس لها مصداق إلّا التصريح بالزعامة العامّة لرجل من أهل بيت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أن تصريح النبيّ صلى الله عليه و آله و سلم يوم الغدير ليس فضيلة خاصّة، الروايات الّتي رواها كبار علماء السنة،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 في ترجمة الإمام علي بن أبي طالب عليه السلام فقد روى 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ثمانية عشر من ذي الحجّة كتب له صيام ستين</w:t>
      </w:r>
    </w:p>
    <w:p>
      <w:pPr>
        <w:pStyle w:val="BookText"/>
        <w:rPr/>
      </w:pPr>
      <w:r>
        <w:rPr>
          <w:rFonts w:ascii="Amiri" w:hAnsi="Amiri" w:eastAsia="Amiri" w:cs="Amiri"/>
          <w:color w:val="111111"/>
          <w:sz w:val="28"/>
          <w:sz w:val="28"/>
          <w:szCs w:val="28"/>
          <w:rtl w:val="true"/>
          <w:lang w:bidi="ar-SA"/>
        </w:rPr>
        <w:t>شهراً، وهو يوم غدير خمّ لمّا أخذ النبيّ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ولي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بن أبي طالب أصبحت مولاي ومولى كلّ مسلم، فأنزل اللّه الآية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الحسكاني الحنفي فقد روى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لمّا نزلت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ورضى الربّ برسالتي وولاية علي، اللّهم والِ من والاه، وعاد من عاداه، وأنصر من نصره، وأخذل من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قالوا إنّ الصحابة خانوا عهد اللّه وعهد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الصحابة خونة كيف أخذ الشيعة كالسنة، القرآن وفهموه من الصحابة‌؟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نصفهم بما ذكر كما مرّ؛ بل نقول إنّ القرآن الكريم كتاب اللّه الّذي ضمن سبحانه من أن لا يتسرّب إليه التحريف ولا يأتيه الباطل من بين يديه ولا من خلفه،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وعندئذٍ لا يتمكّن أي ابن أُنثى من أن يُدخل على القرآن الكريم نقيصة ولا يزيد فيه زيادة، من غير فرق بين الصحابي وغيره</w:t>
      </w:r>
      <w:r>
        <w:rPr>
          <w:rFonts w:eastAsia="Amiri" w:cs="Amiri" w:ascii="Amiri" w:hAnsi="Amiri"/>
          <w:color w:val="111111"/>
          <w:sz w:val="28"/>
          <w:szCs w:val="28"/>
          <w:rtl w:val="true"/>
          <w:lang w:bidi="ar-SA"/>
        </w:rPr>
        <w:t>.</w:t>
      </w:r>
      <w:bookmarkStart w:id="149" w:name="pg16780_176981"/>
    </w:p>
    <w:p>
      <w:pPr>
        <w:pStyle w:val="Heading4"/>
        <w:numPr>
          <w:ilvl w:val="3"/>
          <w:numId w:val="1"/>
        </w:numPr>
        <w:rPr/>
      </w:pPr>
      <w:bookmarkStart w:id="150" w:name="__RefHeading___Toc7189563_73709187"/>
      <w:bookmarkStart w:id="151" w:name="_Toc55"/>
      <w:bookmarkEnd w:id="149"/>
      <w:bookmarkEnd w:id="150"/>
      <w:r>
        <w:rPr>
          <w:rtl w:val="true"/>
        </w:rPr>
        <w:t>الحلقة الخامسة والعشرون</w:t>
      </w:r>
      <w:r>
        <w:rPr>
          <w:rtl w:val="true"/>
        </w:rPr>
        <w:t xml:space="preserve">: </w:t>
      </w:r>
      <w:r>
        <w:rPr>
          <w:rtl w:val="true"/>
        </w:rPr>
        <w:t xml:space="preserve">اليوم الخامس والعشرون من شهر رمضان </w:t>
      </w:r>
      <w:r>
        <w:rPr/>
        <w:t>1436</w:t>
      </w:r>
      <w:r>
        <w:rPr>
          <w:rtl w:val="true"/>
        </w:rPr>
        <w:t xml:space="preserve"> </w:t>
      </w:r>
      <w:r>
        <w:rPr>
          <w:rtl w:val="true"/>
        </w:rPr>
        <w:t>ه‍</w:t>
      </w:r>
      <w:bookmarkEnd w:id="151"/>
    </w:p>
    <w:p>
      <w:pPr>
        <w:pStyle w:val="BookText"/>
        <w:rPr/>
      </w:pPr>
      <w:r>
        <w:rPr>
          <w:rFonts w:ascii="Amiri" w:hAnsi="Amiri" w:eastAsia="Amiri" w:cs="Amiri"/>
          <w:color w:val="111111"/>
          <w:sz w:val="28"/>
          <w:sz w:val="28"/>
          <w:szCs w:val="28"/>
          <w:rtl w:val="true"/>
          <w:lang w:bidi="ar-SA"/>
        </w:rPr>
        <w:t>قال الدكتور أحمد الطيب شيخ 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لا أُريد أن أُحدث فرقة أو فتنة بين السنّة والشيعة فما حملني على هذا البرنامج إلّالنتفاهم بهدوء لنزع أسباب الفرقة وتفتيت المؤامرات الشيطانية الكبرى العالمية لضرب أُمّة الإسلام بإرشاد الأُمّة لما فيه الخير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عليّاً بايع أبا بكر وعمر وعثمان، ولو كان النبيّ صلى الله عليه و آله و سلم نصّ على إمامته لما رضي ببيعتهم ولقاتلهم كما حدث بينه وبين معاوية بعد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الإمامة الّتي تلي شؤون الحكم والمنصوص عليها من قبل اللّه تعالى غير معقولة، وللأسف الشديد هذه النظرية هي الّتي تبعث الآن ليقتل السنّي الشيعي ويقتل الشيعي السنّي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الأوائل الّذين كانوا حول عليٍّ لم يعرفوا إمامة الإمام وزعامته بعد النبيّ وإنّما ظهرت هذه النظرية في القرن الثاني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خلاصة ما أكّد عليه شيخ الأزهر في حديثه اليومي الّذي يقدّم في الشهر المبارك من على الفضائية المصرية، ونحن نرجع ونحلّل كلّ واحد من الأُمور الأربعة الّتي أكد عليها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فضيلة الشيخ أنّ الهدف هو نزع فتيل الفتنة والفرقة وإرشاد الأُمّة إلى التفاهم بهدوء، ونحن نرحب بهذا الهدف السامي الّذي فيه تقوية الإسلام وعلو شأنه، لكن كان يجب على الشيخ قبل إلقاء المحاضرة أن يجمع علماء الإسلام من السنّة والشيعة حول طاولة مستديرة لمناقشة هذه</w:t>
      </w:r>
    </w:p>
    <w:p>
      <w:pPr>
        <w:pStyle w:val="BookText"/>
        <w:rPr/>
      </w:pPr>
      <w:r>
        <w:rPr>
          <w:rFonts w:ascii="Amiri" w:hAnsi="Amiri" w:eastAsia="Amiri" w:cs="Amiri"/>
          <w:color w:val="111111"/>
          <w:sz w:val="28"/>
          <w:sz w:val="28"/>
          <w:szCs w:val="28"/>
          <w:rtl w:val="true"/>
          <w:lang w:bidi="ar-SA"/>
        </w:rPr>
        <w:t>الأُمور بشكل علمي بعيداً عن الضجيج الإعلامي، غير أنّه عدل عن هذا الطريق الصحيح بإلقاء محاضرات على الهواء يبيّن فيها الفوارق الموجودة بين الطائفتين ويؤيّد إحداهما ويردّ على الأُخرى، وهذا العمل لا ينتج إلّااستنزاف القوى وتشتّت الصف الإسلامي، وهو خلاف ما يتبّناه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بأنّ عليّاً بايع الخلفاء الثلاثة، فلم يرد في التاريخ إلّا بيعة علي لأبي بكر بعد ستة أشهر عقب وفاة بنت المصطفى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وعاشت بعد النبيّ صلى الله عليه و آله و سلم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فلو كانت بيعة أبي بكر بيعة صحيحة لا فلتة،</w:t>
      </w:r>
      <w:r>
        <w:rPr>
          <w:rStyle w:val="FootnoteAnchor"/>
          <w:rtl w:val="true"/>
        </w:rPr>
        <w:footnoteReference w:id="194"/>
      </w:r>
      <w:r>
        <w:rPr>
          <w:rFonts w:ascii="Amiri" w:hAnsi="Amiri" w:eastAsia="Amiri" w:cs="Amiri"/>
          <w:color w:val="111111"/>
          <w:sz w:val="28"/>
          <w:sz w:val="28"/>
          <w:szCs w:val="28"/>
          <w:rtl w:val="true"/>
          <w:lang w:bidi="ar-SA"/>
        </w:rPr>
        <w:t>فلماذا لم تبايع بنت المصطفى صلى الله عليه و آله و سلم وهي سيدة نساء العالمين إلى أن توفيت وهي واجدة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أبيها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أفيمكن أن نرمي بنت النبيّ الخاتم صلى الله عليه و آله و سلم بما ورد في هذا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أيضاً لماذا تأخر عليّ عليه السلام عن بيعة أبي بكر مدة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عليّاً لمّا شاهد إقصاءه عن منصة الخلافة، ترك الأمر إليهم لمصلحة أشار إليها في بعض خطبه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صلى الله عليه و آله و سلم فَخَشِيتُ إِنْ لَمْ أَنْصُرِ الْإِسْلَامَ وَأَهْلَهُ أَنْ أَرَى فِيهِ ثَلْماً أَوْ هَدْماً، تَكُونُ الْمُصِيبَةُ بِهِ عَلَيَّ أَعْظَمَ مِنْ فَوْتِ وِلَايَتِكُمُ‌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الدكتور بأنّ الإمامة المنصوصة عليها من قبل اللّه غير معقولة وتثير النزاع بين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ياللأسف يذكر الدكتور أنّ كون الإمامة أمراً منصوصاً من اللّه سبحانه، أمراً غير معقول مع أنّ النبيّ الأكرم ينصّ على صحّة الإمامة بهذا المعنى، وذلك لمّا عرض الرسول صلى الله عليه و آله و سلم نفسه على بني عامر الّذين جاءوا إلى مكّة في موسم الحج ودعاهم إلى الإسلام قال 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وهذا هو الشيخ الرئيس ابن سينا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والاستخلاف بالنصّ أصوب، فإنّ ذلك لا يؤدّي إلى التشعّب والتشاغب والاختلاف</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العجب من أنّه جعل وجود القتال بين الطائفتين من آثار القول بالنصّ في مورد الحكم مع أنّه لا صلة بين الأمرين، فإذا كانت الخلافة من الأحكام الفرعية وكان الاختلاف فيها أمراً شائعاً فما هو السبب لأن يقتل السنّي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القتال من آثار تعظيم الخلاف ورفع مستواه إلى حدّ الإيمان والكفر من قبل المتشددين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الدماء الطاهرة الّتي تراق كلّ يوم في بلاد الرافدين واليمن الفيحاء كلّها من آثار فتاوى التكفير الّتي يقوم بها مَن لا علم له بالكتاب والسنّة ولا تقوى حتّى تصدّه عن هذا العمل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السلطان سليم العثماني من الشيعة في الأناضول أربعين ألفاً وقيل سبعين ألفاً لم يكن لهم ذنب سوى أنّهم شيعة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نوح الحنفي أفتى بكفر الشيعة ووجوب قتلهم، فقتل من جرّاء هذه الفتوى عشرات الألوف من شيعة حلب، وقتل العثمانيون الشهيد الثاني المشهور بفضله وورعه؛ وفعل الجزّار والي عكّا بجبل عامل فعل الحجّاج في العراق، وقد نهب الجزار أموال العامليين وأحرق مكتباتهم، وكان في مكتبة آل خاتون خمسة آلاف مجلد، وبقيت أفران عكّا توقد أُسبوعاً كاملاً من كتب العامليين، ولم يسلم من ظلم الجزّار إلّامَن استطاع الفرار</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نطالب الدكتور الطيب برصد الواقع التاريخي للمسلمين لنرى ما هي الأسباب الحقيقية للصراع الّذي نشب في العالم الإسلامي، فعلى سبيل المثال أنّ معركة الجمل وصفّين لم يكن للإمامة بما هي أمامة دور فيها، بل حدثت بسبب تمرّد البعض على الخليفة الشرعي تحت ذريعة المطالبة بدم الخليفة المقتول، وأمّا النهروان فقد انطلق الخوارج فيها من فكرة الكفر باللّه بسبب تحكيم الرجال في أمر الدين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تواصل الصراع ووقع</w:t>
      </w:r>
    </w:p>
    <w:p>
      <w:pPr>
        <w:pStyle w:val="BookText"/>
        <w:rPr/>
      </w:pPr>
      <w:r>
        <w:rPr>
          <w:rFonts w:ascii="Amiri" w:hAnsi="Amiri" w:eastAsia="Amiri" w:cs="Amiri"/>
          <w:color w:val="111111"/>
          <w:sz w:val="28"/>
          <w:sz w:val="28"/>
          <w:szCs w:val="28"/>
          <w:rtl w:val="true"/>
          <w:lang w:bidi="ar-SA"/>
        </w:rPr>
        <w:t>الاختلاف الكبير بين المسلمين في العصر الأُموي والعصر العباسي بعد هارون الرشيد بين الإخوة الأمين والمأمون ولم يكن للإمامة المنصوصة فيه أثر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أهمل الدكتور ظاهرة التكفير والصراع بين المعتزلة والأشاعرة؛ فهذا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الحنابلة في النقل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القرآن مخلوق فهو جهمي كافر، ومَن زعم أنّ القرآن كلام اللّه ووقف ولم يقل ليس بمخلوق فهو أخبث من قول الأوّل، ومَن زعم أنّ الفاظنا به وتلاوتنا له مخلوقة والقرآن كلام اللّه فهو جهمي، ومَن لم يكفّر هؤلاء القوم فهو مثلهم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وهل للنصّ على الإمام مكان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أحمد بن حنبل لم يسلم منه فريق، فقد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المرجئة مثل الصابئين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والمرجئة كاليهود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أر قوماً أوسخ وسخاً ولا أقذر ولا أطفس من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قوم أشدّ بغضاً للإسلام من الجهمية والقدرية،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الجهمية كفّار والقدرية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فهل في هذا الصراع مكان للإمامة‌؟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دور النصّ على الإمامة في قضية التجسيم الّتي اتّهم بها الأشاعرة حشوية الحنابلة، وقضية التعطيل الّتي اتّهم بها الحنابلة الأشاعرة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سالت من جرّاء ذلك دماء 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بلغ التعصّب بين بعض أتباع المذاهب الأربعة حدّ التكفير، فهذا محمد بن موسى الحنفي قاضي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من الأمر شيء لأخذت على الشافعية الجزية‌؟ وسئل أحد متعصّبي الشافعية عن طعام وقعت فيه قطرة 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لكلب أو حنفي‌؟</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إلى غير ذلك من عوامل الاختلاف الّتي ليس للإمامة فيها نصيب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الأوائل لم يعرفوا إمامة الإمام بالمعنى الّذي ظهر في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هم المسلمون من المهاجرين والأنصار ومَن تبعهم بإحسان في الأجيال اللاحقة، من الذين بقوا على ما كانوا عليه في عصر الرسول صلى الله عليه و آله و سلم في أمر القيادة، ولم يغيِّروه، ولم يتعدّوا عنه إلى غيره، ولم يأخذوا بالمصالح المزعومة في مقابل النصوص، وصاروا بذلك المصداق الأبرز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ففزعوا في الأُصول والفروع إلى عليّ وعترته الطاهرة عليهم السلام، وانحازوا عن الطائفة الأُخرى مِنَ الذين لم يتعبّدوا بنصوص الخلافة والولاية وزعامة العترة، حيث تركوا النصوص، وأخذوا بالمصالح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بهذا المعنى كانوا متواجدين في عصر الرسول وبعد رحيله، وليس للشيعة تاريخ سوى تاريخ الإسلام ولم تكن وليد الجدالات السياسية ولا الكلامية، بل الإسلام والتشيّع كعملة واحدة يمثل الإسلام وجهها الأوّل والتشيّع الوجه الثاني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الآثار المرويّة في حقّ شيعة الإمام عن لسان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بالتالي شيعة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اللثام عن وجه الحقيقة، وتعرب عن التفاف قسم من المهاجرين والأنصار حول الوصيّ‌، فكانوا معروفين بشيعة عليّ في عصر الرسالة، وأنّ النبيّ الأكرم صلى الله عليه و آله و سلم وصفهم في كلماته بأنّهم هم الفائزون، وإن كنت في شكّ من هذا فسنتلو عليك بعض ما ورد من النصوص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أكرم الخلق على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أما تقرئين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w:t>
      </w:r>
    </w:p>
    <w:p>
      <w:pPr>
        <w:pStyle w:val="BookText"/>
        <w:rPr/>
      </w:pP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عدي وابن عساكر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موعدي وموعدكم الحوض إذا جاءت الأُمم للحساب تدعون غرّاً 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حجر في صواعقه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ليلتي، وكان النبيّ صلى الله عليه و آله عندي فأتته فاطمة فتبعها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وأصحابك في الجنّة، أنت وشيعتك في الجنّة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الأثير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مخاطباً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ستقدم على اللّه أنت وشيعتك راضين مرضيّين، ويقدم عليه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يده إلى عنقه يريهم كيف 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الرأس وغض البصر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الزمخشري في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كان يوم القيامة أخذت بحجزة اللّه تعالى، وأخذت أنت بحجزتي، وأخذ ولدك بحجزتك، وأخذ شيعة ولدك بحجزهم، فترى أين يؤمر بنا؟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والحجزة كناية عن مقام من المقامات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أنّك معي في الجنّة، والحسن والحسين وذرّيتنا خلف ظهورنا، وأزواجنا خلف ذرّيتنا، وشيعتنا عن أيماننا وشمائلنا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وذرّيتنا خلف ظهورنا، وأزواجنا خلف ذرّياتنا، وشيعتنا عن أيماننا وشمائلنا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الديلمي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ولذرّيّتك ولولدك ولأهلك ولشيعتك، فأبشر فإنّك الأنزع البطين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الديلمي عن النبيّ صلى الله عليه و آله و سلم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تردون الحوض رواء مرويّين، مبيضّة وجوهكم، وإنّ عدوّك يردون على الحوض ظماء مقمحين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المغازلي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من أُمّتي الجنّة سبعون ألفاً لا حساب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شيعتك وأنت إمامهم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على جمعٍ فأسرعوا إليه قياماً،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شيعتك يا أمير المؤمنين، فقال لهم خيراً،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مالي لا أرى فيكم سمة شيعتنا وحلية أحبَّتنا؟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حياءً‌، فقال له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بالذي أكرمكم أهل البيت وخصّكم وحباكم، لما أنبأتنا بصفة شيعتكم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هم العارفون باللّه، العاملون بأمر اللّه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ورأى الكافر ما أعدّ اللّه تبارك وتعالى لشيعة عليّ من الثواب والزلفى والكرامة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النصوص المتضافرة الغنيّة عن ملاحظة أسنادها، تعرب عن كون عليّ عليه السلام متميّزاً بين أصحاب النبيّ بأنّ له شيعة وأتباعاً، ولهم مواصفات وسمات كانوا مشهورين بها، في حياة النبيّ وبعدها، وكان صلى الله عليه و آله يشيد بهم ويبشّر بفوزهم،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بخارجين قيد أُنملة عن الخط النبوي المبارك للفكر الإسلامي العظيم، وهذا الأمر يؤكّد على حقيقة التشيّع ومبدئه الذي لا يفترق عن نشوء الدين واستقراره</w:t>
      </w:r>
      <w:r>
        <w:rPr>
          <w:rFonts w:eastAsia="Amiri" w:cs="Amiri" w:ascii="Amiri" w:hAnsi="Amiri"/>
          <w:color w:val="111111"/>
          <w:sz w:val="28"/>
          <w:szCs w:val="28"/>
          <w:rtl w:val="true"/>
          <w:lang w:bidi="ar-SA"/>
        </w:rPr>
        <w:t>.</w:t>
      </w:r>
      <w:bookmarkStart w:id="152" w:name="pg16780_176990"/>
    </w:p>
    <w:p>
      <w:pPr>
        <w:pStyle w:val="Heading4"/>
        <w:numPr>
          <w:ilvl w:val="3"/>
          <w:numId w:val="1"/>
        </w:numPr>
        <w:rPr/>
      </w:pPr>
      <w:bookmarkStart w:id="153" w:name="__RefHeading___Toc7189565_73709187"/>
      <w:bookmarkStart w:id="154" w:name="_Toc56"/>
      <w:bookmarkEnd w:id="152"/>
      <w:bookmarkEnd w:id="153"/>
      <w:r>
        <w:rPr>
          <w:rtl w:val="true"/>
        </w:rPr>
        <w:t>الحلقة السادسة والعشرون</w:t>
      </w:r>
      <w:r>
        <w:rPr>
          <w:rtl w:val="true"/>
        </w:rPr>
        <w:t xml:space="preserve">: </w:t>
      </w:r>
      <w:r>
        <w:rPr>
          <w:rtl w:val="true"/>
        </w:rPr>
        <w:t xml:space="preserve">اليوم السادس والعشرون من شهر رمضان </w:t>
      </w:r>
      <w:r>
        <w:rPr/>
        <w:t>1436</w:t>
      </w:r>
      <w:r>
        <w:rPr>
          <w:rtl w:val="true"/>
        </w:rPr>
        <w:t xml:space="preserve"> </w:t>
      </w:r>
      <w:r>
        <w:rPr>
          <w:rtl w:val="true"/>
        </w:rPr>
        <w:t>ه‍</w:t>
      </w:r>
      <w:bookmarkEnd w:id="154"/>
    </w:p>
    <w:p>
      <w:pPr>
        <w:pStyle w:val="BookText"/>
        <w:rPr/>
      </w:pPr>
      <w:r>
        <w:rPr>
          <w:rFonts w:ascii="Amiri" w:hAnsi="Amiri" w:eastAsia="Amiri" w:cs="Amiri"/>
          <w:color w:val="111111"/>
          <w:sz w:val="28"/>
          <w:sz w:val="28"/>
          <w:szCs w:val="28"/>
          <w:rtl w:val="true"/>
          <w:lang w:bidi="ar-SA"/>
        </w:rPr>
        <w:t>أكّد الدكتور أحمد الطيب في هذه الحلقة على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الجيل الأوّل من الشيعة لم يكن يعرف نظرية الإمامة الإلهية بدليل أنّ سيدنا عمر استعمل بعض الولاة من أنصار سيدنا عليّ عليه السلام منهم سلمان الفارسي، ومالك بن الأشتر، وحجر بن عدي، فظهر أنّ نظرية الإمامة لم تكن موجودة في ذلك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إلى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لأحمد الكاتب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 وحدة الدين خلاف السياسة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للسيد علي الأمين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الأوّل أنّ الأوائل الّذين كانوا حول عليّ كان لهم موقف إيجابي خالص من الخلفاء الثلاثة، ولمّا انتهى القرن الهجري الأوّل وتعرّض الشيعة إلى ضغوط سياسية شديدة على أيدي الأمويين، حتّى نشأت لدى فريق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فعل على هذه الضغوط 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الإمامة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فضيلته حديث هذا اليوم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مثل هذا الصوت المعتدل الّذي يمكن أن يساهم في مسيرة التفاهم بين أهل السنة والشيعة على أُسس واضحة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الأوّل وهو أنّ الجيل الأوّل من الشيعة لا يعرفون نظرية الإمامة الإلهية، بشهادة استعمال عمر لأنصار سيدنا علي عليه السلام كولاة في بعض البلدان، فما استشهد به خالٍ عن الدلالة على ما يرتئيه، فإنّ موقف هؤلاء لا يشذّ عن موقف الإمام علي عليه السلام الّذي نصر الإسلام والمسلمين في زمان الخلفاء؛ لأنّ‌</w:t>
      </w:r>
    </w:p>
    <w:p>
      <w:pPr>
        <w:pStyle w:val="BookText"/>
        <w:rPr/>
      </w:pPr>
      <w:r>
        <w:rPr>
          <w:rFonts w:ascii="Amiri" w:hAnsi="Amiri" w:eastAsia="Amiri" w:cs="Amiri"/>
          <w:color w:val="111111"/>
          <w:sz w:val="28"/>
          <w:sz w:val="28"/>
          <w:szCs w:val="28"/>
          <w:rtl w:val="true"/>
          <w:lang w:bidi="ar-SA"/>
        </w:rPr>
        <w:t>ظاهرة الارتداد كادت تقضي على الإسلام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رَأَيْتُ رَاجِعَةَ النَّاسِ قَدْ رَجَعَتْ عَنِ الْإِسْلَامِ‌، يَدْعُونَ إِلَى مَحْقِ دِينِ مُحَمَّدٍ صلى الله عليه و آله و سلم فَخَشِيتُ إِنْ لَمْ أَنْصُرِ الْإِسْلَامَ وَأَهْلَهُ أَنْ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فمنذ أُقصي علي عليه السلام عن ولايته الحقّة رأى أنّ رفع صوت الخلاف والقيام بمن معه من الأنصار، يسبّب محق الإسلام، خصوصاً وأنّ المنافقين بعد في المدينة منتشرون يتحيّنون الفرص للانقضاض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فردّة العرب من جانب وكيد المنافقين من جانب آخر، ألجأ الإمام عليّاً عليه السلام إلى المماشاة وتبعه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لَأُسْلِمَنَّ مَا سَلِمَتْ أُمُورُ الْمُسْلِمِينَ‌؛ وَلَمْ يَكُنْ فِيهَا جَوْرٌ إِلَّا عَلَيَّ خَاصَّةً‌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واقتدت به شيعته فتعاملوا مع الخلفاء إذا اقتضت المصلحة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أنّ الجيل الأوّل من الشيعة لم يكونوا يعرفون نظام الإمامة، فقد عرفت خلافه في الحلقة السابقة، وأنّ النبيّ صلى الله عليه و آله و سلم هو الّذي بذر بذرة التشيّع وربّى جمعاً يوصفون بأنّهم من شيعة علي عليه السلام في عصر الرسول الأكرم صلى الله عليه و آله و سلم والمجال لا يساعد على أن نذكر أسماء هؤلاء الّذين تفانوا في ولاية الإمام عليه السلام ولا يعرفون قائداً إلّاإيّاه، وكفاك هنا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جماعة من كبار الصحابة بموالاة عليّ في عصر رسول اللّه صلى الله عليه و آله و سلم مثل سلمان الفارسي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على النصح للمسلمين والائتمام بعليّ بن أبي طالب والموالاة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أبي سعيد الخدري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فعملوا بأربع وتركوا واحدة، ولمّا سئل عن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وصوم شهر رمضان،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لمفروضة معهنّ؟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مفروضة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أبي ذر الغفاري، وعمّار بن ياسر، وحذيفة بن اليمان، وذي الشهادتين خزيمة بن ثابت، وأبي أيّوب الأنصاري، وخالد ابن سعيد، وقيس بن سعد بن عبادة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ثم إنّ الشيعة في أوائل القرن الأوّل لو كانوا لا يختلفون عن إخوانهم السنّة في الأُصول والفروع ويعتقدون بخلافة الخلفاء بدءاً من أبي بكر وانتهاء بعلي، فما هو السبب في الضغط عليهم إذ لم يكن أي فارق بينهم وبين بقية المسلمين حتّى يلتجئوا إلى القول بنظرية الإمامة لعلي وأولاده في القرن الثاني، ومجرّد حبهم لعلي وأولاده لا يكون مبرراً للضغط، لاشتراك عامّة المسلمين في حب أهل البيت عليهم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نسي أحمد الكاتب أو تناسى أو غفل عن سبب الضغط، فإنّهم كانوا يهتفون بولاية عليّ بعد النبيّ صلى الله عليه و آله و سلم ويرون أنّ خلافة الآخرين خلافة غير صحيحة، وبالتالي خلافة مَن جاء بعد علي كمعاوية وأولاده فصار كلّ ذلك سبباً للضغط، فلم يكن تفاني هؤلاء في حب أهل البيت عليهم السلام أو اتّخاذهم أُسوة وقدوة</w:t>
      </w:r>
    </w:p>
    <w:p>
      <w:pPr>
        <w:pStyle w:val="BookText"/>
        <w:rPr/>
      </w:pPr>
      <w:r>
        <w:rPr>
          <w:rFonts w:ascii="Amiri" w:hAnsi="Amiri" w:eastAsia="Amiri" w:cs="Amiri"/>
          <w:color w:val="111111"/>
          <w:sz w:val="28"/>
          <w:sz w:val="28"/>
          <w:szCs w:val="28"/>
          <w:rtl w:val="true"/>
          <w:lang w:bidi="ar-SA"/>
        </w:rPr>
        <w:t>في الحياة إلّالنصوص صحيحة عن النبيّ الأكرم صلى الله عليه و آله و سلم دون أن يكون ردّ فعل للضغوط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إليه الدكتور من الصوت المعتدل، فهو ليس بمعتدل، بل معنى ذلك ذوبان الشيعة في السنّة، وهذا مستحيل، كما أنّ ذوبان السنّة في الشيعة كذلك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المعتدل هو الأخذ بالمشتركات المتوفرة بين الطائفتين وإرجاع البحوث الكلامية إلى المعاهد العلمية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الدكتور قال بضرورة الصوت المعتدل لأحمد الكاتب والسيد الأمين موحياً للمشاهد بأنّها حالة طارئة على الوسط الشيعي، وأنّ السائد في المدرسة الشيعية هو التطرّف والغلو، متجاهلاً ذلك الصوت الوحدوي والّذي ضرب أروع الأمثلة في الاعتدال على مرّ التاريخ، فهاهم رجال الشيعة ومرجعياتهم تتصدّى للثورة ضد الحاكم الإنجليزي في ثورة العشرين</w:t>
      </w:r>
      <w:r>
        <w:rPr>
          <w:rStyle w:val="FootnoteAnchor"/>
          <w:rtl w:val="true"/>
        </w:rPr>
        <w:footnoteReference w:id="216"/>
      </w:r>
      <w:r>
        <w:rPr>
          <w:rFonts w:ascii="Amiri" w:hAnsi="Amiri" w:eastAsia="Amiri" w:cs="Amiri"/>
          <w:color w:val="111111"/>
          <w:sz w:val="28"/>
          <w:sz w:val="28"/>
          <w:szCs w:val="28"/>
          <w:rtl w:val="true"/>
          <w:lang w:bidi="ar-SA"/>
        </w:rPr>
        <w:t>ثمّ قدّموا الحكم لإخوانهم السنّة على طبق من ذهب، ومن قبل ذلك وقفوا إلى جانب الحاكم العثماني السنّي رغم أنّه بخل عليهم بالسلاح والعتاد ولم يدعمهم بشيء، بل تآمر بعض قادته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اشتدّت الحملة الأمريكية على نظام صدام رفضت الجمهورية الإسلامية في إيران السماحَ للمحتَّل الأمريكي من الاستفادة من مجالها الجوي والبري والبحري رغم الجرائم الّتي اقترفها صدام بحق الشعب الإيراني، وعندما غزا صدام الكويت السنيّة وقفت الجمهورية الإسلامية في إيران إلى جانب الإخوة الكويتيين وهي تعلم أنّهم ساندوا النظام البعثي ووفّروا له كلّ ما يريد في حربه القذرة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سقط نظام صدام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فتح الشيعة قلوبهم قبل بيوتهم لأخوتهم وطالبوا بفتح صفحة جديدة إلّاأنّ الردّ كان قاسياً فكان نصيبهم آلاف</w:t>
      </w:r>
    </w:p>
    <w:p>
      <w:pPr>
        <w:pStyle w:val="BookText"/>
        <w:rPr/>
      </w:pPr>
      <w:r>
        <w:rPr>
          <w:rFonts w:ascii="Amiri" w:hAnsi="Amiri" w:eastAsia="Amiri" w:cs="Amiri"/>
          <w:color w:val="111111"/>
          <w:sz w:val="28"/>
          <w:sz w:val="28"/>
          <w:szCs w:val="28"/>
          <w:rtl w:val="true"/>
          <w:lang w:bidi="ar-SA"/>
        </w:rPr>
        <w:t xml:space="preserve">المفخّخات الّتي كان نصيب الشيعة ومناطقهم منها أكثر من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مقدّمتها هدم ضريح الإمامين العسكريين عليهما السلام وحادث جسر الأئمة في بغداد الّذي راح ضحيته أكثر من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ورغم كلّ ذلك صرّحت المرجعية الشيعية المتمثّلة بالسيد السيستاني حفظه اللّه بأنّه لا تقولوا إخواننا أهل السنّة بل قولوا أنفسنا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ننسى دور المدرسة القميّة ومراجعها العظام بتحريم الإساءة إلى رموز أهل السنّة والوقوف إلى جانب أفغانستان وحماس السنيتين وتحمّل المسؤولية الكبيرة في دعمها بالمال والسلاح و المواقف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سماحة الدكتور أنّ الشيعة وقفوا وسيقفون إلى جانب إخوتهم أهل السنّة لأنّ ذلك أدب ورثوه من أئمة الهدى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وأتمنّى من الدكتور الطيب أن يرصد العلاقة الحميمة الّتي تسود الشارع الإيراني سنّة وشيعة ليدرك بما لا ريب فيه مدى الأُخوّة بين الطائفتين وكيف يعيش المسلم السنّي إلى جانب أخيه الشيعي رغم محاولات بعض دول الجوار تعكير الصفو من خلال تحريكها لبعض المغفلين والانتهازيين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تقييم الكتابين اللّذين أشار إليهما الدكتور فيحتاج إلى تأليف رسالة مستقلة، فقد قام أحمد الكاتب بتحريفات كثيرة في عشرات الروايات تأييداً لأفكاره، وكفانا في ذلك ما ألفه الأُستاذ حيدر محمد علي البغدادي الطحّان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واحة اليقين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الكتاب الآخر فسيوافيك الكلام فيما نقله عنه في الحلقة التالية</w:t>
      </w:r>
      <w:r>
        <w:rPr>
          <w:rFonts w:eastAsia="Amiri" w:cs="Amiri" w:ascii="Amiri" w:hAnsi="Amiri"/>
          <w:color w:val="111111"/>
          <w:sz w:val="28"/>
          <w:szCs w:val="28"/>
          <w:rtl w:val="true"/>
          <w:lang w:bidi="ar-SA"/>
        </w:rPr>
        <w:t>.</w:t>
      </w:r>
      <w:bookmarkStart w:id="155" w:name="pg16780_176995"/>
    </w:p>
    <w:p>
      <w:pPr>
        <w:pStyle w:val="Heading4"/>
        <w:numPr>
          <w:ilvl w:val="3"/>
          <w:numId w:val="1"/>
        </w:numPr>
        <w:rPr/>
      </w:pPr>
      <w:bookmarkStart w:id="156" w:name="__RefHeading___Toc7189567_73709187"/>
      <w:bookmarkStart w:id="157" w:name="_Toc57"/>
      <w:bookmarkEnd w:id="155"/>
      <w:bookmarkEnd w:id="156"/>
      <w:r>
        <w:rPr>
          <w:rtl w:val="true"/>
        </w:rPr>
        <w:t>الحلقة السابعة والعشرون</w:t>
      </w:r>
      <w:r>
        <w:rPr>
          <w:rtl w:val="true"/>
        </w:rPr>
        <w:t xml:space="preserve">: </w:t>
      </w:r>
      <w:r>
        <w:rPr>
          <w:rtl w:val="true"/>
        </w:rPr>
        <w:t xml:space="preserve">اليوم السابع والعشرون من شهر رمضان </w:t>
      </w:r>
      <w:r>
        <w:rPr/>
        <w:t>1436</w:t>
      </w:r>
      <w:r>
        <w:rPr>
          <w:rtl w:val="true"/>
        </w:rPr>
        <w:t xml:space="preserve"> </w:t>
      </w:r>
      <w:r>
        <w:rPr>
          <w:rtl w:val="true"/>
        </w:rPr>
        <w:t>ه‍</w:t>
      </w:r>
      <w:bookmarkEnd w:id="157"/>
    </w:p>
    <w:p>
      <w:pPr>
        <w:pStyle w:val="BookText"/>
        <w:rPr/>
      </w:pPr>
      <w:r>
        <w:rPr>
          <w:rFonts w:ascii="Amiri" w:hAnsi="Amiri" w:eastAsia="Amiri" w:cs="Amiri"/>
          <w:color w:val="111111"/>
          <w:sz w:val="28"/>
          <w:sz w:val="28"/>
          <w:szCs w:val="28"/>
          <w:rtl w:val="true"/>
          <w:lang w:bidi="ar-SA"/>
        </w:rPr>
        <w:t>تابع شيخ الأزهر في حديثه اليومي الّذي يبث من الفضائية المصرية قبيل الإفطار،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الّذي يمكن أن يقرأ من كتاب السيد علي الأمين، أنّه يفرق بين الإمامة الدينية وبين الإمامة السياسية، فالإمامة الدينية تعني الرجل العالم التقي الّذي يُهتدى به ويلجأ إليه في أُمور الدين وفي مدلهمات الأُمور، ويقصد بكلامه هداية الناس، وأمّا الإمامة السياسية تعني الرجل الّذي يتولى الحكم وإدارة شؤون المجتمع وتطبيق الشريعة والحدود وإنصاف المظلوم، فهو معنيّ بالأُمور الدنيوية الحياتية والحياة المدنية، وبالتالي هناك إمام للحياة الدينية وإمام للحياة المدنية، والفرق بينهما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شيخ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السيد علي الأمين أنّه حدث خلط عند كثير من الشيعة بين مسألة الإمامة الدينية ومسألة الإمامة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نعثر على كتاب السيد علي الأمين وإنّما أقضي على نظريته حسب ما نقله الدكتور الطيّب، فإنّها ليست شيئاً جديداً، وإنّما هي نظرية غربية ألا وهي تفكيك الدين عن السياسة، متأثّراً بالمقولة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لقيصر لقيصر وما للّه 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القول بالتفكيك مع أنّ القرآن الكريم يجمع لآل إبراهيم عليه السلام بين المقامين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فإيتاء الكتاب والحكمة</w:t>
      </w:r>
    </w:p>
    <w:p>
      <w:pPr>
        <w:pStyle w:val="BookText"/>
        <w:rPr/>
      </w:pPr>
      <w:r>
        <w:rPr>
          <w:rFonts w:ascii="Amiri" w:hAnsi="Amiri" w:eastAsia="Amiri" w:cs="Amiri"/>
          <w:color w:val="111111"/>
          <w:sz w:val="28"/>
          <w:sz w:val="28"/>
          <w:szCs w:val="28"/>
          <w:rtl w:val="true"/>
          <w:lang w:bidi="ar-SA"/>
        </w:rPr>
        <w:t>علامة النبوّة وإيتاء الملك العظيم هو الحكم والسيادة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تأثّر المؤلّف في نظريته هذه بما أُثر عن عمر بن الخطاب حيث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أتدري ما منع الناس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والخلافة، فيجخفوا جخفاً، فنظرت قريش لنفسها فاختارت ووفقت فأصابت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روي عن الإمام محمد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منهم الرسل والأنبياء والأئمة، فكيف يُقرّون في آل إبراهيم وينكرونه في 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العظيم أن جعل فيهم أئمة، من أطاعهم أطاع اللّه، ومن عصاهم عصى اللّه، فهو الملك العظيم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إنّ الإمامة بمعنى الحياة الدينية، لم تكن مختصّة بالإمام، بل كان بين الصحابة الكرام من يصلح لأن يكون قدوة، ممّن بلغوا في الإيمان والتقوى مرحلة سامية، فلماذا تعلّقت الشيعة بعلي عليه السلام نافين غيره من التسلّق إلى هذا المقام الشامخ‌؟ وهذا يكشف عن أنّ إمامته كانت أمراً لا يتقمّصه إلّاهو وليست هي إلّاالرئاسة العامّة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الدكتور أنّ السيد علي الأمين استدلّ على نظريته بكلام الإمام علي عليه السلام عندما جاء الناس لمبايعته بعد مقتل عثمان بن عفّان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فإنّا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نقل كلامه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اتركوني وانتخبوا غيري، فالخير أن أكون فيكم ناصحاً آمراً بالمعروف</w:t>
      </w:r>
      <w:bookmarkStart w:id="158" w:name="pg16780_176997"/>
    </w:p>
    <w:p>
      <w:pPr>
        <w:pStyle w:val="BookText"/>
        <w:rPr/>
      </w:pPr>
      <w:bookmarkEnd w:id="158"/>
      <w:r>
        <w:rPr>
          <w:rFonts w:ascii="Amiri" w:hAnsi="Amiri" w:eastAsia="Amiri" w:cs="Amiri"/>
          <w:color w:val="111111"/>
          <w:sz w:val="28"/>
          <w:sz w:val="28"/>
          <w:szCs w:val="28"/>
          <w:rtl w:val="true"/>
          <w:lang w:bidi="ar-SA"/>
        </w:rPr>
        <w:t>وناهياً عن المنكر من أن أكون لكم أميراً أتولّى 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سنناقشه في الحلقة القادمة بتوفيق من اللّه تعالى</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189569_73709187"/>
      <w:bookmarkStart w:id="160" w:name="_Toc58"/>
      <w:bookmarkEnd w:id="159"/>
      <w:r>
        <w:rPr>
          <w:rtl w:val="true"/>
        </w:rPr>
        <w:t>الحلقة الثامنة والعشرون</w:t>
      </w:r>
      <w:r>
        <w:rPr>
          <w:rtl w:val="true"/>
        </w:rPr>
        <w:t xml:space="preserve">: </w:t>
      </w:r>
      <w:r>
        <w:rPr>
          <w:rtl w:val="true"/>
        </w:rPr>
        <w:t xml:space="preserve">اليوم الثامن والعشرون من شهر رمضان </w:t>
      </w:r>
      <w:r>
        <w:rPr/>
        <w:t>1436</w:t>
      </w:r>
      <w:r>
        <w:rPr>
          <w:rtl w:val="true"/>
        </w:rPr>
        <w:t xml:space="preserve"> </w:t>
      </w:r>
      <w:r>
        <w:rPr>
          <w:rtl w:val="true"/>
        </w:rPr>
        <w:t>ه‍</w:t>
      </w:r>
      <w:bookmarkEnd w:id="160"/>
    </w:p>
    <w:p>
      <w:pPr>
        <w:pStyle w:val="BookText"/>
        <w:rPr/>
      </w:pPr>
      <w:r>
        <w:rPr>
          <w:rFonts w:ascii="Amiri" w:hAnsi="Amiri" w:eastAsia="Amiri" w:cs="Amiri"/>
          <w:color w:val="111111"/>
          <w:sz w:val="28"/>
          <w:sz w:val="28"/>
          <w:szCs w:val="28"/>
          <w:rtl w:val="true"/>
          <w:lang w:bidi="ar-SA"/>
        </w:rPr>
        <w:t>قال الدكتور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تركتموني فأنا كأحدكم ولعلّي أسمعكم وأطوعكم لمن ولّيتموه أمركم وأنا 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رضى الله عنه لم يطلب الإمامة السياسية أبداً ولم تكن في ذهنه بل كان ينفر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بعد مقتل عثمان حيث كانت الساحة خالية أمامه ليتولّى 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اتركوني وابحثوا عن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علي عليه السلام كلمات في هذا المضمون، فقد قال لابن عباس مشيراً إلى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لكن الاستدلال بهذه الكلمات نابع عن عدم الوقوف على زمان صدور هذه الأقوال، وأنّه في أي موقف رفض بيعة القوم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خلافة رفضها وقال في حقّها ما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أرادوه للبيعة هم الذين بايعوا الخلفاء السابقين، وكان عثمان منهم، وقد استأثر بأموال المسلمين، فلمّا قُتِل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تَسير</w:t>
      </w:r>
    </w:p>
    <w:p>
      <w:pPr>
        <w:pStyle w:val="BookText"/>
        <w:rPr/>
      </w:pPr>
      <w:r>
        <w:rPr>
          <w:rFonts w:ascii="Amiri" w:hAnsi="Amiri" w:eastAsia="Amiri" w:cs="Amiri"/>
          <w:color w:val="111111"/>
          <w:sz w:val="28"/>
          <w:sz w:val="28"/>
          <w:szCs w:val="28"/>
          <w:rtl w:val="true"/>
          <w:lang w:bidi="ar-SA"/>
        </w:rPr>
        <w:t xml:space="preserve">فينا بسيرة الرسول، فاستعفاهم وسألهم أن يطلبوا غيره، ثم ذكر عدم قبوله في ذيل كلامه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مستقبلون أمراً له وجوه وألوان لا تقوم له القلوب ولا تثبت عليه العقول، وإنّ الآفاق قد أغامت والمحجّة قد تنكرت</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مشيراً إلى أنّ الشبهة قد استولت على العقول والقلوب، وجهل أكثر الناس محجّة الحق، ففي مثل هذه الظروف فإنّي لا أقدر أن أسير فيكم بسيرة الرسول صلى الله عليه و آله و سلم في أصحابه مستقلّاً بالتدبير، لفساد أحوالكم، وتعذّر صلاحكم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صدق الخُبْر الخَبَر، فلمّا قام الإمام عليه السلام بالأمر وقسّم الأموال بينهم بالعدل، نكثت طائفة، ومرقت أُخرى، وقسط آخرون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فالذي رفضه الإمام هو الخلافة الّتي يتقمّصها الإمام عن طريق البيعة، وأمّا الخلافة الالهية الّتي ألبسها اللّه سبحانه إيّاه يوم الغدير وغيره فلم تكن مطروحة لدى المبايعين والإمام، حتّى يستقيلها أو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الخلافة الّتي ينحلها الناس عن طريق البيعة، فالإمام وغيره أمامها سواء، وفي حقّها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الخلافة الإلهية الّتي تدّعيها الشيعة بفضل النصوص الكثيرة فهي غنية عن البيعة، غير خاضعة لإقبال الناس وإدبارهم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الناس أمامها سواء، بل تختصّ بمن خصّه سبحانه بها، وليس لمن خصَّه بها حق رفضها ولا استقالتها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بهذا المعنى لم تكن مطروحة حين الحوار حتّى يرفضها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أوّل كلام للإمام وآخره حول رفضه بيعة القوم وإن أصرّوا عليه وتداكّوا عليه تداكّ الإبل على حياضها يوم وِرْدها، يقول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وَبَسَطْتُمْ يَدِي فَكَفَفْتُهَا، وَمَدَدْتُمُوهَا فَقَبَضْتُهَا، ثُمَّ تَدَاكَكْتُمْ عَلَيَّ تَدَاكَّ‌</w:t>
      </w:r>
    </w:p>
    <w:p>
      <w:pPr>
        <w:pStyle w:val="BookText"/>
        <w:rPr/>
      </w:pPr>
      <w:r>
        <w:rPr>
          <w:rFonts w:ascii="Amiri" w:hAnsi="Amiri" w:eastAsia="Amiri" w:cs="Amiri"/>
          <w:color w:val="111111"/>
          <w:sz w:val="28"/>
          <w:sz w:val="28"/>
          <w:szCs w:val="28"/>
          <w:rtl w:val="true"/>
          <w:lang w:bidi="ar-SA"/>
        </w:rPr>
        <w:t>الْإِبِلِ الْهِيمِ عَلَى حِيَاضِهَا يَوْمَ وِرْدِهَا، حَتَّى انْقَطَعَتِ النَّعْلُ‌، وَسَقَطَ الرِّدَاءُ‌، وَوُطِئَ الضَّعِيفُ‌، وَبَلَغَ مِنْ سُرُورِ النَّاسِ بِبَيْعَتِهِمْ إِيَّايَ أَنِ ابْتَهَجَ بِهَا الصَّغِيرُ، وَهَدَجَ إِلَيْهَا الْكَبِيرُ، وَتَحَامَلَ نَحْوَهَا الْعَلِيلُ‌، وَحَسَرَتْ إِلَيْهَا الْكِعَابُ‌</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التداك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الازدحام الشديد، والإبل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وهدج اليها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مشياً ضعيفاً مرتعشاً، والمضارع يهدج،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وتحامل نحوها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المشي على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وحسرت إليها 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وجهها حرصاً على حضور البيعة، والكعاب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الّتي نهد ثديها، كعُب تكعُب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انقطع النعل وسقط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بقوله 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لقد وطئ الحسنان وشُقَّ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جاءوا لمبايعة عليّ من الصحابة والتابعين، إنّما حاولوا أن يبايعوه كما بايعوا الخلفاء الماضين، فالخليفة في هذا المقام يستمدّ شرعية خلافته من بيعة الناس، وهي التي وقف منها الإمام موقفاً رافضاً لعدم رغبته فيها، وعلماً منه بأنّ المبايعين لا يطيقون عدله وقضاءه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ذلك من الإمامة الإلهية الثابتة له بتنصيص النبي صلى الله عليه و آله و سلم في غير واحد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المبايعين في تلك الظروف العصيبة لم يكن لهم همّ سوى تنصيب الخليفة من دون نظر إلى الإمامة المنصوصة لعلي عليه السلام، حتّى يستقيلها الإمام أو يقبلها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نودّ الإشارة إلى نكتة، وهي أنّ البيعة الّتي تمّت لعلي عليه السلام على النحو الّذي وصفها الإمام عليه السلام كانت ظاهرة استثنائية لم يكن لها مثيل في من سبقه من الخلفاء، ومع ذلك نرى أنّه لمّا استتب الأمر للإمام عليه السلام ظهرت بوادر</w:t>
      </w:r>
      <w:bookmarkStart w:id="161" w:name="pg16780_177000"/>
    </w:p>
    <w:p>
      <w:pPr>
        <w:pStyle w:val="BookText"/>
        <w:rPr/>
      </w:pPr>
      <w:bookmarkEnd w:id="161"/>
      <w:r>
        <w:rPr>
          <w:rFonts w:ascii="Amiri" w:hAnsi="Amiri" w:eastAsia="Amiri" w:cs="Amiri"/>
          <w:color w:val="111111"/>
          <w:sz w:val="28"/>
          <w:sz w:val="28"/>
          <w:szCs w:val="28"/>
          <w:rtl w:val="true"/>
          <w:lang w:bidi="ar-SA"/>
        </w:rPr>
        <w:t>التمرّد والعصيان عليه، والتي شغلت باله عليه السلام منذ تولِّيه منصب الخلافة وحتّى استشهاده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في نهاية الأمر يبيّن وجه قبوله لبيعة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رغبته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162" w:name="__RefHeading___Toc7189571_73709187"/>
      <w:bookmarkStart w:id="163" w:name="_Toc59"/>
      <w:bookmarkEnd w:id="162"/>
      <w:r>
        <w:rPr>
          <w:rtl w:val="true"/>
        </w:rPr>
        <w:t>الحلقة التاسعة والعشرون</w:t>
      </w:r>
      <w:r>
        <w:rPr>
          <w:rtl w:val="true"/>
        </w:rPr>
        <w:t xml:space="preserve">: </w:t>
      </w:r>
      <w:r>
        <w:rPr>
          <w:rtl w:val="true"/>
        </w:rPr>
        <w:t xml:space="preserve">اليوم التاسع والعشرون من شهر رمضان </w:t>
      </w:r>
      <w:r>
        <w:rPr/>
        <w:t>1436</w:t>
      </w:r>
      <w:r>
        <w:rPr>
          <w:rtl w:val="true"/>
        </w:rPr>
        <w:t xml:space="preserve"> </w:t>
      </w:r>
      <w:r>
        <w:rPr>
          <w:rtl w:val="true"/>
        </w:rPr>
        <w:t>ه‍</w:t>
      </w:r>
      <w:bookmarkEnd w:id="163"/>
    </w:p>
    <w:p>
      <w:pPr>
        <w:pStyle w:val="BookText"/>
        <w:rPr/>
      </w:pPr>
      <w:r>
        <w:rPr>
          <w:rFonts w:ascii="Amiri" w:hAnsi="Amiri" w:eastAsia="Amiri" w:cs="Amiri"/>
          <w:color w:val="111111"/>
          <w:sz w:val="28"/>
          <w:sz w:val="28"/>
          <w:szCs w:val="28"/>
          <w:rtl w:val="true"/>
          <w:lang w:bidi="ar-SA"/>
        </w:rPr>
        <w:t>أكّد الدكتور أحمد الطيب شيخ الأزهر في هذه الحلقة الّتي هي خاتمة المطاف، على أنّ الأزهر من أحرص المؤسسات الدينية على وحدة الأُمّة الإسلامية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خلال شهر رمضان المبارك لم نكن نقصد به إحداث فرقة أو إثارة ضغائن بين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سماحته قائلاً بأنّ الأزهر لا يحجر على الرأي أبداً؛ لأنّ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نلتقي على أُصول واضحة تمنع وقوع الفتن، تعالوا لإيقاف شلّالات الدم الّتي تجري بين المسلمين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مصر بلد سنّي ولا نريد أن يتحوّل شعبه المسلم إلى</w:t>
      </w:r>
    </w:p>
    <w:p>
      <w:pPr>
        <w:pStyle w:val="BookText"/>
        <w:rPr/>
      </w:pPr>
      <w:r>
        <w:rPr>
          <w:rFonts w:ascii="Amiri" w:hAnsi="Amiri" w:eastAsia="Amiri" w:cs="Amiri"/>
          <w:color w:val="111111"/>
          <w:sz w:val="28"/>
          <w:sz w:val="28"/>
          <w:szCs w:val="28"/>
          <w:rtl w:val="true"/>
          <w:lang w:bidi="ar-SA"/>
        </w:rPr>
        <w:t>طائفتين تقتتل من أجل الطائفية، وإنّ مصر ليس فيها شيعة ولذلك يراد الآن إحداث فتنة فيها من خلال إيجاد قاعدة شبابية تتمذهب بالمذهب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عزّز كلامه بتنبؤات بيرنارد لويس حول الشرق الأوسط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عاجلاً وليس آجلاً سيعاود النمط التاريخي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الخلاف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إلى العلن فتركيا إسلامية وإيران إسلامية ستتنافسان على الزعامة وستكون المنافسة كما كانت عليه منذ عدّة قرون بين المذهبين السنّي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كلامه طالب فضيلته علماء الشيعة الاجتماع بالأزهر لإصدار فتاوى من المراجع الشيعية ومن أهل السنة تحرّم على الشيعي أن يقتل السنّي وتحرم على السنّي أن يقتل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بين الطوائف الإسلامية من الأماني العزيزة الّتي يتمنّاها كلّ مسلم واعٍ بصير، خصوصاً في الأوضاع الراهنة، والأجواء السائدة على المسلمين، والظروف المحيطة بهم في شتى النواحي والأقطار، ولا يشكّ في ضرورته إلّااثنان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مغفل، وجاحد معاند ماكر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يمرّ على المسلمين يوم إلّاوفيه مجازر رهيبة، وحروب دامية طاحنة، فرضتها عليهم القوى الكافرة، الّتي تخاف من سيادة الإسلام في ربوع العالم، وانتشاره فيها، فعادت تؤجّج نار الحرب بين آونة وأُخرى، فتضرب المسلم بالمسلم تارة، وبالكافر أُخرى فتحقّق أُمنيتها الكبرى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فهو رأي متفّق عليه بيننا وبين الدكتور أحمد الطيب حفظه اللّه، والشاهد على ذلك أنّ علماء الشيعة قد اتّفقوا مع شيخ الأزهر في وقته الشيخ محمود شلتوت في تأسيس دار التقريب بين المذاهب الإسلامية، وقد تبادلت</w:t>
      </w:r>
    </w:p>
    <w:p>
      <w:pPr>
        <w:pStyle w:val="BookText"/>
        <w:rPr/>
      </w:pPr>
      <w:r>
        <w:rPr>
          <w:rFonts w:ascii="Amiri" w:hAnsi="Amiri" w:eastAsia="Amiri" w:cs="Amiri"/>
          <w:color w:val="111111"/>
          <w:sz w:val="28"/>
          <w:sz w:val="28"/>
          <w:szCs w:val="28"/>
          <w:rtl w:val="true"/>
          <w:lang w:bidi="ar-SA"/>
        </w:rPr>
        <w:t>الرسائل بين مشايخ الأزهر ومراجع الشيعة كآية اللّه البروجردي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فهذه النقطة أمر يعرفه مَن له إلمام بالأوضاع المريرة في حياتنا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الدكتور شيخ الأزهر ينزعج من وجود التبشير الشيعي داخل مصر وأنّه بلد سنّي لا شيعي لكن نسأل الأُستاذ لماذا لا ينزعج من التبشير المسيحي في مصر والّذي يمتدّ تاريخه لعشرات السنين حتّى أنّ القبطيّين لهم دور في 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إنّي لا أظن وجود تبشير شيعي بمعنى تحويل السنّي إلى شيعي بينما يريد إزالة العقبات وإزاحة الموانع بين الطائفتين وأنّ بينهما مشتركات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عجائب الكلام أنّ الدكتور يقول إنّ السنّة يمثّلون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في العالم، ولكنّه تصوّر غير تام، فإنّ الشيعة يمثّلون ربع المسلمين لو لم يكن أكثر، ثم إنّ بينهم علماء وحكماء، كتّاب وخطباء، ومثقّفين وأساتذة من طبقات مختلفة، وهم أحرار لا يمكن للمرجعية أن تكمّم أفواههم عن التكلّم بما يعتقدون ونشر ما يريدون خصوصاً إذا كان لرفع سوء الظن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علماء الأزهر وأهل السنّة لا يستطيعون السيطرة على جميع علمائهم ومثقّفيهم وتكميم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نجانب ونخالف كلّ تبشير من أي طائفة تريد إشعال نار الفتنة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نرى ما يمضي من يوم إلّاوينتشر كتاب أو رسالة أو مقال من أهل السنّة في تكفير الشيعة وتحريض الشباب على إراقة دمائهم، وليس هذا ببعيد ممّن يقرأ شيئاً ممّا يجري في أفغانستان وباكستان والعراق وسورية واليمن وغيرها من البلدان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نقله عن بيرنارد لويس ووصفه بالتنبّؤات غير صحيح جدّاً، فإنّه مخطّط لهم وليس تنبّؤاً، إذ ليس هناك أي تنافس بين إيران وتركيا على الزعامة، وما ذكره ليس إلّامؤامرة تدبّرها الدول الاستكبارية لضرب الدولتين باسم التنبّؤ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في العراق وسورية واليمن حرب سياسية وليست حرباً طائفية فإنّ يد الدول الكبرى وراء هذه الحروب، فهذه الدول بإشعال فتيل الحرب في تلك المناطق تنتفع كثيراً حيث تتم الحرب بإضعاف المسلمين أوّلاً، وتهديم منشآتهم الاقتصادية ثانياً، وبيع الاسلحة عليهم ثالثاً، ودفع الخطر عن إسرائيل وجعلها أكثر أمناً رابعاً، إلى غير ذلك من الآثار 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الأزهر الشريف سكت عن شلّالات الدماء الّتي تجري في اليمن الجريح الّتي تُدّمر كلّ يوم وليلة بأعذار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مقالي وكلامي إلى سماحة الدكتور أحمد الطيب شيخ الأزهر حفظه اللّه عسى أن يقوم بما تبنّاه من اجتماع رؤساء الطائفتين ودراسة الموضوع، أي وحدة المسلمين ونجاتهم ممّا يحيط بهم من مؤامرات عسى أن يصل الجميع إلى أُمنياتهم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على إيمان ويقين بأنّه لو كان الاجتماع للّه وبنية خالصة فاللّه سبحانه يسدّد خطاهم ويوفّقهم لما فيه الصلاح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الرسالة مساء يوم الخميس الثاني</w:t>
      </w:r>
    </w:p>
    <w:p>
      <w:pPr>
        <w:pStyle w:val="BookText"/>
        <w:rPr/>
      </w:pPr>
      <w:r>
        <w:rPr>
          <w:rFonts w:ascii="Amiri" w:hAnsi="Amiri" w:eastAsia="Amiri" w:cs="Amiri"/>
          <w:color w:val="111111"/>
          <w:sz w:val="28"/>
          <w:sz w:val="28"/>
          <w:szCs w:val="28"/>
          <w:rtl w:val="true"/>
          <w:lang w:bidi="ar-SA"/>
        </w:rPr>
        <w:t xml:space="preserve">عشر من شهر ذي القعدة الحرام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في مدينة قم المقدّسة عش آل محمد</w:t>
      </w:r>
    </w:p>
    <w:p>
      <w:pPr>
        <w:pStyle w:val="BookText"/>
        <w:rPr/>
      </w:pP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164" w:name="pg16780_177005"/>
    </w:p>
    <w:p>
      <w:pPr>
        <w:pStyle w:val="Heading3"/>
        <w:numPr>
          <w:ilvl w:val="2"/>
          <w:numId w:val="1"/>
        </w:numPr>
        <w:rPr/>
      </w:pPr>
      <w:bookmarkStart w:id="165" w:name="__RefHeading___Toc7189573_73709187"/>
      <w:bookmarkStart w:id="166" w:name="_Toc60"/>
      <w:bookmarkEnd w:id="164"/>
      <w:bookmarkEnd w:id="165"/>
      <w:r>
        <w:rPr/>
        <w:t>2</w:t>
      </w:r>
      <w:r>
        <w:rPr>
          <w:rtl w:val="true"/>
        </w:rPr>
        <w:t xml:space="preserve"> </w:t>
      </w:r>
      <w:r>
        <w:rPr>
          <w:rtl w:val="true"/>
        </w:rPr>
        <w:t>فتنة التكفير جذورها وآثارها في المجتمع</w:t>
      </w:r>
      <w:bookmarkEnd w:id="1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7189575_73709187"/>
      <w:bookmarkStart w:id="168" w:name="_Toc61"/>
      <w:bookmarkEnd w:id="167"/>
      <w:r>
        <w:rPr>
          <w:rtl w:val="true"/>
        </w:rPr>
        <w:t>اشارة</w:t>
      </w:r>
      <w:bookmarkStart w:id="169" w:name="pg16780_177007"/>
      <w:bookmarkEnd w:id="168"/>
    </w:p>
    <w:p>
      <w:pPr>
        <w:pStyle w:val="Heading4"/>
        <w:numPr>
          <w:ilvl w:val="3"/>
          <w:numId w:val="1"/>
        </w:numPr>
        <w:rPr/>
      </w:pPr>
      <w:bookmarkStart w:id="170" w:name="__RefHeading___Toc7189577_73709187"/>
      <w:bookmarkStart w:id="171" w:name="_Toc62"/>
      <w:bookmarkEnd w:id="169"/>
      <w:bookmarkEnd w:id="170"/>
      <w:r>
        <w:rPr>
          <w:rtl w:val="true"/>
        </w:rPr>
        <w:t>إدانة القرآن الكريم لظاهرة التكفير</w:t>
      </w:r>
      <w:bookmarkEnd w:id="171"/>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bookmarkStart w:id="172" w:name="pg16780_177008"/>
    </w:p>
    <w:p>
      <w:pPr>
        <w:pStyle w:val="Heading4"/>
        <w:numPr>
          <w:ilvl w:val="3"/>
          <w:numId w:val="1"/>
        </w:numPr>
        <w:rPr/>
      </w:pPr>
      <w:bookmarkStart w:id="173" w:name="__RefHeading___Toc7189579_73709187"/>
      <w:bookmarkStart w:id="174" w:name="_Toc63"/>
      <w:bookmarkEnd w:id="172"/>
      <w:bookmarkEnd w:id="173"/>
      <w:r>
        <w:rPr>
          <w:rtl w:val="true"/>
        </w:rPr>
        <w:t>ادانة ظاهرة التكفير على لسان النبي صلى الله عليه و آله و سلم</w:t>
      </w:r>
      <w:r>
        <w:rPr>
          <w:rtl w:val="true"/>
        </w:rPr>
        <w:t>:</w:t>
      </w:r>
      <w:bookmarkEnd w:id="174"/>
    </w:p>
    <w:p>
      <w:pPr>
        <w:pStyle w:val="BookText"/>
        <w:rPr/>
      </w:pPr>
      <w:r>
        <w:rPr>
          <w:rFonts w:ascii="Amiri" w:hAnsi="Amiri" w:eastAsia="Amiri" w:cs="Amiri"/>
          <w:color w:val="111111"/>
          <w:sz w:val="28"/>
          <w:sz w:val="28"/>
          <w:szCs w:val="28"/>
          <w:rtl w:val="true"/>
          <w:lang w:bidi="ar-SA"/>
        </w:rPr>
        <w:t>روى البخاري عن أبي ذرّ أنّه سمع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يرمي رجل رجلاً بالفسوق ولا يرميه بالكفر إلاّ ارتدّت عليه إن لم يكن صاحبه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برقم </w:t>
      </w: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الترمذي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لاعن المؤمن كقاتله، ومَن قذف مؤمناً بكفر فهو كقاتله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bookmarkStart w:id="175" w:name="pg16780_177009"/>
    </w:p>
    <w:p>
      <w:pPr>
        <w:pStyle w:val="Heading4"/>
        <w:numPr>
          <w:ilvl w:val="3"/>
          <w:numId w:val="1"/>
        </w:numPr>
        <w:rPr/>
      </w:pPr>
      <w:bookmarkStart w:id="176" w:name="__RefHeading___Toc7189581_73709187"/>
      <w:bookmarkStart w:id="177" w:name="_Toc64"/>
      <w:bookmarkEnd w:id="175"/>
      <w:bookmarkEnd w:id="176"/>
      <w:r>
        <w:rPr>
          <w:rtl w:val="true"/>
        </w:rPr>
        <w:t>كلمات مضيئة حول ظاهرة التكفير ونتائجها</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التكفير نابع عن طغيان العاطفة الكاذبة على العقل ومنهج الاستدلال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التكفير يهدف إلى تمزيق الأُمّة الإسلامية وإضعاف المسلمين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التكفير يورث الفوضى ويُعدم الأمن الذي هو من أهم الحاجات الفطرية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التكفير تنمو في بيئة الجهل وسوء الفهم لأحكام الشريعة المقدسة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التكفير من أخطر الأُمور على الإسلام في طريق تشويه صورته ظلماً وعدواناً</w:t>
      </w:r>
      <w:bookmarkStart w:id="178" w:name="pg16780_177011"/>
    </w:p>
    <w:p>
      <w:pPr>
        <w:pStyle w:val="BookText"/>
        <w:rPr/>
      </w:pPr>
      <w:bookmarkEnd w:id="178"/>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79" w:name="__RefHeading___Toc7189583_73709187"/>
      <w:bookmarkStart w:id="180" w:name="_Toc65"/>
      <w:bookmarkEnd w:id="179"/>
      <w:r>
        <w:rPr>
          <w:rtl w:val="true"/>
        </w:rPr>
        <w:t>تمهيد</w:t>
      </w:r>
      <w:bookmarkEnd w:id="180"/>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 ونودوا أن تلكم الجنة أورثتموها بما كنتم تعملون، والصلاة والسلام على نبيّ الرحمة وإمام الهدى محمد المصطفى وعلى 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ظهرت في عصرنا هذا، ظاهرة التكفير وتبنَّتها جماعة احتكروا الإيمان لأنفسهم وسلبوه عن غيرهم، فقاموا بقتل الأنفس ونهب الأموال بحجّة أنّ غيرهم كفّار يجب قتالهم وسبي ذراريهم والإغارة على ممتلكاتهم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هؤلاء يدّعون أنّهم يحكمون باسم الإسلام وباسم نبيّ الرحمة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يكون في شيء إلّازانه، ولا يُنزع من شيء إلّا شانه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فها هم يقتلون الأبرياء والعُزّل من الناس أطفالاً وشيوخاً ونساءً ويقومون بجرائمهم وهم يكبّرون ويصلّون على النبي صلى الله عليه و آله و سلم الذي يصفه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ويدّعون رفع لواء الجهاد في سبيل نصرة الدين ومواجهة أعدائه، وهم يعيشون في الأرض فساداً، ويحرقون الحرث والنسل، ويدّمرون المنشآت الاقتصادية، بل يخرّبون كلّ شيء؟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يقومون بهذه الجرائم الفظيعة التي يهتزّ لها عرش الرحمن باسم الدين،</w:t>
      </w:r>
    </w:p>
    <w:p>
      <w:pPr>
        <w:pStyle w:val="BookText"/>
        <w:rPr/>
      </w:pPr>
      <w:r>
        <w:rPr>
          <w:rFonts w:ascii="Amiri" w:hAnsi="Amiri" w:eastAsia="Amiri" w:cs="Amiri"/>
          <w:color w:val="111111"/>
          <w:sz w:val="28"/>
          <w:sz w:val="28"/>
          <w:szCs w:val="28"/>
          <w:rtl w:val="true"/>
          <w:lang w:bidi="ar-SA"/>
        </w:rPr>
        <w:t>والأنكى من ذلك أنّهم لا يعيرون أهمية الضحايا الأبرياء ولا يقدّرون لها قيمة، وأصبح ذبح الإنسان الذي عرّفه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أهون عندهم من ذبح الطير أو قتل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القائمين بهذه الأعمال بين جاهل بقواعد الدين وأحكامه متحمّس في طريقه؛ أو عالم بالموضوع وحكمه لكنّه ينفذ خطط الكافرين الذين يكنّون الحِقْد والعِداء لنبي الإسلام ورسالته منذ قرون، فتراهم في كلّ عصر يأتون بخطّة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يتولى كبر هذا الأمر الفظيع هو قائد الوهابية المتشددة محمد بن عبد الوهاب الذي ظهر في القرن الثاني عشر الهجري مدّعياً الدفاع عن التوحيد فكفّر عامّة المسلمين إلّامَن تابعه في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ابن عبد الوهاب عامّة المسلمين كفّاراً ومشركين ومرتدّين كأهل الجاهلية الأُولى أو أضلّ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أنّ هذا الذي يُسمّيه المشركون في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الشرك الذي نزل فيه القرآن، وقاتل رسول اللّه صلى الله عليه و آله و سلم الناس عليه، فاعلم أنّ شرك الأوّلين أخفّ من شرك أهل زماننا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الأوّلين لا يشركون ولا يدعون الملائكة والأولياء والأوثان مع اللّه إلّا في الرخاء، وأمّا في الشدّة فيخلصون للّه الدعاء، فيدلّ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وبذلك تبيّن الفرق بين شرك أهل زماننا وشرك الأوّلين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واستنتج من عبارته هذه أنّ مشركي أهل زمانه يدعون غير اللّه في الشدّة والرخاء، فكانوا أكثر شركاً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العبارات تدلّ على أنّ جماهير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مشركون شركاً أشدّ من شرك أبي جهل وأبي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من الشرك الذي اتّهم به عامّة المسلمين عبر قرون ما يقومون به من زيارة قبور الأنبياء والأولياء الصالحين والتوسّل بهم مضافاً إلى إعمار قبورهم وأضرحتهم، فهذا هو الذي أسماه ابن عبد الوهاب بالشرك الأكبر، وبذلك صار المسلمون بعد رحيل رسول اللّه صلى الله عليه و آله و سلم إلى عصر محمد بن عبد الوهاب مشركين وأضلّ من مشركي عصر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يذكره ابن غنّام معاصره ومؤرّخ حياته وحروبه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ولمحمد بن عبد الوهاب كلمة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هؤلاء سنن من قبلهم وسلكوا سبيلهم شبراً بشبر وذراعاً بذراع، حذو القذّة بالقذّة، وغلب الشرك على أكثر النفوس لغلبة الجهل وخفاء العلم، وصار المعروف منكراً والمنكر معروفاً، والسنّة بدعة والبدعة سنّة، ونشأ في ذلك الصغير وهرم عليه الكبير وطمست الأعلام واشتدت غربة الإسلام، وقلّ العلماء وغلب السفهاء، وتفاقم الأمر واشتدّ البأس وظهر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والعجب أنّ الشيخ يزعم أنّه من أتباع أحمد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أن يكون ابن تيمية بهذا التشدّد فإنّه ذكر للتكفير شروطاً وموانع سيوافيك بيانها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عبّر عمّا يسمّيه محمد بن عبد الوهاب شركاً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التسرّع والغلو في التكفير يمزّق المجتمع المسلم، ويغذّي الفرقة والشحناء بين المسلمين بل ربّما يؤدّي إلى إهدار المسلمين دماء بعضهم بعضاً، وهذا على جانب النقيض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Style w:val="FootnoteAnchor"/>
          <w:rtl w:val="true"/>
        </w:rPr>
        <w:footnoteReference w:id="23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أقلّ ضرر أُصيب به الإسلام هو أنّ بدعة التكفير على النحو الذي تبثّه الفضائيات صارت حائلاً بين الغربيّين وبين اعتناقهم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هؤلاء يفهمون أو يعقلون ما عليه علماء الإسلام عامّة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في ترك تكفير ألف كافر في الحياة أهون من الخطأ في سفك محجمة من دم امرئ مسلم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إنّ الآثار السلبية المترتّبة على التكفير خطيرة جداً ويكفي في خطورته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يزيل عصمة النفس والنفيس، فالنفوس تُقتل والأعراض تهتك والأموال 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ينشر الفوضى في المجتمع الإسلامي ويجعله شيعاً والذي يعدّه سبحانه من ألوان العذاب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ليت هؤلاء يكتفون بالتكفير فإنّ خطره قليل، وهؤلاء هم اليهود والنصارى محكومون بالكفر ولكنّهم يعيشون في الأوساط الإسلامية بعيدين عن الخطر والقتل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هؤلاء يتّهمون مَن يقول لا إله إلّااللّه محمّداً رسول اللّه ويصلّي إلى الكعبة ويصوم شهر رمضان، بالشرك الذي نتيجته هو الحكم بهدر دمه، واستحلال نهب ماله وهتك حرمة نسائه وأولاده، ولذلك نرى أنّ القائلين بالتكفير بهذا المعنى يمارسون أبشع جرائم العصر الحديث ولا يستثنون أحداً، بل العدو الصهيوني الغاصب عندهم أكثر احتراماً من الشعوب الإسلامية بكافّة مذاهبها وطوائفها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قمنا بدراسة حقيقة الإيمان والكفر على ضوء الكتاب والسنّة حتى يقف الباحث الواعي على أنّ عمل هؤلاء المنحرفين يخالف حكم القرآن والسنّة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الحال يتم ضمّن فصول</w:t>
      </w:r>
      <w:r>
        <w:rPr>
          <w:rFonts w:eastAsia="Amiri" w:cs="Amiri" w:ascii="Amiri" w:hAnsi="Amiri"/>
          <w:color w:val="111111"/>
          <w:sz w:val="28"/>
          <w:szCs w:val="28"/>
          <w:rtl w:val="true"/>
          <w:lang w:bidi="ar-SA"/>
        </w:rPr>
        <w:t>:</w:t>
      </w:r>
      <w:bookmarkStart w:id="181" w:name="pg16780_177015"/>
    </w:p>
    <w:p>
      <w:pPr>
        <w:pStyle w:val="Heading4"/>
        <w:numPr>
          <w:ilvl w:val="3"/>
          <w:numId w:val="1"/>
        </w:numPr>
        <w:rPr/>
      </w:pPr>
      <w:bookmarkStart w:id="182" w:name="__RefHeading___Toc7189585_73709187"/>
      <w:bookmarkStart w:id="183" w:name="_Toc66"/>
      <w:bookmarkEnd w:id="181"/>
      <w:bookmarkEnd w:id="182"/>
      <w:r>
        <w:rPr>
          <w:rtl w:val="true"/>
        </w:rPr>
        <w:t>الفصل الأوّل</w:t>
      </w:r>
      <w:r>
        <w:rPr>
          <w:rtl w:val="true"/>
        </w:rPr>
        <w:t xml:space="preserve">: </w:t>
      </w:r>
      <w:r>
        <w:rPr>
          <w:rtl w:val="true"/>
        </w:rPr>
        <w:t>الكفر والإيمان في اللغة ومصطلح المتكلّمين</w:t>
      </w:r>
      <w:bookmarkEnd w:id="183"/>
    </w:p>
    <w:p>
      <w:pPr>
        <w:pStyle w:val="Heading5"/>
        <w:numPr>
          <w:ilvl w:val="4"/>
          <w:numId w:val="1"/>
        </w:numPr>
        <w:rPr/>
      </w:pPr>
      <w:bookmarkStart w:id="184" w:name="__RefHeading___Toc7189587_73709187"/>
      <w:bookmarkStart w:id="185" w:name="_Toc67"/>
      <w:bookmarkEnd w:id="184"/>
      <w:r>
        <w:rPr>
          <w:rtl w:val="true"/>
        </w:rPr>
        <w:t>الكفر والإيمان لغةً‌</w:t>
      </w:r>
      <w:bookmarkEnd w:id="185"/>
    </w:p>
    <w:p>
      <w:pPr>
        <w:pStyle w:val="BookText"/>
        <w:rPr/>
      </w:pPr>
      <w:r>
        <w:rPr>
          <w:rFonts w:ascii="Amiri" w:hAnsi="Amiri" w:eastAsia="Amiri" w:cs="Amiri"/>
          <w:color w:val="111111"/>
          <w:sz w:val="28"/>
          <w:sz w:val="28"/>
          <w:szCs w:val="28"/>
          <w:rtl w:val="true"/>
          <w:lang w:bidi="ar-SA"/>
        </w:rPr>
        <w:t>يظهر من أئمّة اللغة أنّ للكفر أصلاً ومعنى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واحد وهو الستر والتغطية، والكفر ضد الإيمان لأنّه يغطّي الحق</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غطّى شيئاً فقد كفره، ومنه سُمّي الكافر لأنّه يغطي نعم اللّه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اللغة ستر الشيء، ويوصف الليل بالكافر لأنّه يستر الأشخاص، والزارع لأنّه يستر البذر في الأرض،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ويمكن أن يقال إنّ للكفر أصلاً آخر وهو الجحد والإنكار وهو غير الستر والتغطية،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إِنَّمَا اتَّخَذْتُمْ مِنْ دُونِ اللّهِ أَوْثاناً مَوَدَّةَ بَيْنِكُمْ فِي الْحَياةِ الدُّنْيا ثُمَّ يَوْمَ الْقِيامَةِ يَكْفُرُ بَعْضُكُمْ بِبَعْضٍ وَ يَلْعَنُ بَعْضُكُمْ بَعْضاً وَ مَأْواكُمُ النّارُ وَ ما لَكُمْ مِنْ ناصِرِينَ‌</w:t>
      </w:r>
      <w:r>
        <w:rPr>
          <w:rFonts w:eastAsia="Amiri" w:cs="Amiri" w:ascii="Amiri" w:hAnsi="Amiri"/>
          <w:color w:val="111111"/>
          <w:sz w:val="28"/>
          <w:szCs w:val="28"/>
          <w:rtl w:val="true"/>
          <w:lang w:bidi="ar-SA"/>
        </w:rPr>
        <w:t>) .</w:t>
      </w:r>
      <w:r>
        <w:rPr>
          <w:rStyle w:val="FootnoteAnchor"/>
          <w:rtl w:val="true"/>
        </w:rPr>
        <w:footnoteReference w:id="24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بَعْضُكُمْ بِبَعْضٍ‌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ينكر بعضكم بعضاً</w:t>
      </w:r>
      <w:r>
        <w:rPr>
          <w:rFonts w:eastAsia="Amiri" w:cs="Amiri" w:ascii="Amiri" w:hAnsi="Amiri"/>
          <w:color w:val="111111"/>
          <w:sz w:val="28"/>
          <w:szCs w:val="28"/>
          <w:rtl w:val="true"/>
          <w:lang w:bidi="ar-SA"/>
        </w:rPr>
        <w:t>.</w:t>
      </w:r>
      <w:bookmarkStart w:id="186" w:name="pg16780_177016"/>
    </w:p>
    <w:p>
      <w:pPr>
        <w:pStyle w:val="BookText"/>
        <w:rPr/>
      </w:pPr>
      <w:bookmarkEnd w:id="186"/>
      <w:r>
        <w:rPr>
          <w:rFonts w:ascii="Amiri" w:hAnsi="Amiri" w:eastAsia="Amiri" w:cs="Amiri"/>
          <w:color w:val="111111"/>
          <w:sz w:val="28"/>
          <w:sz w:val="28"/>
          <w:szCs w:val="28"/>
          <w:rtl w:val="true"/>
          <w:lang w:bidi="ar-SA"/>
        </w:rPr>
        <w:t>هذا كلّه حول الكفر، وأمّا الإيمان فالثلاثي المجرّد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السكينة والطمأنينة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لَيُبَدِّلَنَّهُمْ مِنْ بَعْدِ خَوْفِهِمْ أَمْناً يَعْبُدُونَنِي</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الثلاثي المزيد فيه فإن كان مقروناً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بنفس ذلك المعنى،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آمَنَهُمْ مِنْ خَوْفٍ‌</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وإن كان مقروناً باللام أو الباء فهو بمعنى التصديق،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بمصدّق لنا، ويقول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 الرسول</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7189589_73709187"/>
      <w:bookmarkStart w:id="188" w:name="_Toc68"/>
      <w:bookmarkEnd w:id="187"/>
      <w:r>
        <w:rPr>
          <w:rtl w:val="true"/>
        </w:rPr>
        <w:t>الإيمان والكفر في مصطلح المتكلّمين</w:t>
      </w:r>
      <w:bookmarkEnd w:id="188"/>
    </w:p>
    <w:p>
      <w:pPr>
        <w:pStyle w:val="Heading6"/>
        <w:numPr>
          <w:ilvl w:val="5"/>
          <w:numId w:val="1"/>
        </w:numPr>
        <w:rPr/>
      </w:pPr>
      <w:bookmarkStart w:id="189" w:name="__RefHeading___Toc7189591_73709187"/>
      <w:bookmarkStart w:id="190" w:name="_Toc69"/>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اتّفق المتكلّمون على أنّ الإيمان بمعنى التصديق ولكن اختلفوا في أنّه بأي جارحة يتحقّق التصديق‌؟ فهناك أقوال</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7189593_73709187"/>
      <w:bookmarkStart w:id="192" w:name="_Toc70"/>
      <w:bookmarkEnd w:id="191"/>
      <w:r>
        <w:rPr/>
        <w:t>1</w:t>
      </w:r>
      <w:r>
        <w:rPr>
          <w:rtl w:val="true"/>
        </w:rPr>
        <w:t xml:space="preserve">. </w:t>
      </w:r>
      <w:r>
        <w:rPr>
          <w:rtl w:val="true"/>
        </w:rPr>
        <w:t>التصديق اللساني</w:t>
      </w:r>
      <w:bookmarkEnd w:id="192"/>
    </w:p>
    <w:p>
      <w:pPr>
        <w:pStyle w:val="BookText"/>
        <w:rPr/>
      </w:pPr>
      <w:r>
        <w:rPr>
          <w:rFonts w:ascii="Amiri" w:hAnsi="Amiri" w:eastAsia="Amiri" w:cs="Amiri"/>
          <w:color w:val="111111"/>
          <w:sz w:val="28"/>
          <w:sz w:val="28"/>
          <w:szCs w:val="28"/>
          <w:rtl w:val="true"/>
          <w:lang w:bidi="ar-SA"/>
        </w:rPr>
        <w:t xml:space="preserve">ذهب ابن كرّام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يكفي في تحقّق الإيمان التصديق باللسان وإن لم يصدّق قلباً،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و سلم يقبل إيمان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محمداً رسول اللّه</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هذا لا يخلو من إبهام،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صدّق باللسان فهو مؤمن وإن لم نعلم وفاق لسانه مع قلبه فهو أمر مقبول، إذ لا طريق لنا إلى الغيب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قال بكفاية التصديق اللساني وإن علم الخلاف فهو</w:t>
      </w:r>
      <w:bookmarkStart w:id="193" w:name="pg16780_177017"/>
    </w:p>
    <w:p>
      <w:pPr>
        <w:pStyle w:val="BookText"/>
        <w:rPr/>
      </w:pPr>
      <w:bookmarkEnd w:id="193"/>
      <w:r>
        <w:rPr>
          <w:rFonts w:ascii="Amiri" w:hAnsi="Amiri" w:eastAsia="Amiri" w:cs="Amiri"/>
          <w:color w:val="111111"/>
          <w:sz w:val="28"/>
          <w:sz w:val="28"/>
          <w:szCs w:val="28"/>
          <w:rtl w:val="true"/>
          <w:lang w:bidi="ar-SA"/>
        </w:rPr>
        <w:t>محجوج بالقرآن الكريم،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7189595_73709187"/>
      <w:bookmarkStart w:id="195" w:name="_Toc71"/>
      <w:bookmarkEnd w:id="194"/>
      <w:r>
        <w:rPr/>
        <w:t>2</w:t>
      </w:r>
      <w:r>
        <w:rPr>
          <w:rtl w:val="true"/>
        </w:rPr>
        <w:t xml:space="preserve">. </w:t>
      </w:r>
      <w:r>
        <w:rPr>
          <w:rtl w:val="true"/>
        </w:rPr>
        <w:t>التصديق القلبي</w:t>
      </w:r>
      <w:bookmarkEnd w:id="195"/>
    </w:p>
    <w:p>
      <w:pPr>
        <w:pStyle w:val="BookText"/>
        <w:rPr/>
      </w:pPr>
      <w:r>
        <w:rPr>
          <w:rFonts w:ascii="Amiri" w:hAnsi="Amiri" w:eastAsia="Amiri" w:cs="Amiri"/>
          <w:color w:val="111111"/>
          <w:sz w:val="28"/>
          <w:sz w:val="28"/>
          <w:szCs w:val="28"/>
          <w:rtl w:val="true"/>
          <w:lang w:bidi="ar-SA"/>
        </w:rPr>
        <w:t xml:space="preserve">ذهب جهم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التصديق القلبي وإن كان منكراً لساناً، واستدلّ على ذلك بإيمان عمّار الذي أنكر رسالة النبي صلى الله عليه و آله و سلم بلسانه ولمّا جاء إلى رسول اللّه صلى الله عليه و آله و سلم باكياً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عادوا 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 الإنكار باللسان لا يضر إذا كان القلب مطمئناً بالإيمان،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في معنى الإيمان في غير حالة الاضطرار والتقيّة، وما أُشير إليه من إيمان عمّار مع الإنكار في اللّسان فهو داخل في حالة الاضطرار وقال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يكفّر قوم فرعون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أذعنوا بصحّة رسالة موسى قلباً، ولكن جحدوها لساناً، فوصفوا بالكفر</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7189597_73709187"/>
      <w:bookmarkStart w:id="197" w:name="_Toc72"/>
      <w:bookmarkEnd w:id="196"/>
      <w:r>
        <w:rPr/>
        <w:t>3</w:t>
      </w:r>
      <w:r>
        <w:rPr>
          <w:rtl w:val="true"/>
        </w:rPr>
        <w:t xml:space="preserve">. </w:t>
      </w:r>
      <w:r>
        <w:rPr>
          <w:rtl w:val="true"/>
        </w:rPr>
        <w:t>التصديق لساناً وقلباً مع الاجتناب عن الكبائر</w:t>
      </w:r>
      <w:bookmarkEnd w:id="19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الخوارج إلى أنّ الاجتناب عن الكبائر من مقوّمات الإيمان، فلو آمن وصدّق بلسانه وقلبه ولكن كذّب أو اغتاب سيخرج من خيمة الإيمان ويدخل حظيرة الكفر</w:t>
      </w:r>
      <w:r>
        <w:rPr>
          <w:rFonts w:eastAsia="Amiri" w:cs="Amiri" w:ascii="Amiri" w:hAnsi="Amiri"/>
          <w:color w:val="111111"/>
          <w:sz w:val="28"/>
          <w:szCs w:val="28"/>
          <w:rtl w:val="true"/>
          <w:lang w:bidi="ar-SA"/>
        </w:rPr>
        <w:t>.</w:t>
      </w:r>
      <w:r>
        <w:rPr>
          <w:rStyle w:val="FootnoteAnchor"/>
          <w:rtl w:val="true"/>
        </w:rPr>
        <w:footnoteReference w:id="251"/>
      </w:r>
      <w:bookmarkStart w:id="198" w:name="pg16780_177018"/>
    </w:p>
    <w:p>
      <w:pPr>
        <w:pStyle w:val="BookText"/>
        <w:rPr/>
      </w:pPr>
      <w:bookmarkEnd w:id="198"/>
      <w:r>
        <w:rPr>
          <w:rFonts w:ascii="Amiri" w:hAnsi="Amiri" w:eastAsia="Amiri" w:cs="Amiri"/>
          <w:color w:val="111111"/>
          <w:sz w:val="28"/>
          <w:sz w:val="28"/>
          <w:szCs w:val="28"/>
          <w:rtl w:val="true"/>
          <w:lang w:bidi="ar-SA"/>
        </w:rPr>
        <w:t xml:space="preserve">وقد استدلّ هؤلاء بآيات أجبنا عنها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 دليل على أنّ العمل بالفرائض والاجتناب عن المحرّمات ليس من مقوّمات الإيمان،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ترى أنّه سبحانه عطف العمل بالصالحات على الإيمان في هذه الآية وفي آيات كثيرة، وهذا يدلّ على أنّ العمل بالفرائض واجتناب الكبائر ليسا من مقومات الإيمان وإن كان لهما مدخلية تامّة في نجاة الإنسان يوم القيامة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7189599_73709187"/>
      <w:bookmarkStart w:id="200" w:name="_Toc73"/>
      <w:bookmarkEnd w:id="199"/>
      <w:r>
        <w:rPr/>
        <w:t>4</w:t>
      </w:r>
      <w:r>
        <w:rPr>
          <w:rtl w:val="true"/>
        </w:rPr>
        <w:t xml:space="preserve">. </w:t>
      </w:r>
      <w:r>
        <w:rPr>
          <w:rtl w:val="true"/>
        </w:rPr>
        <w:t>المنزلة بين المنزلتين</w:t>
      </w:r>
      <w:bookmarkEnd w:id="200"/>
    </w:p>
    <w:p>
      <w:pPr>
        <w:pStyle w:val="BookText"/>
        <w:rPr/>
      </w:pPr>
      <w:r>
        <w:rPr>
          <w:rFonts w:ascii="Amiri" w:hAnsi="Amiri" w:eastAsia="Amiri" w:cs="Amiri"/>
          <w:color w:val="111111"/>
          <w:sz w:val="28"/>
          <w:sz w:val="28"/>
          <w:szCs w:val="28"/>
          <w:rtl w:val="true"/>
          <w:lang w:bidi="ar-SA"/>
        </w:rPr>
        <w:t>ذهبت المعتزلة إلى أنّ المؤمن باللسان والقلب إذا ترك فريضة أو ارتكب حراماً يخرج من خيمة الإيمان ولا يدخل في حظيرة الكفر بل يكون في منزلة بين المنزلتين، أي بين الإيمان والكفر، فلا هو مؤمن ولا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اشتهرت المعتزلة بهذا الرأي،</w:t>
      </w:r>
      <w:r>
        <w:rPr>
          <w:rStyle w:val="FootnoteAnchor"/>
          <w:rtl w:val="true"/>
        </w:rPr>
        <w:footnoteReference w:id="253"/>
      </w:r>
      <w:r>
        <w:rPr>
          <w:rFonts w:ascii="Amiri" w:hAnsi="Amiri" w:eastAsia="Amiri" w:cs="Amiri"/>
          <w:color w:val="111111"/>
          <w:sz w:val="28"/>
          <w:sz w:val="28"/>
          <w:szCs w:val="28"/>
          <w:rtl w:val="true"/>
          <w:lang w:bidi="ar-SA"/>
        </w:rPr>
        <w:t>وهو مردود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فَمِنْكُمْ كافِرٌ وَ مِنْكُمْ مُؤْمِنٌ وَ اللّهُ بِما تَعْمَلُونَ بَصِيرٌ</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والآية بصدد الحصر، وقد بسطنا الكلام في نقد هذه النظرية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189601_73709187"/>
      <w:bookmarkStart w:id="202" w:name="_Toc74"/>
      <w:bookmarkEnd w:id="201"/>
      <w:r>
        <w:rPr/>
        <w:t>5</w:t>
      </w:r>
      <w:r>
        <w:rPr>
          <w:rtl w:val="true"/>
        </w:rPr>
        <w:t xml:space="preserve">. </w:t>
      </w:r>
      <w:r>
        <w:rPr>
          <w:rtl w:val="true"/>
        </w:rPr>
        <w:t>نظرية جمهور العلماء</w:t>
      </w:r>
      <w:bookmarkEnd w:id="2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عبارة عن التصديق باللسان والإذعان بالجنان، وهذا هو الذي عليه جمهور المسلمين فلو أنّ النبي صلى الله عليه و آله و سلم يقبل إيمان من صدّق باللسان فلأجل أنّه كان طريقاً إلى تصديقه بالجنان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نذكر شيئاً من عبارات القوم سنّة وشيعة، حتى يُعلم أنّ المتكلّمين من الفريقين على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عضد الدين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للرسول فيما علم مجيئه به ضرورة، فتفصيلاً فيما علم تفصيلاً، وإجمالاً فيما عُلم إجمالاً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للتصديق عند الأكثرين، أي تصديق النبي صلى الله عليه و آله و سلم فيما علم مجيئه به بالضرورة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عبارة عن التصديق القلبي ولا اعتبار بما يجري على اللسان، فمن كان عارفاً باللّه تعالى وبكلّ ما أوجب معرفته، مقرّاً بذلك ومصدّقاً فهو مؤمن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عبارة عن التصديق اللبّي باللّه تعالى، وبما جاء به رسوله من قول أو فعل، والقول اللساني سبب ظهوره، وسائر الطاعات ثمرات مؤكّدة له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إنّ هنا سؤالين لابدّ من الإجابة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اتّهام نظرية المشهور بالإرجاء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تعامل النبي مع المنافقين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السؤال الأوّل،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نظرية الجمهور حيث اكتفوا بالتصديقين من دون إدخال العمل بالفرائض في صميم الإيمان، وما عليه المرجئة الذين اشتهروا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 مع الإيمان معصية كما لا تنفع مع الكفر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النظريتين بعد المشرقين، وذلك لأنّ القول بأنّ الإيمان هو التصديقان، لا يُدخل القائل في عداد المرجئة إذا كان مهتمّاً بالعمل، لأنّ جمهور العلماء يرون النجاة والسعادة فيه، وأنّه لولاه لكان خاسراً غير رابح، أمّا المرجئة فهم الذين يهتمّون بالعقيدة ولا يهتمّون بالعمل ولا يعدّونه عنصراً مؤثّراً في الحياة الأُخروية ويعيشون على أساس العفو والرجاء، فهم يهتمّون بالرغبة ولا يهتمّون بالرهبة،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فكلام الجمهور على طرف النقيض ممّا هم عليه، خصوصاً على ما نقله شارح المقاصد من المرجئة بأنّهم ينفون العقاب على الكبائر إذا كان المرتكب مؤمناً على مذهبهم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وقد شعر أئمة أهل البيت عليهم السلام بخطورة الموقف، وعلموا بأنّ إشاعة هذه الفكرة عند المسلمين عامّة، والشيعة خاصّة، سترجعهم إلى الجاهلية، فقاموا بتحذير المجتمع الإسلامي من خطر المرجئة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أولادكم بالحديث قبل أن يسبقكم إليهم المرجئة</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القول بأنّ التصديقين سبب النجاة يوم القيامة،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وأمّا السؤال الثاني فالإجابة عنه كالتالي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المنافقين كانوا كفّاراً، ومَن قرأ سورة البراءة يقف على 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كُسالى وَ لا يُنْفِقُونَ إِلاّ وَ هُمْ كارِهُونَ‌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ولكنّ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يتعامل معهم معاملة المسلم، لأنّ كثيراً منهم كانوا ذا قرابة وصلة نسبية أو سببية مع المؤمنين، فطرد هؤلاء يومذاك يسبب فوضى في المجتمع الإسلامي ويشتّت كلمتهم ويفرّقهم، فلم يكن بد يوم ذاك من التعامل معهم معاملة المسلم، ولذلك جاء الوحي بنفي الإيمان عنهم،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264"/>
      </w:r>
      <w:bookmarkStart w:id="203" w:name="pg16780_177022"/>
    </w:p>
    <w:p>
      <w:pPr>
        <w:pStyle w:val="Heading4"/>
        <w:numPr>
          <w:ilvl w:val="3"/>
          <w:numId w:val="1"/>
        </w:numPr>
        <w:rPr/>
      </w:pPr>
      <w:bookmarkStart w:id="204" w:name="__RefHeading___Toc7189603_73709187"/>
      <w:bookmarkStart w:id="205" w:name="_Toc75"/>
      <w:bookmarkEnd w:id="203"/>
      <w:bookmarkEnd w:id="204"/>
      <w:r>
        <w:rPr>
          <w:rtl w:val="true"/>
        </w:rPr>
        <w:t>الفصل الثاني</w:t>
      </w:r>
      <w:r>
        <w:rPr>
          <w:rtl w:val="true"/>
        </w:rPr>
        <w:t xml:space="preserve">: </w:t>
      </w:r>
      <w:r>
        <w:rPr>
          <w:rtl w:val="true"/>
        </w:rPr>
        <w:t>ما يجب التصديق به</w:t>
      </w:r>
      <w:bookmarkEnd w:id="205"/>
    </w:p>
    <w:p>
      <w:pPr>
        <w:pStyle w:val="Heading5"/>
        <w:numPr>
          <w:ilvl w:val="4"/>
          <w:numId w:val="1"/>
        </w:numPr>
        <w:rPr/>
      </w:pPr>
      <w:bookmarkStart w:id="206" w:name="__RefHeading___Toc7189605_73709187"/>
      <w:bookmarkStart w:id="207" w:name="_Toc76"/>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إذا كان الإيمان بمعنى التصديق، فهو من الأُمور الإضافية القائمة بين المصدِّق والمصدَّق به، فالمصدِّق هو المؤمن، وأمّا المصدَّق به الذي يُناط به الإيمان وجوداً وعدماً، فهو كالتالي</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7189607_73709187"/>
      <w:bookmarkStart w:id="209" w:name="_Toc77"/>
      <w:bookmarkEnd w:id="208"/>
      <w:r>
        <w:rPr/>
        <w:t>1</w:t>
      </w:r>
      <w:r>
        <w:rPr>
          <w:rtl w:val="true"/>
        </w:rPr>
        <w:t xml:space="preserve">. </w:t>
      </w:r>
      <w:r>
        <w:rPr>
          <w:rtl w:val="true"/>
        </w:rPr>
        <w:t>التوحيد في الذات</w:t>
      </w:r>
      <w:bookmarkEnd w:id="209"/>
    </w:p>
    <w:p>
      <w:pPr>
        <w:pStyle w:val="BookText"/>
        <w:rPr/>
      </w:pPr>
      <w:r>
        <w:rPr>
          <w:rFonts w:ascii="Amiri" w:hAnsi="Amiri" w:eastAsia="Amiri" w:cs="Amiri"/>
          <w:color w:val="111111"/>
          <w:sz w:val="28"/>
          <w:sz w:val="28"/>
          <w:szCs w:val="28"/>
          <w:rtl w:val="true"/>
          <w:lang w:bidi="ar-SA"/>
        </w:rPr>
        <w:t>ويراد به توحيده سبحانه وتنزيهه عن المثل وعن التركيب، فاللّه سبحانه واحد لا مثيل ولا نظير له، موجود بسيط لا جزء ولا تركيب في ذاته، وسورة الإخلاص تتكفّل ببيان ذينك التوحيدين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فيبيّنه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بسيط لا جزء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Heading5"/>
        <w:numPr>
          <w:ilvl w:val="4"/>
          <w:numId w:val="1"/>
        </w:numPr>
        <w:rPr/>
      </w:pPr>
      <w:bookmarkStart w:id="210" w:name="__RefHeading___Toc7189609_73709187"/>
      <w:bookmarkStart w:id="211" w:name="_Toc78"/>
      <w:bookmarkEnd w:id="210"/>
      <w:r>
        <w:rPr/>
        <w:t>2</w:t>
      </w:r>
      <w:r>
        <w:rPr>
          <w:rtl w:val="true"/>
        </w:rPr>
        <w:t xml:space="preserve">. </w:t>
      </w:r>
      <w:r>
        <w:rPr>
          <w:rtl w:val="true"/>
        </w:rPr>
        <w:t>التوحيد في الخالقية</w:t>
      </w:r>
      <w:bookmarkEnd w:id="211"/>
    </w:p>
    <w:p>
      <w:pPr>
        <w:pStyle w:val="BookText"/>
        <w:rPr/>
      </w:pPr>
      <w:r>
        <w:rPr>
          <w:rFonts w:ascii="Amiri" w:hAnsi="Amiri" w:eastAsia="Amiri" w:cs="Amiri"/>
          <w:color w:val="111111"/>
          <w:sz w:val="28"/>
          <w:sz w:val="28"/>
          <w:szCs w:val="28"/>
          <w:rtl w:val="true"/>
          <w:lang w:bidi="ar-SA"/>
        </w:rPr>
        <w:t>ويراد به أنّه لا خالق في صحيفة الوجود على وجه الاستقلال إلّااللّه سبحانه، وقد تضافر التنصيص عليه في الذكر الحكيم،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الخالقية على وجه الاستقلال منحصرة باللّه سبحانه، خرجت الخالقية على وجه التبعية وبإقدار من اللّه سبحانه كما هو الحال في خلق الإنسان</w:t>
      </w:r>
      <w:bookmarkStart w:id="212" w:name="pg16780_177023"/>
    </w:p>
    <w:p>
      <w:pPr>
        <w:pStyle w:val="BookText"/>
        <w:rPr/>
      </w:pPr>
      <w:bookmarkEnd w:id="212"/>
      <w:r>
        <w:rPr>
          <w:rFonts w:ascii="Amiri" w:hAnsi="Amiri" w:eastAsia="Amiri" w:cs="Amiri"/>
          <w:color w:val="111111"/>
          <w:sz w:val="28"/>
          <w:sz w:val="28"/>
          <w:szCs w:val="28"/>
          <w:rtl w:val="true"/>
          <w:lang w:bidi="ar-SA"/>
        </w:rPr>
        <w:t>ما بدا له من الصنائع، ويكفي في ذلك أنّه سبحانه ينسب خلق الطير إلى نبيّه المسيح عليه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 كَهَيْئَةِ الطَّيْرِ بِإِذْنِي فَتَنْفُخُ فِيها فَتَكُونُ طَيْراً بِإِذْنِي وَ تُبْرِئُ الْأَكْمَهَ وَ الْأَبْرَصَ بِإِذْنِي وَ إِذْ تُخْرِجُ الْمَوْتى بِإِذْنِي</w:t>
      </w:r>
      <w:r>
        <w:rPr>
          <w:rFonts w:eastAsia="Amiri" w:cs="Amiri" w:ascii="Amiri" w:hAnsi="Amiri"/>
          <w:color w:val="111111"/>
          <w:sz w:val="28"/>
          <w:szCs w:val="28"/>
          <w:rtl w:val="true"/>
          <w:lang w:bidi="ar-SA"/>
        </w:rPr>
        <w:t>) .</w:t>
      </w:r>
      <w:r>
        <w:rPr>
          <w:rStyle w:val="FootnoteAnchor"/>
          <w:rtl w:val="true"/>
        </w:rPr>
        <w:footnoteReference w:id="266"/>
      </w:r>
    </w:p>
    <w:p>
      <w:pPr>
        <w:pStyle w:val="Heading5"/>
        <w:numPr>
          <w:ilvl w:val="4"/>
          <w:numId w:val="1"/>
        </w:numPr>
        <w:rPr/>
      </w:pPr>
      <w:bookmarkStart w:id="213" w:name="__RefHeading___Toc7189611_73709187"/>
      <w:bookmarkStart w:id="214" w:name="_Toc79"/>
      <w:bookmarkEnd w:id="213"/>
      <w:r>
        <w:rPr/>
        <w:t>3</w:t>
      </w:r>
      <w:r>
        <w:rPr>
          <w:rtl w:val="true"/>
        </w:rPr>
        <w:t xml:space="preserve">. </w:t>
      </w:r>
      <w:r>
        <w:rPr>
          <w:rtl w:val="true"/>
        </w:rPr>
        <w:t>التوحيد في الربوبية</w:t>
      </w:r>
      <w:bookmarkEnd w:id="214"/>
    </w:p>
    <w:p>
      <w:pPr>
        <w:pStyle w:val="BookText"/>
        <w:rPr/>
      </w:pPr>
      <w:r>
        <w:rPr>
          <w:rFonts w:ascii="Amiri" w:hAnsi="Amiri" w:eastAsia="Amiri" w:cs="Amiri"/>
          <w:color w:val="111111"/>
          <w:sz w:val="28"/>
          <w:sz w:val="28"/>
          <w:szCs w:val="28"/>
          <w:rtl w:val="true"/>
          <w:lang w:bidi="ar-SA"/>
        </w:rPr>
        <w:t>بما أنّ الربّ بمعنى الصاحب،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وربّ البستان، أو ربّ الفرس، فيكون المراد به مَن يدبّر ويدير حاجات المربوب، فصاحب الدار يحمي الدار من الخراب، كما أنّ ربّ البستان يدبّر أمره بالسقي والحراسة ونحو ذلك، فعلى هذا فاللّه سبحانه هو خالق السماوات والأرض وما فيهما وهو المدبّر بعد الخلقة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فإيجادها مظهر للخالقية، وتدبيرها عبر الزمان هو مظهر ربوبيته، ولذلك نرى أنّه سبحانه بعد ما يذكر خلق السماوات والأرض، يصف نفسه بالتدبير،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 .</w:t>
      </w:r>
      <w:r>
        <w:rPr>
          <w:rStyle w:val="FootnoteAnchor"/>
          <w:rtl w:val="true"/>
        </w:rPr>
        <w:footnoteReference w:id="267"/>
      </w:r>
      <w:r>
        <w:rPr>
          <w:rFonts w:ascii="Amiri" w:hAnsi="Amiri" w:eastAsia="Amiri" w:cs="Amiri"/>
          <w:color w:val="111111"/>
          <w:sz w:val="28"/>
          <w:sz w:val="28"/>
          <w:szCs w:val="28"/>
          <w:rtl w:val="true"/>
          <w:lang w:bidi="ar-SA"/>
        </w:rPr>
        <w:t>إلى غير ذلك من الآيات التي تنصّ على حصر تدبير الكون باللّه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مشركي عصر الرسالة كانوا موحّدين في الخالقية دون الربوبية فزعموا أنّ تدبير العالم والإنسان موكول إلى الآلهة المكذوبة من الملائكة والجن والأصنام والأوثان،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فكانوا يرون العزّ في الحياة والنصرة في الحرب بيد الآلهة، وبذلك</w:t>
      </w:r>
    </w:p>
    <w:p>
      <w:pPr>
        <w:pStyle w:val="BookText"/>
        <w:rPr/>
      </w:pPr>
      <w:r>
        <w:rPr>
          <w:rFonts w:ascii="Amiri" w:hAnsi="Amiri" w:eastAsia="Amiri" w:cs="Amiri"/>
          <w:color w:val="111111"/>
          <w:sz w:val="28"/>
          <w:sz w:val="28"/>
          <w:szCs w:val="28"/>
          <w:rtl w:val="true"/>
          <w:lang w:bidi="ar-SA"/>
        </w:rPr>
        <w:t>يُعلم أنّ ما ذهب إليه محمد بن عبد الوهاب من أنّ مشركي عصر الرسالة كانوا موحّدين في الربوبية والمدبّرية، أمر لا يصدقه الكتاب الكريم ولا التاريخ الذي يصف عادات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أهل العلم أنّ عمرو بن لحيّ خرج من مكة إلى الشام في بعض أُموره، فلمّا قدم مآب من أرض البلقاء، وبها يومئذ العماليق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ولد عِملاق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عمليق بن لاوذ بن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رآهم يعبدون الأصنام،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ونستنصرها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تعطوني منها صنماً، فأسير به إلى أرض العرب، فيعبدوه‌؟ فأعطوه صنماً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فقدم به مكّة، فنصبه وأمر الناس بعبادته وتعظيمه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والذي يدلّ بوضوح على كونهم مشركين في الربوبية بمعنى التدبير أنّ مشركي قريش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خروجهم لغزوة أُحد، وكان شعارهم في تضعيف معنويات المسلمين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لنا العُزّى ولا عُزّى لكم</w:t>
      </w:r>
    </w:p>
    <w:p>
      <w:pPr>
        <w:pStyle w:val="BookText"/>
        <w:rPr/>
      </w:pPr>
      <w:r>
        <w:rPr>
          <w:rFonts w:ascii="Amiri" w:hAnsi="Amiri" w:eastAsia="Amiri" w:cs="Amiri"/>
          <w:color w:val="111111"/>
          <w:sz w:val="28"/>
          <w:sz w:val="28"/>
          <w:szCs w:val="28"/>
          <w:rtl w:val="true"/>
          <w:lang w:bidi="ar-SA"/>
        </w:rPr>
        <w:t>ولمّا سمع النبي صلى الله عليه و آله و سلم شعارهم هذا أمر المسلمين أن يردّوا عليهم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مولانا ولا مولى لكم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يمكن لباحث أن ينكر وجود الشرك في الربوبية بين الأُمم السابقة وهذا هو نبي اللّه إبراهيم الخليل عليه السلام كان يحتجّ على عبدة الأجرام السماوية ويركّز على لفظ الرب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w:t>
      </w:r>
    </w:p>
    <w:p>
      <w:pPr>
        <w:pStyle w:val="BookText"/>
        <w:rPr/>
      </w:pPr>
      <w:r>
        <w:rPr>
          <w:rFonts w:ascii="Amiri" w:hAnsi="Amiri" w:eastAsia="Amiri" w:cs="Amiri"/>
          <w:color w:val="111111"/>
          <w:sz w:val="28"/>
          <w:sz w:val="28"/>
          <w:szCs w:val="28"/>
          <w:rtl w:val="true"/>
          <w:lang w:bidi="ar-SA"/>
        </w:rPr>
        <w:t xml:space="preserve">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كلّ ذلك يكشف أنّ عبدة الأصنام في عصر إبراهيم عليه السلام كانوا مشركين في الربوبية ويرون أنّ تدبير العالم أو تدبير حياة الإنسان بيد الأجرام السماوية أو الأجسام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أنّ دائرة الشرك في الربوبية أوسع، بل تشتمل ما إذا دفع الإنسان زمام التشريع والتقنين إلى يد الأحبار والرهبان، فهذا أيضاً شرك في الربوبية فاللّه سبحانه له الحقّ في التشريع وحده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الثعلبي بإسناده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و سلم وفي عنقي صليب من ذهب،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اطرح هذا الوثن من عنقك،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فطرحته ثم انتهيت إليه وهو يقرأ من سورة البراءة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حتى فرغ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نعبدهم،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يحرّمون ما أحلّ اللّه فتحرّمونه، ويحلّون ما أحلّ اللّه فتستحلّونه‌؟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عبادتهم</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يركّز على التوحيد في الربوبية أكثر ممّا يركّز على التوحيد في الخالقية، فكأنّ الأمر الثاني كان مسلّماً بين مشركي عصر الرسالة، دون الأوّل؛ ولذلك ترى أنّه سبحانه يقيم عليه البرهان العقلي الذي يعرفه العقل الحصيف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فَسُبْحانَ اللّهِ رَبِّ الْعَرْشِ‌</w:t>
      </w:r>
    </w:p>
    <w:p>
      <w:pPr>
        <w:pStyle w:val="BookText"/>
        <w:rPr/>
      </w:pP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فإنّ تقرير البرهان في هاتين الآيتين مبني على وحدة التدبير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المدبّر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الشرك في التدبير متفشّياً في القوم لما ركّز القرآن الكريم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تقرير البرهان في كلتا الآيتين على وجه التفصيل فموكول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يردّ على المشركين بأنّ عليهم ابتغاء الرزق من اللّه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فلو لم يكن القوم معتقدين بأنّ الرزق بيد آلهتهم لما صحّ للوحي الإلهي أن يردّ عليهم بأنّ الرزق 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يردّ على المشركين بأنّ كاشف الضر أو مرسل الرحمة هو اللّه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فَرَأَيْتُمْ ما تَدْعُونَ مِنْ دُونِ اللّهِ إِنْ أَرادَنِيَ اللّهُ بِضُرٍّ هَلْ هُنَّ كاشِفاتُ ضُرِّهِ أَوْ أَرادَنِي بِرَحْمَةٍ هَلْ هُنَّ مُمْسِكاتُ رَحْمَتِهِ قُلْ حَسْبِيَ اللّهُ عَلَيْهِ يَتَوَكَّلُ الْمُتَوَكِّلُونَ‌</w:t>
      </w:r>
      <w:r>
        <w:rPr>
          <w:rFonts w:eastAsia="Amiri" w:cs="Amiri" w:ascii="Amiri" w:hAnsi="Amiri"/>
          <w:color w:val="111111"/>
          <w:sz w:val="28"/>
          <w:szCs w:val="28"/>
          <w:rtl w:val="true"/>
          <w:lang w:bidi="ar-SA"/>
        </w:rPr>
        <w:t>) .</w:t>
      </w:r>
      <w:r>
        <w:rPr>
          <w:rStyle w:val="FootnoteAnchor"/>
          <w:rtl w:val="true"/>
        </w:rPr>
        <w:footnoteReference w:id="27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تردّ على المشركين بأنّ الهداية والضلالة ومغفرة الذنوب والرزق وكشف الضرّ كلّها بيد اللّه فهي أفضل دليل على تسرّب الشرك في هذه المواضيع بين الوثنيّين؛ ويؤيّد ذلك ما رواه الطبري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يُخَوِّفُونَكَ بِالَّذِينَ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w:t>
      </w:r>
      <w:bookmarkStart w:id="215" w:name="pg16780_177027"/>
    </w:p>
    <w:p>
      <w:pPr>
        <w:pStyle w:val="BookText"/>
        <w:rPr/>
      </w:pPr>
      <w:bookmarkEnd w:id="215"/>
      <w:r>
        <w:rPr>
          <w:rFonts w:ascii="Amiri" w:hAnsi="Amiri" w:eastAsia="Amiri" w:cs="Amiri"/>
          <w:color w:val="111111"/>
          <w:sz w:val="28"/>
          <w:sz w:val="28"/>
          <w:szCs w:val="28"/>
          <w:rtl w:val="true"/>
          <w:lang w:bidi="ar-SA"/>
        </w:rPr>
        <w:t>اللّه صلى الله عليه و آله و سلم خالد بن الوليد إلى شعب بسقام، ليكسر العزى‌، فقال سادنها، وهو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أنا أحذركها إنّ لها شدّة لا يقوم لها شيء، فمشى إليها خالد بالفأس فهشم أنفها</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إلى غير ذلك من الدلائل التي تدلّ بوضوح على أنّ مشركي عصر الرسالة كانوا مشركين في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الوهابية في التعبير عن التوحيد في الخالقية، بالتوحيد في الربوبية، وبذلك خلطوا بين التوحيدين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معناه اللغوي</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189613_73709187"/>
      <w:bookmarkStart w:id="217" w:name="_Toc80"/>
      <w:bookmarkEnd w:id="216"/>
      <w:r>
        <w:rPr/>
        <w:t>4</w:t>
      </w:r>
      <w:r>
        <w:rPr>
          <w:rtl w:val="true"/>
        </w:rPr>
        <w:t xml:space="preserve">. </w:t>
      </w:r>
      <w:r>
        <w:rPr>
          <w:rtl w:val="true"/>
        </w:rPr>
        <w:t>التوحيد في العبادة</w:t>
      </w:r>
      <w:bookmarkEnd w:id="217"/>
    </w:p>
    <w:p>
      <w:pPr>
        <w:pStyle w:val="Heading6"/>
        <w:numPr>
          <w:ilvl w:val="5"/>
          <w:numId w:val="1"/>
        </w:numPr>
        <w:rPr/>
      </w:pPr>
      <w:bookmarkStart w:id="218" w:name="__RefHeading___Toc7189615_73709187"/>
      <w:bookmarkStart w:id="219" w:name="_Toc81"/>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العبادة عبارة عن الخضوع بالجوارح أمام من بيده مصير العابد في الحياة على جميع الأصعدة، اعتقاداً صحيحاً أو باطلاً، فقد بعث الأنبياء كلّهم لأجل نشر هذا الأصل وأنّه لا معبود إلّاإيّاه،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الحصر أنّه سبحانه هو المؤثّر الواحد في الكون خلقة وتدبيراً، فكان هو اللائق بالعبادة، وأمّا المنحرفون عن أصحاب رسالات السماء فبما أنّهم وزعوا أمر التدبير على آلهتهم المكذوبة، لا يرون حصر العبادة باللّه سبحانه، بل كانوا يعبدون غيره لكي يتقرّبوا بعبادتهم إلى اللّه سبحانه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7189617_73709187"/>
      <w:bookmarkStart w:id="221" w:name="_Toc82"/>
      <w:bookmarkEnd w:id="220"/>
      <w:r>
        <w:rPr>
          <w:rtl w:val="true"/>
        </w:rPr>
        <w:t>إجابة عن سؤال</w:t>
      </w:r>
      <w:bookmarkEnd w:id="2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سؤال وهو أنّه لم يرد في سيرة النبيّ أخذ الاعتراف بهذه المراتب الأربع من التوحيد، وكان النبي صلى الله عليه و آله و سلم يقبل إيمان من يعترف بكلمتين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w:t>
      </w:r>
    </w:p>
    <w:p>
      <w:pPr>
        <w:pStyle w:val="BookText"/>
        <w:rPr/>
      </w:pPr>
      <w:r>
        <w:rPr>
          <w:rFonts w:ascii="Amiri" w:hAnsi="Amiri" w:eastAsia="Amiri" w:cs="Amiri"/>
          <w:color w:val="111111"/>
          <w:sz w:val="28"/>
          <w:sz w:val="28"/>
          <w:szCs w:val="28"/>
          <w:rtl w:val="true"/>
          <w:lang w:bidi="ar-SA"/>
        </w:rPr>
        <w:t>اللّه، محمّد رسول اللّه، حتّى أنّه صلى الله عليه و آله و سلم أمر عليّاً بقتال الخيبريّين إلى أن يعترفوا بهاتين الكلمتين؛ فقد روى البخاري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الأمارة إلّايومئذٍ،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أُدعى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و سلم عليّ بن أبي طالب فأعطاه إيّاها،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إمش ولا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ثم وقف ولم يلتفت وصرخ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الناس‌؟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إلّااللّه وأنّ محمّداً رسول اللّه، فإذا فعلوا ذلك فقد مُنِعوا منك دماؤهم وأموالُهم إلّابحقّها وحسابهم على اللّه</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السؤال جدير بالدراسة، فإنّ النبي صلى الله عليه و آله و سلم يعترف بإيمان مَن ينطق بالشهادتين، لكن الحقّ أنّ لفظ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المعبود، بل هو ولفظ الجلالة سيّان في المعنى لكن الثاني علم والآخر اسم جنس، فإذا أطلق الإله كان يتبادر منه معنى إجمالي تفصيله كونه خالق السماوات والأرض ومدبّرهما وخالق الإنسان ومدبّره،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نتيجة نفي الأُلوهية عن غيره سبحانه وإثباتها للّه هي كونه سبحانه متوحّداً في الخلق والربوبية وكون العبادة منحصرة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المفسّرون</w:t>
      </w:r>
      <w:r>
        <w:rPr>
          <w:rStyle w:val="FootnoteAnchor"/>
          <w:rtl w:val="true"/>
        </w:rPr>
        <w:footnoteReference w:id="282"/>
      </w:r>
      <w:r>
        <w:rPr>
          <w:rFonts w:ascii="Amiri" w:hAnsi="Amiri" w:eastAsia="Amiri" w:cs="Amiri"/>
          <w:color w:val="111111"/>
          <w:sz w:val="28"/>
          <w:sz w:val="28"/>
          <w:szCs w:val="28"/>
          <w:rtl w:val="true"/>
          <w:lang w:bidi="ar-SA"/>
        </w:rPr>
        <w:t>أنّ أشراف قريش وهم خمسة وعشرون،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وهو أكبرهم، وأبو جهل، وأُبيّ وأُمية ابنا خلف، وعتيبة وشيبة ابنا ربيعة، والنضر بن الحارث، أتوا أبا طالب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شيخنا وكبيرنا، وقد أتيناك لتقضي بيننا وبين ابن أخيك، فإنّه سفّه أحلامنا، وشتم آلهتنا، فدعا أبو طالب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هؤلاء قومك يسألونك،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يسألونني‌؟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وآلهتنا ندعك وإلهك،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أتعطوني كلمة واحدة</w:t>
      </w:r>
      <w:bookmarkStart w:id="222" w:name="pg16780_177029"/>
    </w:p>
    <w:p>
      <w:pPr>
        <w:pStyle w:val="BookText"/>
        <w:rPr/>
      </w:pPr>
      <w:bookmarkEnd w:id="222"/>
      <w:r>
        <w:rPr>
          <w:rFonts w:ascii="Amiri" w:hAnsi="Amiri" w:eastAsia="Amiri" w:cs="Amiri"/>
          <w:color w:val="111111"/>
          <w:sz w:val="28"/>
          <w:sz w:val="28"/>
          <w:szCs w:val="28"/>
          <w:rtl w:val="true"/>
          <w:lang w:bidi="ar-SA"/>
        </w:rPr>
        <w:t>تملكون بها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نعطيك ذلك عشر أمثالها،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نفورهم من كلمة لا إله إلّااللّه يدلّ على علمهم بأنّ مَن ينطق بها يتجرّد عن كلّ ما يعتقد به من أنّ العزّة والانتصار والأمطار بيد الآلهة، وأنّه لا يُعبد إلّااللّه سبحانه، فلذلك كان الاعتراف بالكلمتين اعترافاً إجمالياً على ما ذكرنا من مراتب التوحيد</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189619_73709187"/>
      <w:bookmarkStart w:id="224" w:name="_Toc83"/>
      <w:bookmarkEnd w:id="223"/>
      <w:r>
        <w:rPr/>
        <w:t>5</w:t>
      </w:r>
      <w:r>
        <w:rPr>
          <w:rtl w:val="true"/>
        </w:rPr>
        <w:t xml:space="preserve">. </w:t>
      </w:r>
      <w:r>
        <w:rPr>
          <w:rtl w:val="true"/>
        </w:rPr>
        <w:t>رسالة النبي الخاتم صلى الله عليه و آله و سلم</w:t>
      </w:r>
      <w:bookmarkEnd w:id="224"/>
    </w:p>
    <w:p>
      <w:pPr>
        <w:pStyle w:val="BookText"/>
        <w:rPr/>
      </w:pPr>
      <w:r>
        <w:rPr>
          <w:rFonts w:ascii="Amiri" w:hAnsi="Amiri" w:eastAsia="Amiri" w:cs="Amiri"/>
          <w:color w:val="111111"/>
          <w:sz w:val="28"/>
          <w:sz w:val="28"/>
          <w:szCs w:val="28"/>
          <w:rtl w:val="true"/>
          <w:lang w:bidi="ar-SA"/>
        </w:rPr>
        <w:t>كان شعار الإسلام وشعار مَن يدخل تحت خيمته هو الاعتراف بتوحيده سبحانه ورسالة نبيّه محمد صلى الله عليه و آله و سلم، وقد مرّ في رواية صحيح البخاري أنّ النبي صلى الله عليه و آله و سلم أمر عليّاً بالقتال إلى أن يعترفوا بأمرين ثانيهما رسالة النبي الخاتم صلى الله عليه و آله و 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حيث يصف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كيف لا يكون التصديق به جزءاً من الإيمان مع أنّ رسالات السماء قبل ظهور النبي صلى الله عليه و آله و سلم بشرّت بظهوره ونبوّته وخصاله على نحو كان أهل الكتاب يعرفونه كما يعرفون أبناءهم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w:t>
      </w:r>
      <w:r>
        <w:rPr>
          <w:rStyle w:val="FootnoteAnchor"/>
          <w:rtl w:val="true"/>
        </w:rPr>
        <w:footnoteReference w:id="285"/>
      </w:r>
      <w:bookmarkStart w:id="225" w:name="pg16780_177030"/>
    </w:p>
    <w:p>
      <w:pPr>
        <w:pStyle w:val="Heading5"/>
        <w:numPr>
          <w:ilvl w:val="4"/>
          <w:numId w:val="1"/>
        </w:numPr>
        <w:rPr/>
      </w:pPr>
      <w:bookmarkStart w:id="226" w:name="__RefHeading___Toc7189621_73709187"/>
      <w:bookmarkStart w:id="227" w:name="_Toc84"/>
      <w:bookmarkEnd w:id="225"/>
      <w:bookmarkEnd w:id="226"/>
      <w:r>
        <w:rPr/>
        <w:t>6</w:t>
      </w:r>
      <w:r>
        <w:rPr>
          <w:rtl w:val="true"/>
        </w:rPr>
        <w:t xml:space="preserve">. </w:t>
      </w:r>
      <w:r>
        <w:rPr>
          <w:rtl w:val="true"/>
        </w:rPr>
        <w:t>إنّ القرآن وحيٌ مُنزل</w:t>
      </w:r>
      <w:bookmarkEnd w:id="227"/>
    </w:p>
    <w:p>
      <w:pPr>
        <w:pStyle w:val="BookText"/>
        <w:rPr/>
      </w:pPr>
      <w:r>
        <w:rPr>
          <w:rFonts w:ascii="Amiri" w:hAnsi="Amiri" w:eastAsia="Amiri" w:cs="Amiri"/>
          <w:color w:val="111111"/>
          <w:sz w:val="28"/>
          <w:sz w:val="28"/>
          <w:szCs w:val="28"/>
          <w:rtl w:val="true"/>
          <w:lang w:bidi="ar-SA"/>
        </w:rPr>
        <w:t>إنّ نواة النزاع بين رسول اللّه صلى الله عليه و آله و سلم ومشركي قريش كانت تتمثّل في كون القرآن وحياً منزلاً من اللّه على رسوله، فقد كانوا منكرين لذلك أشدّ الإنكار وينسبونه إلى السحر تارة، والكهانة أُخرى، أو أخذه من أهل الكتاب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الإقرار والإيمان بأنّ القرآن وحي من اللّه هو من صميم الإيمان، ويكفي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لا يكون من صميم الإيمان والقرآن هو المعجزة الكبرى للنبي الأكرم صلى الله عليه و آله و سلم والبرهان الخالد على رسالته عبر الزمان، إلى قيام القيامة،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وبما أنّ الموضوع من الواضحات لا نطيل الكلام فيه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7189623_73709187"/>
      <w:bookmarkStart w:id="229" w:name="_Toc85"/>
      <w:bookmarkEnd w:id="228"/>
      <w:r>
        <w:rPr/>
        <w:t>7</w:t>
      </w:r>
      <w:r>
        <w:rPr>
          <w:rtl w:val="true"/>
        </w:rPr>
        <w:t xml:space="preserve">. </w:t>
      </w:r>
      <w:r>
        <w:rPr>
          <w:rtl w:val="true"/>
        </w:rPr>
        <w:t>الإيمان بالمعاد</w:t>
      </w:r>
      <w:bookmarkEnd w:id="229"/>
    </w:p>
    <w:p>
      <w:pPr>
        <w:pStyle w:val="BookText"/>
        <w:rPr/>
      </w:pPr>
      <w:r>
        <w:rPr>
          <w:rFonts w:ascii="Amiri" w:hAnsi="Amiri" w:eastAsia="Amiri" w:cs="Amiri"/>
          <w:color w:val="111111"/>
          <w:sz w:val="28"/>
          <w:sz w:val="28"/>
          <w:szCs w:val="28"/>
          <w:rtl w:val="true"/>
          <w:lang w:bidi="ar-SA"/>
        </w:rPr>
        <w:t>الإيمان بالمعاد وأنّه سبحانه يحيي الناس بعد مماتهم يوم القيامة ويحاسبهم ويجزيهم حسب أعمالهم من صميم الإيمان، ولذلك كثيراً ما يجمع القرآن الكريم الإيمان بهما معاً،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العناصر التي تحقّق الإيمان وتخرج الإنسان من دائرة الكفر، إلى</w:t>
      </w:r>
      <w:bookmarkStart w:id="230" w:name="pg16780_177031"/>
    </w:p>
    <w:p>
      <w:pPr>
        <w:pStyle w:val="BookText"/>
        <w:rPr/>
      </w:pPr>
      <w:bookmarkEnd w:id="230"/>
      <w:r>
        <w:rPr>
          <w:rFonts w:ascii="Amiri" w:hAnsi="Amiri" w:eastAsia="Amiri" w:cs="Amiri"/>
          <w:color w:val="111111"/>
          <w:sz w:val="28"/>
          <w:sz w:val="28"/>
          <w:szCs w:val="28"/>
          <w:rtl w:val="true"/>
          <w:lang w:bidi="ar-SA"/>
        </w:rPr>
        <w:t>فسحة الإيمان، وكلّ من حاز هذه الأُمور يحرم دمه وماله وعرضه وتحلّ ذبيحته وتحرم غيبته إلى غير ذلك من الحقوق التي تكفل ببيانها الكتاب العزيز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نريد بالإيمان في هذا المقال هذا المعنى أي مَن يحرم دمه وماله، وتحلّ ذبيحته، وتحرم غيبته والافتراء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محكوماً بالنجاة يوم القيامة فهو أمر آخر لأنّه مشروط بشروط خاصّة أهمها الإتيان بالفرائض والاجتناب عن المحرّمات، والاعتقاد بخلفاء اللّه سبحانه في أرضه، إلى غير ذلك ممّا هو مذكور في كتب العقائد</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7189625_73709187"/>
      <w:bookmarkStart w:id="232" w:name="_Toc86"/>
      <w:bookmarkEnd w:id="231"/>
      <w:r>
        <w:rPr>
          <w:rtl w:val="true"/>
        </w:rPr>
        <w:t>حكم إنكار الضروريات</w:t>
      </w:r>
      <w:bookmarkEnd w:id="232"/>
    </w:p>
    <w:p>
      <w:pPr>
        <w:pStyle w:val="BookText"/>
        <w:rPr/>
      </w:pPr>
      <w:r>
        <w:rPr>
          <w:rFonts w:ascii="Amiri" w:hAnsi="Amiri" w:eastAsia="Amiri" w:cs="Amiri"/>
          <w:color w:val="111111"/>
          <w:sz w:val="28"/>
          <w:sz w:val="28"/>
          <w:szCs w:val="28"/>
          <w:rtl w:val="true"/>
          <w:lang w:bidi="ar-SA"/>
        </w:rPr>
        <w:t>لا شكّ أنّ قسماً من الأحكام الشرعية يُعدّ من الضروريات كوجوب الصلاة والزكاة وحجّ بيت اللّه الحرام، إلى غير ذلك من الأحكام التي يعرفها كلّ مسلم على وجه الإجمال، فقد ذكر الفقهاء أنّ إنكار الحكم الضروري يُسبّب خروج الإنسان عن خيمة الإيمان والإسلام، لأنّ إنكار حكم الضروري يلازم إنكار رسالة النبي الأكرم صلى الله عليه و آله و سلم فهو بنفسه وإن لم يكن سبباً للخروج والارتداد، لكنّه بما أنّه يلازم إنكار رسالة النبي صلى الله عليه و آله و سلم يكون سبباً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ظرف الملازمة فهل الميزان هو وجود الملازمة بين الإنكارين في نظر المنكر، أو وجود الملازمة في نظر المسلمين‌؟</w:t>
      </w:r>
    </w:p>
    <w:p>
      <w:pPr>
        <w:pStyle w:val="BookText"/>
        <w:rPr/>
      </w:pPr>
      <w:r>
        <w:rPr>
          <w:rFonts w:ascii="Amiri" w:hAnsi="Amiri" w:eastAsia="Amiri" w:cs="Amiri"/>
          <w:color w:val="111111"/>
          <w:sz w:val="28"/>
          <w:sz w:val="28"/>
          <w:szCs w:val="28"/>
          <w:rtl w:val="true"/>
          <w:lang w:bidi="ar-SA"/>
        </w:rPr>
        <w:t>المحقّقون على الأوّل فلو كان المنكر يعيش بين المسلمين فترة طويلة ووقف على وضوح هذه الأحكام ومع ذلك أنكر واحداً منها عناداً ولجاجاً، فيحكم بكفره وخروجه، لأنّ مثل هذا الإنكار يلازم إنكار رسالة الرسول ونبوّته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تكن الملازمة إلّاعند المسلمين لا عند المنكر، كما إذا كان جديد</w:t>
      </w:r>
    </w:p>
    <w:p>
      <w:pPr>
        <w:pStyle w:val="BookText"/>
        <w:rPr/>
      </w:pPr>
      <w:r>
        <w:rPr>
          <w:rFonts w:ascii="Amiri" w:hAnsi="Amiri" w:eastAsia="Amiri" w:cs="Amiri"/>
          <w:color w:val="111111"/>
          <w:sz w:val="28"/>
          <w:sz w:val="28"/>
          <w:szCs w:val="28"/>
          <w:rtl w:val="true"/>
          <w:lang w:bidi="ar-SA"/>
        </w:rPr>
        <w:t>الإسلام أو نزيلاً في البوادي، فإنكار مثل هذا لا يسبب الكفر إذ ليس عنده تلك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بالضروري الذي يكفّر منكره، هوالذي ثبت عنده يقيناً كونه من الدين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وقال الفاضل الاصفهاني في حدّه للمرتد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أنكر ضروريّاً من ضروريّات الدين مع علمه بأنّه من ضروريّاته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وقال الفاضل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الضروري إنّما يوجبه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عند المنكر حدّ الضرورة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أنّه متى كان الحكم المنكَر في حدّ ذاته ضرورياً من ضروريات الدين ثبت الكفر بإنكاره ممّن اطّلع على ضروريته عند أهل الدين</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بالكافر مَن كان منكراً للأُلوهية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ضرورياً من ضروريات الدين مع الالتفات إلى كونه ضرورياً</w:t>
      </w:r>
      <w:r>
        <w:rPr>
          <w:rFonts w:eastAsia="Amiri" w:cs="Amiri" w:ascii="Amiri" w:hAnsi="Amiri"/>
          <w:color w:val="111111"/>
          <w:sz w:val="28"/>
          <w:szCs w:val="28"/>
          <w:rtl w:val="true"/>
          <w:lang w:bidi="ar-SA"/>
        </w:rPr>
        <w:t>.</w:t>
      </w:r>
      <w:r>
        <w:rPr>
          <w:rStyle w:val="FootnoteAnchor"/>
          <w:rtl w:val="true"/>
        </w:rPr>
        <w:footnoteReference w:id="293"/>
      </w:r>
      <w:bookmarkStart w:id="233" w:name="pg16780_177033"/>
    </w:p>
    <w:p>
      <w:pPr>
        <w:pStyle w:val="Heading4"/>
        <w:numPr>
          <w:ilvl w:val="3"/>
          <w:numId w:val="1"/>
        </w:numPr>
        <w:rPr/>
      </w:pPr>
      <w:bookmarkStart w:id="234" w:name="__RefHeading___Toc7189627_73709187"/>
      <w:bookmarkStart w:id="235" w:name="_Toc87"/>
      <w:bookmarkEnd w:id="233"/>
      <w:bookmarkEnd w:id="234"/>
      <w:r>
        <w:rPr>
          <w:rtl w:val="true"/>
        </w:rPr>
        <w:t>الفصل الثالث</w:t>
      </w:r>
      <w:r>
        <w:rPr>
          <w:rtl w:val="true"/>
        </w:rPr>
        <w:t xml:space="preserve">: </w:t>
      </w:r>
      <w:r>
        <w:rPr>
          <w:rtl w:val="true"/>
        </w:rPr>
        <w:t>شروط التكفير وموانعه</w:t>
      </w:r>
      <w:bookmarkEnd w:id="235"/>
    </w:p>
    <w:p>
      <w:pPr>
        <w:pStyle w:val="Heading5"/>
        <w:numPr>
          <w:ilvl w:val="4"/>
          <w:numId w:val="1"/>
        </w:numPr>
        <w:rPr/>
      </w:pPr>
      <w:bookmarkStart w:id="236" w:name="__RefHeading___Toc7189629_73709187"/>
      <w:bookmarkStart w:id="237" w:name="_Toc88"/>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قد وقفت في الفصل الثاني على العناصر المقوّمة للإيمان وأنّها لا تتجاوز عن سبعة، فبقي الكلام في الأُمور التي تسبّب الارتداد والخروج عن خيمة الإسلام، فيقع الكلام تارة في التكفير المطلق، وأُخرى في تكفير الفرد المعيّن، وبين التكفيرين بون شاسع، كما سيظهر</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7189631_73709187"/>
      <w:bookmarkStart w:id="239" w:name="_Toc89"/>
      <w:bookmarkEnd w:id="238"/>
      <w:r>
        <w:rPr>
          <w:rtl w:val="true"/>
        </w:rPr>
        <w:t>التكفير المطلق</w:t>
      </w:r>
      <w:bookmarkEnd w:id="239"/>
    </w:p>
    <w:p>
      <w:pPr>
        <w:pStyle w:val="BookText"/>
        <w:rPr/>
      </w:pPr>
      <w:r>
        <w:rPr>
          <w:rFonts w:ascii="Amiri" w:hAnsi="Amiri" w:eastAsia="Amiri" w:cs="Amiri"/>
          <w:color w:val="111111"/>
          <w:sz w:val="28"/>
          <w:sz w:val="28"/>
          <w:szCs w:val="28"/>
          <w:rtl w:val="true"/>
          <w:lang w:bidi="ar-SA"/>
        </w:rPr>
        <w:t>وهو عبارة عن تكفير مَن ينكر أحد هذه الأُصول السبعة من دون أن يشير إلى تكفير فرد معيّن، كما يقول الفقهاء في كتبهم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التوحيد مرتد كافر، أو منكر الحكم الضروري كذلك، فهذا النوع من التكفير أمر سهل بالنسبة إلى التكفير المعين حيث لا يشير إلى ارتداد فرد خاص وإنّما يطرح حكماً كليّاً ناظراً لإنكار أحدٍ من الأشخاص</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7189633_73709187"/>
      <w:bookmarkStart w:id="241" w:name="_Toc90"/>
      <w:bookmarkEnd w:id="240"/>
      <w:r>
        <w:rPr>
          <w:rtl w:val="true"/>
        </w:rPr>
        <w:t>تكفير الفرد المعيّن</w:t>
      </w:r>
      <w:bookmarkEnd w:id="24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به الإشارة إلى خروج فرد معيّن كزيد عن خيمة الإسلام وأنّه غير محقون الدم والمال إلى غير ذلك من الأحكام، فهذا النوع من التكفير من أصعب الأُمور وأشقّها، إذ لا يصار إليه إلّابعد اجتماع الشرائط وارتفاع الموانع، فإنّ للتكفير شروطاً وموانعاً، فلو فقد أحد الشروط أو وجد أحد الموانع كان التكفير أمراً حراماً، وربّما يسبب كفر المكفّر كما سيوافيك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يحرم التسرّع في التكفير من دون دراسة وجود الشروط وعدم الموانع، وإليك بيان الشروط والموانع</w:t>
      </w:r>
      <w:r>
        <w:rPr>
          <w:rFonts w:eastAsia="Amiri" w:cs="Amiri" w:ascii="Amiri" w:hAnsi="Amiri"/>
          <w:color w:val="111111"/>
          <w:sz w:val="28"/>
          <w:szCs w:val="28"/>
          <w:rtl w:val="true"/>
          <w:lang w:bidi="ar-SA"/>
        </w:rPr>
        <w:t>.</w:t>
      </w:r>
      <w:bookmarkStart w:id="242" w:name="pg16780_177034"/>
    </w:p>
    <w:p>
      <w:pPr>
        <w:pStyle w:val="Heading5"/>
        <w:numPr>
          <w:ilvl w:val="4"/>
          <w:numId w:val="1"/>
        </w:numPr>
        <w:rPr/>
      </w:pPr>
      <w:bookmarkStart w:id="243" w:name="__RefHeading___Toc7189635_73709187"/>
      <w:bookmarkStart w:id="244" w:name="_Toc91"/>
      <w:bookmarkEnd w:id="242"/>
      <w:bookmarkEnd w:id="243"/>
      <w:r>
        <w:rPr>
          <w:rtl w:val="true"/>
        </w:rPr>
        <w:t>الشرط الأوّل</w:t>
      </w:r>
      <w:r>
        <w:rPr>
          <w:rtl w:val="true"/>
        </w:rPr>
        <w:t xml:space="preserve">: </w:t>
      </w:r>
      <w:r>
        <w:rPr>
          <w:rtl w:val="true"/>
        </w:rPr>
        <w:t>إقامة الحجّة على المنكر</w:t>
      </w:r>
      <w:bookmarkEnd w:id="244"/>
    </w:p>
    <w:p>
      <w:pPr>
        <w:pStyle w:val="BookText"/>
        <w:rPr/>
      </w:pPr>
      <w:r>
        <w:rPr>
          <w:rFonts w:ascii="Amiri" w:hAnsi="Amiri" w:eastAsia="Amiri" w:cs="Amiri"/>
          <w:color w:val="111111"/>
          <w:sz w:val="28"/>
          <w:sz w:val="28"/>
          <w:szCs w:val="28"/>
          <w:rtl w:val="true"/>
          <w:lang w:bidi="ar-SA"/>
        </w:rPr>
        <w:t>إنّه سبحانه عادل لا يحتجّ على الإنسان إلّابعد بيان تكليفه،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فإنّ بعث الرسول كناية عن قيام الحجّة على الإنسان سواء أكان ببعث الرسول أم بالنقل عنه، ولذلك اتّفق العلماء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يكفّر أحداً من المسلمين وإن أخطأ وغلط حتى تقام عليه الحجّة وتتبيّن له المحجّة، ومَن ثبت إسلامه بيقين لم يزل ذلك عنه بالشكّ‌، بل لا يزول إلّابعد إقامة الحجّة وإزالة الشبهة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 الضروري إذا كان جديد الإسلام أو من أهل البادية البعيدة لا يحكم عليه بالكفر؛ لأنّ المفروض أنّه لم تتمّ عليه الحجّة، لحداثة دخوله في الإسلام أو بُعد محلّه عن العلم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 أنّ رجلاً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أجعلتني نداً 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ثم شئت</w:t>
      </w:r>
      <w:r>
        <w:rPr>
          <w:rFonts w:eastAsia="Amiri" w:cs="Amiri" w:ascii="Amiri" w:hAnsi="Amiri"/>
          <w:color w:val="111111"/>
          <w:sz w:val="28"/>
          <w:szCs w:val="28"/>
          <w:rtl w:val="true"/>
          <w:lang w:bidi="ar-SA"/>
        </w:rPr>
        <w:t>».</w:t>
      </w:r>
      <w:r>
        <w:rPr>
          <w:rStyle w:val="FootnoteAnchor"/>
          <w:rtl w:val="true"/>
        </w:rPr>
        <w:footnoteReference w:id="296"/>
      </w:r>
    </w:p>
    <w:p>
      <w:pPr>
        <w:pStyle w:val="Heading5"/>
        <w:numPr>
          <w:ilvl w:val="4"/>
          <w:numId w:val="1"/>
        </w:numPr>
        <w:rPr/>
      </w:pPr>
      <w:bookmarkStart w:id="245" w:name="__RefHeading___Toc7189637_73709187"/>
      <w:bookmarkStart w:id="246" w:name="_Toc92"/>
      <w:bookmarkEnd w:id="245"/>
      <w:r>
        <w:rPr>
          <w:rtl w:val="true"/>
        </w:rPr>
        <w:t>الشرط الثاني</w:t>
      </w:r>
      <w:r>
        <w:rPr>
          <w:rtl w:val="true"/>
        </w:rPr>
        <w:t xml:space="preserve">: </w:t>
      </w:r>
      <w:r>
        <w:rPr>
          <w:rtl w:val="true"/>
        </w:rPr>
        <w:t>كونه قاصداً للمعنى المخرج</w:t>
      </w:r>
      <w:bookmarkEnd w:id="246"/>
    </w:p>
    <w:p>
      <w:pPr>
        <w:pStyle w:val="BookText"/>
        <w:rPr/>
      </w:pPr>
      <w:r>
        <w:rPr>
          <w:rFonts w:ascii="Amiri" w:hAnsi="Amiri" w:eastAsia="Amiri" w:cs="Amiri"/>
          <w:color w:val="111111"/>
          <w:sz w:val="28"/>
          <w:sz w:val="28"/>
          <w:szCs w:val="28"/>
          <w:rtl w:val="true"/>
          <w:lang w:bidi="ar-SA"/>
        </w:rPr>
        <w:t>إذا كان تعبير الرجل ذا احتمالات ووجوه، فهي بين صحيح وباطل فلا يحكم عليه بالكفر بعبارة ذات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القول بوحدة الوجود، ذو وجوه واحتمالات فلا يحكم على القائل الناطق به بالكفر إلّاإذا أراد منه عينية الوجود الإمكاني مع وجود الواجب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أنّ كثيراً من العبارات المنقولة عن الصوفية التي لا تنسجم مع أُصول الإسلام المذكورة سابقاً، هي من شطحاتهم التي ينطقون بها في الأحوال غير العادية في مجالس الذكر التي يعقدونها في محافلهم؛ وأمّا إذا</w:t>
      </w:r>
      <w:bookmarkStart w:id="247" w:name="pg16780_177035"/>
    </w:p>
    <w:p>
      <w:pPr>
        <w:pStyle w:val="BookText"/>
        <w:rPr/>
      </w:pPr>
      <w:bookmarkEnd w:id="247"/>
      <w:r>
        <w:rPr>
          <w:rFonts w:ascii="Amiri" w:hAnsi="Amiri" w:eastAsia="Amiri" w:cs="Amiri"/>
          <w:color w:val="111111"/>
          <w:sz w:val="28"/>
          <w:sz w:val="28"/>
          <w:szCs w:val="28"/>
          <w:rtl w:val="true"/>
          <w:lang w:bidi="ar-SA"/>
        </w:rPr>
        <w:t>تجرّدوا عن هذه الحالة ورجعوا إلى حالتهم العادية فلا ينطقون بشيء من هذه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نطق بمثل ذلك لا يحلّ تكفيره، إذ هو ليس قاصداً للمعنى الكفري في حالة يؤخذ فيها أقاريره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ذكر ما هو الشرط للحكم بالخروج عن الإيمان وبقي هنا بيان بعض الموانع</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7189639_73709187"/>
      <w:bookmarkStart w:id="249" w:name="_Toc93"/>
      <w:bookmarkEnd w:id="248"/>
      <w:r>
        <w:rPr>
          <w:rtl w:val="true"/>
        </w:rPr>
        <w:t>موانع التكفير</w:t>
      </w:r>
      <w:bookmarkEnd w:id="249"/>
    </w:p>
    <w:p>
      <w:pPr>
        <w:pStyle w:val="Heading6"/>
        <w:numPr>
          <w:ilvl w:val="5"/>
          <w:numId w:val="1"/>
        </w:numPr>
        <w:rPr/>
      </w:pPr>
      <w:bookmarkStart w:id="250" w:name="__RefHeading___Toc7189641_73709187"/>
      <w:bookmarkStart w:id="251" w:name="_Toc94"/>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إنّ للتكفير شروطاً وموانع نذكر منها ما يلي</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7189643_73709187"/>
      <w:bookmarkStart w:id="253" w:name="_Toc95"/>
      <w:bookmarkEnd w:id="252"/>
      <w:r>
        <w:rPr>
          <w:rtl w:val="true"/>
        </w:rPr>
        <w:t>الأول</w:t>
      </w:r>
      <w:r>
        <w:rPr>
          <w:rtl w:val="true"/>
        </w:rPr>
        <w:t xml:space="preserve">: </w:t>
      </w:r>
      <w:r>
        <w:rPr>
          <w:rtl w:val="true"/>
        </w:rPr>
        <w:t>كونه مختاراً في البيان والعمل</w:t>
      </w:r>
      <w:bookmarkEnd w:id="2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الإنسان مكرهاً على الكفر، كما هو الحال في قضية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يحلّ تكفيره،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المفسّرون أنّ الآية نزلت في جماعة أُكرهوا، وهم عمّار وياسر أبوه وأُمّه سميّة، وصهيب وبلال وخبّاب عذّبوا، وقتل أبو عمّار وأُمّه، فأعطاهم عمّار بلسانه ممّا أرادوا منه، ثم أُخبر بذلك رسول اللّه صلى الله عليه و آله و سلم،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واختلط الإيمان بلحمه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عمّار إلى رسول اللّه صلى الله عليه و آله و سلم وهو يبكي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ما تُركت حتى نِلتُ منك، وذكرت آلهتهم بخير، فجعل رسول اللّه صلى الله عليه و آله و سلم يمسح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w:t>
      </w:r>
      <w:r>
        <w:rPr>
          <w:rStyle w:val="FootnoteAnchor"/>
          <w:rtl w:val="true"/>
        </w:rPr>
        <w:footnoteReference w:id="298"/>
      </w:r>
      <w:bookmarkStart w:id="254" w:name="pg16780_177036"/>
    </w:p>
    <w:p>
      <w:pPr>
        <w:pStyle w:val="Heading6"/>
        <w:numPr>
          <w:ilvl w:val="5"/>
          <w:numId w:val="1"/>
        </w:numPr>
        <w:rPr/>
      </w:pPr>
      <w:bookmarkStart w:id="255" w:name="__RefHeading___Toc7189645_73709187"/>
      <w:bookmarkStart w:id="256" w:name="_Toc96"/>
      <w:bookmarkEnd w:id="254"/>
      <w:bookmarkEnd w:id="255"/>
      <w:r>
        <w:rPr>
          <w:rtl w:val="true"/>
        </w:rPr>
        <w:t>الثاني</w:t>
      </w:r>
      <w:r>
        <w:rPr>
          <w:rtl w:val="true"/>
        </w:rPr>
        <w:t xml:space="preserve">: </w:t>
      </w:r>
      <w:r>
        <w:rPr>
          <w:rtl w:val="true"/>
        </w:rPr>
        <w:t>الإنكار عن شبهة خارجة عن الاختيار</w:t>
      </w:r>
      <w:bookmarkEnd w:id="256"/>
    </w:p>
    <w:p>
      <w:pPr>
        <w:pStyle w:val="BookText"/>
        <w:rPr/>
      </w:pPr>
      <w:r>
        <w:rPr>
          <w:rFonts w:ascii="Amiri" w:hAnsi="Amiri" w:eastAsia="Amiri" w:cs="Amiri"/>
          <w:color w:val="111111"/>
          <w:sz w:val="28"/>
          <w:sz w:val="28"/>
          <w:szCs w:val="28"/>
          <w:rtl w:val="true"/>
          <w:lang w:bidi="ar-SA"/>
        </w:rPr>
        <w:t>ربّما يتّفق لبعض الناس إنكار حكم ضروري لشبهة طرأت على ذهنه بسبب مخالطته للكفّار ومجالسته للمنكرين، فنحن نعيش الآن في عصر تطوّر الاتّصالات، وفضائيات الأعداء تبثّ كلّ يوم وليلة عشرات الشُّبَه من على شاشات التلفزيون، ولم تزل وسائل الإعلام في الخارج والداخل تتولّى بذر الشُّبَه في الأُصول والمعارف، فالشاب غير العارف بالمبادئ والبراهين ربّما يتأثّر بعض التأثّر ببعض هذه المقالات والخطابات فربّما ينطق بشيء ممّا يلقى إليه دون عناد وعداء، فإذا أُحضر إلى المحاكم فعلى الحاكم أن يزيل شبهته ويحيله إلى أُستاذ يعرف الداء والدواء حتى يزيل ما طرأ على ذهنه من جانب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استمر على الإنكار بعد أن تقام عليه الحجّة فيحكم عليه بالكفر آنذاك</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189647_73709187"/>
      <w:bookmarkStart w:id="258" w:name="_Toc97"/>
      <w:bookmarkEnd w:id="257"/>
      <w:r>
        <w:rPr>
          <w:rtl w:val="true"/>
        </w:rPr>
        <w:t>الثالث</w:t>
      </w:r>
      <w:r>
        <w:rPr>
          <w:rtl w:val="true"/>
        </w:rPr>
        <w:t xml:space="preserve">: </w:t>
      </w:r>
      <w:r>
        <w:rPr>
          <w:rtl w:val="true"/>
        </w:rPr>
        <w:t>عدم احتمال التأويل</w:t>
      </w:r>
      <w:bookmarkEnd w:id="258"/>
    </w:p>
    <w:p>
      <w:pPr>
        <w:pStyle w:val="BookText"/>
        <w:rPr/>
      </w:pPr>
      <w:r>
        <w:rPr>
          <w:rFonts w:ascii="Amiri" w:hAnsi="Amiri" w:eastAsia="Amiri" w:cs="Amiri"/>
          <w:color w:val="111111"/>
          <w:sz w:val="28"/>
          <w:sz w:val="28"/>
          <w:szCs w:val="28"/>
          <w:rtl w:val="true"/>
          <w:lang w:bidi="ar-SA"/>
        </w:rPr>
        <w:t>ربّما يكون تعبير الإنسان عن موضوع ديني على وجه يقبل التأويل والحمل على الوجه الصحيح؛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بوحدة الوجود والموجود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يعبّر عمّا تبنّاه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الأشياء وهو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يقصد من عبارته هذه شدّة تعلّق الممكنات بالواجب لذاته، تعلّق المعنى الحرفي بالاسمي على نحو لو انقطعت الصلة بين الواجب والممكن لعمّ العدم صفحة الوجود الإمكاني، فكأنّه صار الوجود والموجود شيئاً واحداً لانغماس نور الممكنات في نور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الاحتمال في حق القائل يصدُّنا عن التسرّع في تكفيره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لو قال فقيه بعدم جواز دفع الزكاة إلى المؤلّفة قلوبهم وإن ورد النصّ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w:t>
      </w:r>
      <w:bookmarkStart w:id="259" w:name="pg16780_177037"/>
    </w:p>
    <w:p>
      <w:pPr>
        <w:pStyle w:val="BookText"/>
        <w:rPr/>
      </w:pPr>
      <w:bookmarkEnd w:id="259"/>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وعمل به النبي صلى الله عليه و آله و سلم؛ وذلك لأنّ الآية وعَمَلَ النبيّ صلى الله عليه و آله و سلم كان في زمان ضعف الإسلام ووجود المسلمين والحاجة إلى تأليف قلوب هذه الطائفة، وأمّا الآن فقد قويّت شوكة الإسلام وظهرت قوّته فلا ملاك لتأليف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فكلّ ما كانت المسألة قابلة للتأويل يمكن قبول قول المؤوّل، ثمّ هدايته إلى الحقّ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المسائل التي صارت من الوضوح كالشمس في رائعة النهار فالتأويل فيها باطل مرفوض يضرب به عرض الجدار، كما هو الحال في المسائل التالية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7189649_73709187"/>
      <w:bookmarkStart w:id="261" w:name="_Toc98"/>
      <w:bookmarkEnd w:id="260"/>
      <w:r>
        <w:rPr/>
        <w:t>1</w:t>
      </w:r>
      <w:r>
        <w:rPr>
          <w:rtl w:val="true"/>
        </w:rPr>
        <w:t xml:space="preserve">. </w:t>
      </w:r>
      <w:r>
        <w:rPr>
          <w:rtl w:val="true"/>
        </w:rPr>
        <w:t>قتل مالك بن نويرة وتبريره بالتأويل</w:t>
      </w:r>
      <w:bookmarkEnd w:id="261"/>
    </w:p>
    <w:p>
      <w:pPr>
        <w:pStyle w:val="BookText"/>
        <w:rPr/>
      </w:pPr>
      <w:r>
        <w:rPr>
          <w:rFonts w:ascii="Amiri" w:hAnsi="Amiri" w:eastAsia="Amiri" w:cs="Amiri"/>
          <w:color w:val="111111"/>
          <w:sz w:val="28"/>
          <w:sz w:val="28"/>
          <w:szCs w:val="28"/>
          <w:rtl w:val="true"/>
          <w:lang w:bidi="ar-SA"/>
        </w:rPr>
        <w:t>اتّفق المؤرّخون على أنّ خالد بن الوليد قتل مالك بن نويرة ثم نزى على امرأته، فلمّا انتشر الخبر في المدينة وأنّ الرجل ارتكب جريمة شنيعة يستحقّ عليها القتل، أصرّ عمر على أبي بكر على إجراء الحدّ، ووصفه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عدى على امرئ مسلم فقتله ثم نزى على امرأته، ولما ورد خالد المدينة كلّمه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امرءاً مسلماً ثم نزوت على امرأته، واللّه لأرجمنّك بأحجارك؛ ومع ذلك فقد اعتذر أبو بكر عن إجراء الحدّ،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تأوّل فأخطأ، فارفع لسانك عن خالد فإنّي لا أشيم</w:t>
      </w:r>
      <w:r>
        <w:rPr>
          <w:rStyle w:val="FootnoteAnchor"/>
          <w:rtl w:val="true"/>
        </w:rPr>
        <w:footnoteReference w:id="300"/>
      </w:r>
      <w:r>
        <w:rPr>
          <w:rFonts w:ascii="Amiri" w:hAnsi="Amiri" w:eastAsia="Amiri" w:cs="Amiri"/>
          <w:color w:val="111111"/>
          <w:sz w:val="28"/>
          <w:sz w:val="28"/>
          <w:szCs w:val="28"/>
          <w:rtl w:val="true"/>
          <w:lang w:bidi="ar-SA"/>
        </w:rPr>
        <w:t>سيفاً سلّه اللّه على الكافرين</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صحّ تبرير هذه الجريمة بهذا النوع من التأويل لما استقرّ حجر على حجر، ولعمّت الفوضى المجتمع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التأويل إنّما يقبل في مسائل ساد عليها</w:t>
      </w:r>
      <w:bookmarkStart w:id="262" w:name="pg16780_177038"/>
    </w:p>
    <w:p>
      <w:pPr>
        <w:pStyle w:val="BookText"/>
        <w:rPr/>
      </w:pPr>
      <w:bookmarkEnd w:id="262"/>
      <w:r>
        <w:rPr>
          <w:rFonts w:ascii="Amiri" w:hAnsi="Amiri" w:eastAsia="Amiri" w:cs="Amiri"/>
          <w:color w:val="111111"/>
          <w:sz w:val="28"/>
          <w:sz w:val="28"/>
          <w:szCs w:val="28"/>
          <w:rtl w:val="true"/>
          <w:lang w:bidi="ar-SA"/>
        </w:rPr>
        <w:t>الخفاء، وأمّا قتل الأنفس وهتك الأعراض وسلب الأموال، فهو في منأى عن التأويل</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7189651_73709187"/>
      <w:bookmarkStart w:id="264" w:name="_Toc99"/>
      <w:bookmarkEnd w:id="263"/>
      <w:r>
        <w:rPr/>
        <w:t>2</w:t>
      </w:r>
      <w:r>
        <w:rPr>
          <w:rtl w:val="true"/>
        </w:rPr>
        <w:t xml:space="preserve">. </w:t>
      </w:r>
      <w:r>
        <w:rPr>
          <w:rtl w:val="true"/>
        </w:rPr>
        <w:t>قتل الهرمزان وإمساك الخليفة عن إجراء القصاص</w:t>
      </w:r>
      <w:bookmarkEnd w:id="264"/>
    </w:p>
    <w:p>
      <w:pPr>
        <w:pStyle w:val="BookText"/>
        <w:rPr/>
      </w:pPr>
      <w:r>
        <w:rPr>
          <w:rFonts w:ascii="Amiri" w:hAnsi="Amiri" w:eastAsia="Amiri" w:cs="Amiri"/>
          <w:color w:val="111111"/>
          <w:sz w:val="28"/>
          <w:sz w:val="28"/>
          <w:szCs w:val="28"/>
          <w:rtl w:val="true"/>
          <w:lang w:bidi="ar-SA"/>
        </w:rPr>
        <w:t>لمّا قُتل عمر ولم يظفر عبيد اللّه بن عمر بقاتل أبيه، قتل الهرمزان وبنت أبي لؤلؤة الصغيرة، ولمّا أكثر الناس في دم الهرمزان وإمساك عثمان عن القصاص،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قضاء اللّه أنّ عبيد اللّه بن عمر أصاب الهرمزان وكان الهرمزان من المسلمين ولا وارث له إلّاالمسلمون عامّة وأنا إمامكم وقد عفوت أفتعفون‌؟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 الفاسق فإنّه أتى عظيماً، قتل مسلماً بلا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فاسق لئن ظفرت بك يوماً لأقتلنّك بالهرمزان</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التأويل الباطل يبرّر عمل معاوية حيث رفض خلافة عليّ عليه السلام الذي بايعه المهاجرون والأنصار ولم يتخلّف عن بيعته إلّانفر يسير، ومع ذلك نرى أنّه جهّز جيشاً جراراً في وجه علي عليه السلام وقتل في معركة صفين حوالي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مسلم من الطرفين، وفيهم الصحابة العدول وقد شهد بعضهم بدراً وأُحداً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التأويل مرفوض في منطق الشريعة والعدل، ولو فتح هذا الباب بوجه المجرمين لاستحلّوا حرمات اللّه وهتكوها بذريعة التأويل</w:t>
      </w:r>
      <w:r>
        <w:rPr>
          <w:rFonts w:eastAsia="Amiri" w:cs="Amiri" w:ascii="Amiri" w:hAnsi="Amiri"/>
          <w:color w:val="111111"/>
          <w:sz w:val="28"/>
          <w:szCs w:val="28"/>
          <w:rtl w:val="true"/>
          <w:lang w:bidi="ar-SA"/>
        </w:rPr>
        <w:t>.</w:t>
      </w:r>
      <w:bookmarkStart w:id="265" w:name="pg16780_177039"/>
    </w:p>
    <w:p>
      <w:pPr>
        <w:pStyle w:val="Heading4"/>
        <w:numPr>
          <w:ilvl w:val="3"/>
          <w:numId w:val="1"/>
        </w:numPr>
        <w:rPr/>
      </w:pPr>
      <w:bookmarkStart w:id="266" w:name="__RefHeading___Toc7189653_73709187"/>
      <w:bookmarkStart w:id="267" w:name="_Toc100"/>
      <w:bookmarkEnd w:id="265"/>
      <w:bookmarkEnd w:id="266"/>
      <w:r>
        <w:rPr>
          <w:rtl w:val="true"/>
        </w:rPr>
        <w:t>الفصل الرابع</w:t>
      </w:r>
      <w:r>
        <w:rPr>
          <w:rtl w:val="true"/>
        </w:rPr>
        <w:t xml:space="preserve">: </w:t>
      </w:r>
      <w:r>
        <w:rPr>
          <w:rtl w:val="true"/>
        </w:rPr>
        <w:t>جذور التكفير في العصور الأُولى</w:t>
      </w:r>
      <w:bookmarkEnd w:id="267"/>
    </w:p>
    <w:p>
      <w:pPr>
        <w:pStyle w:val="Heading5"/>
        <w:numPr>
          <w:ilvl w:val="4"/>
          <w:numId w:val="1"/>
        </w:numPr>
        <w:rPr/>
      </w:pPr>
      <w:bookmarkStart w:id="268" w:name="__RefHeading___Toc7189655_73709187"/>
      <w:bookmarkStart w:id="269" w:name="_Toc101"/>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قد ظهرت بادرة التكفير في عصر رسول اللّه صلى الله عليه و آله و سلم بصورة بسيطة، وقد واجهها رسول اللّه صلى الله عليه و آله و سلم بشدّة، ونذكر فيما يلي بعض النماذج</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7189657_73709187"/>
      <w:bookmarkStart w:id="271" w:name="_Toc102"/>
      <w:bookmarkEnd w:id="270"/>
      <w:r>
        <w:rPr>
          <w:rtl w:val="true"/>
        </w:rPr>
        <w:t>بادرة التكفير في عصر رسول اللّه صلى الله عليه و آله و سلم</w:t>
      </w:r>
      <w:bookmarkEnd w:id="271"/>
    </w:p>
    <w:p>
      <w:pPr>
        <w:pStyle w:val="Heading6"/>
        <w:numPr>
          <w:ilvl w:val="5"/>
          <w:numId w:val="1"/>
        </w:numPr>
        <w:rPr/>
      </w:pPr>
      <w:bookmarkStart w:id="272" w:name="__RefHeading___Toc7189659_73709187"/>
      <w:bookmarkStart w:id="273" w:name="_Toc103"/>
      <w:bookmarkEnd w:id="272"/>
      <w:r>
        <w:rPr/>
        <w:t>1</w:t>
      </w:r>
      <w:r>
        <w:rPr>
          <w:rtl w:val="true"/>
        </w:rPr>
        <w:t xml:space="preserve">. </w:t>
      </w:r>
      <w:r>
        <w:rPr>
          <w:rtl w:val="true"/>
        </w:rPr>
        <w:t>أُسامة بن زيد يقتل مسلماً</w:t>
      </w:r>
      <w:bookmarkEnd w:id="273"/>
    </w:p>
    <w:p>
      <w:pPr>
        <w:pStyle w:val="BookText"/>
        <w:rPr/>
      </w:pPr>
      <w:r>
        <w:rPr>
          <w:rFonts w:ascii="Amiri" w:hAnsi="Amiri" w:eastAsia="Amiri" w:cs="Amiri"/>
          <w:color w:val="111111"/>
          <w:sz w:val="28"/>
          <w:sz w:val="28"/>
          <w:szCs w:val="28"/>
          <w:rtl w:val="true"/>
          <w:lang w:bidi="ar-SA"/>
        </w:rPr>
        <w:t>روى المفسّرون في أسباب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أُسامة بن زيد وأصحابه، بعثهم النبيّ صلى الله عليه و آله و سلم في سرية فلقوا رجلاً قد انحاز بغنم له إلى جبل، وكان قد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لا إله إلّااللّه محمّد رسول اللّه، فبدر إليه أُسامة فقتله واستاقوا غنمه؛ عن السدّي</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السيوطي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سرية عليها أُسامة بن زيد إلى بني ضمرة، فلقوا رجلاً منهم يدعى مرداس بن نهيك معه غنم له وجمل أحمر، فلمّا رآهم آوى إلى كهف جبل واتّبعه أُسامة، فلمّا بلغ مرداس الكهف وضع فيه غنمه ثم أقبل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أشهد أن لا إله إلّااللّه وأنّ محمّداً رسول اللّه، فشدّ عليه أُسامة فقتله من أجل جمله وغنيمته، وكان النبي صلى الله عليه و آله و سلم إذا بعث أُسامة أحب أن يُثنى عليه خير ويسأل عنه أصحابه، فلمّا رجعوا لم يسألهم عنه، فجعل القوم يحدّثون النبي صلى الله عليه و آله و سلم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bookmarkStart w:id="274" w:name="pg16780_177040"/>
    </w:p>
    <w:p>
      <w:pPr>
        <w:pStyle w:val="BookText"/>
        <w:rPr/>
      </w:pPr>
      <w:bookmarkEnd w:id="274"/>
      <w:r>
        <w:rPr>
          <w:rFonts w:ascii="Amiri" w:hAnsi="Amiri" w:eastAsia="Amiri" w:cs="Amiri"/>
          <w:color w:val="111111"/>
          <w:sz w:val="28"/>
          <w:sz w:val="28"/>
          <w:szCs w:val="28"/>
          <w:rtl w:val="true"/>
          <w:lang w:bidi="ar-SA"/>
        </w:rPr>
        <w:t>لو رأيت أُسامة ولقيه رجل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صلى الله عليه و آله و سلم، فشدّ عليه فقتله، وهو معرض عنهم، فلمّا أكثروا عليه رفع رأسه إلى 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ولا إله إلّااللّه،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متعوذاً تعوّذ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شققت عن قلبه فنظرت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خبر هذا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وقد روى البغوي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مسجداً أو سمعتم أذاناً فلا تقتلوا أحداً</w:t>
      </w:r>
      <w:r>
        <w:rPr>
          <w:rFonts w:eastAsia="Amiri" w:cs="Amiri" w:ascii="Amiri" w:hAnsi="Amiri"/>
          <w:color w:val="111111"/>
          <w:sz w:val="28"/>
          <w:szCs w:val="28"/>
          <w:rtl w:val="true"/>
          <w:lang w:bidi="ar-SA"/>
        </w:rPr>
        <w:t>.</w:t>
      </w:r>
      <w:r>
        <w:rPr>
          <w:rStyle w:val="FootnoteAnchor"/>
          <w:rtl w:val="true"/>
        </w:rPr>
        <w:footnoteReference w:id="306"/>
      </w:r>
    </w:p>
    <w:p>
      <w:pPr>
        <w:pStyle w:val="Heading6"/>
        <w:numPr>
          <w:ilvl w:val="5"/>
          <w:numId w:val="1"/>
        </w:numPr>
        <w:rPr/>
      </w:pPr>
      <w:bookmarkStart w:id="275" w:name="__RefHeading___Toc7189661_73709187"/>
      <w:bookmarkStart w:id="276" w:name="_Toc104"/>
      <w:bookmarkEnd w:id="275"/>
      <w:r>
        <w:rPr/>
        <w:t>2</w:t>
      </w:r>
      <w:r>
        <w:rPr>
          <w:rtl w:val="true"/>
        </w:rPr>
        <w:t xml:space="preserve">. </w:t>
      </w:r>
      <w:r>
        <w:rPr>
          <w:rtl w:val="true"/>
        </w:rPr>
        <w:t>الوليد بن عقبة وتكفير بني المصطلق</w:t>
      </w:r>
      <w:bookmarkEnd w:id="276"/>
    </w:p>
    <w:p>
      <w:pPr>
        <w:pStyle w:val="BookText"/>
        <w:rPr/>
      </w:pPr>
      <w:r>
        <w:rPr>
          <w:rFonts w:ascii="Amiri" w:hAnsi="Amiri" w:eastAsia="Amiri" w:cs="Amiri"/>
          <w:color w:val="111111"/>
          <w:sz w:val="28"/>
          <w:sz w:val="28"/>
          <w:szCs w:val="28"/>
          <w:rtl w:val="true"/>
          <w:lang w:bidi="ar-SA"/>
        </w:rPr>
        <w:t>روى المفسّرون أنّ رسول اللّه صلى الله عليه و آله و سلم بعث الوليد بن عقبة بن أبي معيط في صدقات بني المصطلق فخرجوا يتلقونه فرحاً به، وكانت بينهم عداوة في الجاهلية، فظن أنّهم همّوا بقتله، فرجع إلى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مَنَعُوا صدقاتهم، وكان الأمر بخلافه، فغضب النبي صلى الله عليه و آله و سلم وهمّ أن يغزوهم،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Heading6"/>
        <w:numPr>
          <w:ilvl w:val="5"/>
          <w:numId w:val="1"/>
        </w:numPr>
        <w:rPr/>
      </w:pPr>
      <w:bookmarkStart w:id="277" w:name="__RefHeading___Toc7189663_73709187"/>
      <w:bookmarkStart w:id="278" w:name="_Toc105"/>
      <w:bookmarkEnd w:id="277"/>
      <w:r>
        <w:rPr/>
        <w:t>3</w:t>
      </w:r>
      <w:r>
        <w:rPr>
          <w:rtl w:val="true"/>
        </w:rPr>
        <w:t xml:space="preserve">. </w:t>
      </w:r>
      <w:r>
        <w:rPr>
          <w:rtl w:val="true"/>
        </w:rPr>
        <w:t>اعتراض ذي الخويصرة على النبي صلى الله عليه و آله و سلم</w:t>
      </w:r>
      <w:bookmarkEnd w:id="2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صلى الله عليه و آله و سلم حين كلّمه التميمي يوم حنين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فكيف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العدل عندي، فعند من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bookmarkStart w:id="279" w:name="pg16780_177041"/>
    </w:p>
    <w:p>
      <w:pPr>
        <w:pStyle w:val="BookText"/>
        <w:rPr/>
      </w:pPr>
      <w:bookmarkEnd w:id="279"/>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دعه فإنّه سيكون له شيعة يتعمّقون في الدين حتى يخرجوا منه كما يخرج السهم من الرميّة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إلى هنا تمّ ما يشير إلى ظهور بادرة التكفير أو الاعتراض الملازم له في أوائل عصر الرسالة، وقد ظهرت في زمن الخلافة حوادث أُخرى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7189665_73709187"/>
      <w:bookmarkStart w:id="281" w:name="_Toc106"/>
      <w:bookmarkEnd w:id="280"/>
      <w:r>
        <w:rPr>
          <w:rtl w:val="true"/>
        </w:rPr>
        <w:t>ظاهرة التكفير في زمن الخلفاء</w:t>
      </w:r>
      <w:bookmarkEnd w:id="281"/>
    </w:p>
    <w:p>
      <w:pPr>
        <w:pStyle w:val="Heading6"/>
        <w:numPr>
          <w:ilvl w:val="5"/>
          <w:numId w:val="1"/>
        </w:numPr>
        <w:rPr/>
      </w:pPr>
      <w:bookmarkStart w:id="282" w:name="__RefHeading___Toc7189667_73709187"/>
      <w:bookmarkStart w:id="283" w:name="_Toc107"/>
      <w:bookmarkEnd w:id="282"/>
      <w:r>
        <w:rPr/>
        <w:t>1</w:t>
      </w:r>
      <w:r>
        <w:rPr>
          <w:rtl w:val="true"/>
        </w:rPr>
        <w:t xml:space="preserve">. </w:t>
      </w:r>
      <w:r>
        <w:rPr>
          <w:rtl w:val="true"/>
        </w:rPr>
        <w:t>تكفير مالك بن نويرة بتأويل باطل</w:t>
      </w:r>
      <w:bookmarkEnd w:id="283"/>
    </w:p>
    <w:p>
      <w:pPr>
        <w:pStyle w:val="BookText"/>
        <w:rPr/>
      </w:pPr>
      <w:r>
        <w:rPr>
          <w:rFonts w:ascii="Amiri" w:hAnsi="Amiri" w:eastAsia="Amiri" w:cs="Amiri"/>
          <w:color w:val="111111"/>
          <w:sz w:val="28"/>
          <w:sz w:val="28"/>
          <w:szCs w:val="28"/>
          <w:rtl w:val="true"/>
          <w:lang w:bidi="ar-SA"/>
        </w:rPr>
        <w:t>وقد مرّ عليك تفصيل قصّته</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189669_73709187"/>
      <w:bookmarkStart w:id="285" w:name="_Toc108"/>
      <w:bookmarkEnd w:id="284"/>
      <w:r>
        <w:rPr/>
        <w:t>2</w:t>
      </w:r>
      <w:r>
        <w:rPr>
          <w:rtl w:val="true"/>
        </w:rPr>
        <w:t xml:space="preserve">. </w:t>
      </w:r>
      <w:r>
        <w:rPr>
          <w:rtl w:val="true"/>
        </w:rPr>
        <w:t>تكفير عائشة عثمان</w:t>
      </w:r>
      <w:bookmarkEnd w:id="285"/>
    </w:p>
    <w:p>
      <w:pPr>
        <w:pStyle w:val="BookText"/>
        <w:rPr/>
      </w:pPr>
      <w:r>
        <w:rPr>
          <w:rFonts w:ascii="Amiri" w:hAnsi="Amiri" w:eastAsia="Amiri" w:cs="Amiri"/>
          <w:color w:val="111111"/>
          <w:sz w:val="28"/>
          <w:sz w:val="28"/>
          <w:szCs w:val="28"/>
          <w:rtl w:val="true"/>
          <w:lang w:bidi="ar-SA"/>
        </w:rPr>
        <w:t xml:space="preserve">أخرج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غضب عثمان على عمّار على النحو المذكور في التاريخ، وبلغ عائشة ما صنع بعمّار فغضبت وأخرجت شعراً من شعر رسول اللّه صلى الله عليه و آله و سلم وثوباً من ثيابه ونعلاً من نعاله،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وهذا شعره وثوبه ونعله لم يبل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غضباً شديداً حتى ما درى ما يقول</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لأمير المؤمنين عليه السلام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والزبير وعائشة وممّا جاء فيه خطاباً 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يا عائشة خرجت من بيتك عاصية للّه ولرسوله تطلبين أمراً كان عنك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طلبت على زعمك دم عثمان، وما أنت وذاك، عثمان رجل من بني أُمية وأنت من تيم، ثم بالأمس تقولين في ملأ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قتله اللّه فقد كفر، ثم تطلبين اليوم بدمه، فاتقي اللّه وارجعي إلى بيتك واسبلي عليك سترك</w:t>
      </w:r>
      <w:r>
        <w:rPr>
          <w:rFonts w:eastAsia="Amiri" w:cs="Amiri" w:ascii="Amiri" w:hAnsi="Amiri"/>
          <w:color w:val="111111"/>
          <w:sz w:val="28"/>
          <w:szCs w:val="28"/>
          <w:rtl w:val="true"/>
          <w:lang w:bidi="ar-SA"/>
        </w:rPr>
        <w:t>».</w:t>
      </w:r>
      <w:r>
        <w:rPr>
          <w:rStyle w:val="FootnoteAnchor"/>
          <w:rtl w:val="true"/>
        </w:rPr>
        <w:footnoteReference w:id="311"/>
      </w:r>
      <w:bookmarkStart w:id="286" w:name="pg16780_177042"/>
    </w:p>
    <w:p>
      <w:pPr>
        <w:pStyle w:val="BookText"/>
        <w:rPr/>
      </w:pPr>
      <w:bookmarkEnd w:id="286"/>
      <w:r>
        <w:rPr>
          <w:rFonts w:ascii="Amiri" w:hAnsi="Amiri" w:eastAsia="Amiri" w:cs="Amiri"/>
          <w:color w:val="111111"/>
          <w:sz w:val="28"/>
          <w:sz w:val="28"/>
          <w:szCs w:val="28"/>
          <w:rtl w:val="true"/>
          <w:lang w:bidi="ar-SA"/>
        </w:rPr>
        <w:t>نعم لم تكن الإدانة بالتكفير من خصائصها فقط، بل مَن اجتمع من الصحابة وغيرهم على قتله كانوا يكفّرونه، ومن أراد التفصيل فعليه الرجوع إلى المصادر التاريخية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189671_73709187"/>
      <w:bookmarkStart w:id="288" w:name="_Toc109"/>
      <w:bookmarkEnd w:id="287"/>
      <w:r>
        <w:rPr/>
        <w:t>3</w:t>
      </w:r>
      <w:r>
        <w:rPr>
          <w:rtl w:val="true"/>
        </w:rPr>
        <w:t xml:space="preserve">. </w:t>
      </w:r>
      <w:r>
        <w:rPr>
          <w:rtl w:val="true"/>
        </w:rPr>
        <w:t>الخوارج والتكفير</w:t>
      </w:r>
      <w:bookmarkEnd w:id="288"/>
    </w:p>
    <w:p>
      <w:pPr>
        <w:pStyle w:val="BookText"/>
        <w:rPr/>
      </w:pPr>
      <w:r>
        <w:rPr>
          <w:rFonts w:ascii="Amiri" w:hAnsi="Amiri" w:eastAsia="Amiri" w:cs="Amiri"/>
          <w:color w:val="111111"/>
          <w:sz w:val="28"/>
          <w:sz w:val="28"/>
          <w:szCs w:val="28"/>
          <w:rtl w:val="true"/>
          <w:lang w:bidi="ar-SA"/>
        </w:rPr>
        <w:t>إنّ الخوارج الذين ظهروا في عصر علي عليه السلام هم الذين كانوا يكفّرون عثمان بسبب أعماله الخارجة عن الكتاب والسنّة، ولمّا بويع عليّ بالخلافة التحقوا به عليه السلام كسائر المسلمين غير أنّهم خرجوا عليه في مسألة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هي قضية التحكيم فتوضيحها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ظهرت آثار انتصار جيش علي عليه السلام وكان مالك الأشتر قائد الجيش بمقربة من خيام معاوية، فلجأ معاوية بإشارة من عمرو بن العاص إلى مكيدة أثّرت في جيش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هي المكيدة‌؟ فهي أنّهم ربطوا المصاحف على أطراف رماحهم وكان بينهم خمسمائة مصحف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نسائكم، وبناتكم، هذا كتاب اللّه بيننا وبينكم، إنّك أنت الحكيم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اختلف أصحاب علي في الرأي فطائفة قالت بالقتال، وطائفة مالت إلى المحاكمة إلى الكتاب وأنّه لا يحلّ لنا الحرب وقد دعينا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أثّرت تلك المكيدة في همم كثير من جيش عليّ ولم يقفوا على أنّها مؤامرة ابن النابغة وقد تعلّم منه ابن أبي سفيان، وإنّها كلمة حقّ يراد بها باطل وأنّ الغاية القصوى منها إيجاد الشقاق والنفاق في جيش عليّ عليه السلام، فلمّا رأى عليه السلام تلك المكيدة وتأثيرها في السذّج من جيشه قام خطيباً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أحقّ مَن أجاب إلى كتاب اللّه ولكن هؤلاء ليسوا بأصحاب دين ولا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لخطاب علي أثر في قسم كبير من جيشه، ولكنّه فوجئ بمجيء زهاء عشرين ألفاً مقنّعين بالحديد شاكي سيوفهم وقد اسودّت جبهاهم من السجود ويتقدّمهم</w:t>
      </w:r>
    </w:p>
    <w:p>
      <w:pPr>
        <w:pStyle w:val="BookText"/>
        <w:rPr/>
      </w:pPr>
      <w:r>
        <w:rPr>
          <w:rFonts w:ascii="Amiri" w:hAnsi="Amiri" w:eastAsia="Amiri" w:cs="Amiri"/>
          <w:color w:val="111111"/>
          <w:sz w:val="28"/>
          <w:sz w:val="28"/>
          <w:szCs w:val="28"/>
          <w:rtl w:val="true"/>
          <w:lang w:bidi="ar-SA"/>
        </w:rPr>
        <w:t xml:space="preserve">عصابة من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صاروا خوارج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فنادوه باسمه لا بأمرة المؤمنين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إذا دعيت وإلّا قتلناك كما قتلنا ابن عفّان، فواللّه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محادثات كثيرة بين علي وبينهم لم يجد الإمام بدّاً من قبول التحكيم، وصارت النتيجة أن بعث عليّ قرّاء أهل العراق وبعث معاوية قرّاء أهل الشام حتى ينظروا ويحكموا ويحيوا ما أحياه القرآن وأن يميتوا ما أماته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تمّت الاتّفاقية بين الطرفين جاء الذين حملوا عليّاً على الرضا بالتحكيم، زاعمين أنّ التحكيم على خلاف القرآن الكريم،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فحاولوا أن يفرضوا على عليّ نقض الميثاق ورفض كتاب الصلح،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التحكيم كان منّا زلة حين رضينا بالحكمين فرجعنا وتُبْنا، فارجع أنت يا عليّ كما رجعنا وتب إلى اللّه كما تبنا وإلّا برأنا منك،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أبعد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نرجع‌؟ أو ليس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أن يرجع، وأبت الخوارج إلّاتضليل التحكيم والطعن فيه، وبرئت من عليّ عليه السلام، وبرئ منهم</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هذا مبدأ تكفيرهم عليّاً وأصحابه ودامت بينهم مشاجرات وانتهت إلى حرب دامية قضى عليّ عليه السلام على أكثرهم ولم يبق منهم إلّاعدد يسير تفرّقوا في البلاد</w:t>
      </w:r>
      <w:r>
        <w:rPr>
          <w:rFonts w:eastAsia="Amiri" w:cs="Amiri" w:ascii="Amiri" w:hAnsi="Amiri"/>
          <w:color w:val="111111"/>
          <w:sz w:val="28"/>
          <w:szCs w:val="28"/>
          <w:rtl w:val="true"/>
          <w:lang w:bidi="ar-SA"/>
        </w:rPr>
        <w:t>.</w:t>
      </w:r>
      <w:bookmarkStart w:id="289" w:name="pg16780_177044"/>
    </w:p>
    <w:p>
      <w:pPr>
        <w:pStyle w:val="Heading4"/>
        <w:numPr>
          <w:ilvl w:val="3"/>
          <w:numId w:val="1"/>
        </w:numPr>
        <w:rPr/>
      </w:pPr>
      <w:bookmarkStart w:id="290" w:name="__RefHeading___Toc7189673_73709187"/>
      <w:bookmarkStart w:id="291" w:name="_Toc110"/>
      <w:bookmarkEnd w:id="289"/>
      <w:bookmarkEnd w:id="290"/>
      <w:r>
        <w:rPr>
          <w:rtl w:val="true"/>
        </w:rPr>
        <w:t>الفصل الخامس</w:t>
      </w:r>
      <w:r>
        <w:rPr>
          <w:rtl w:val="true"/>
        </w:rPr>
        <w:t xml:space="preserve">: </w:t>
      </w:r>
      <w:r>
        <w:rPr>
          <w:rtl w:val="true"/>
        </w:rPr>
        <w:t>إدانة تكفير أهل القبلة على لسان النبيّ صلى الله عليه و آله و سلم والعلماء</w:t>
      </w:r>
      <w:bookmarkEnd w:id="291"/>
    </w:p>
    <w:p>
      <w:pPr>
        <w:pStyle w:val="BookText"/>
        <w:rPr/>
      </w:pPr>
      <w:r>
        <w:rPr>
          <w:rFonts w:ascii="Amiri" w:hAnsi="Amiri" w:eastAsia="Amiri" w:cs="Amiri"/>
          <w:color w:val="111111"/>
          <w:sz w:val="28"/>
          <w:sz w:val="28"/>
          <w:szCs w:val="28"/>
          <w:rtl w:val="true"/>
          <w:lang w:bidi="ar-SA"/>
        </w:rPr>
        <w:t>لمّا كان التكفير من أخطر الأُمور على الإسلام في طريق تشويه صورته ظلماً وعدواناً، ومورثاً للفوضى ومعدماً للأمن الذي هو من أهمّ الحاجات الفطرية، وهادفاً إلى تمزيق الأُمّة الإسلامية وإضعاف المسلمين، ونابعاً عن طغيان العاطفة الكاذبة على العقل والاستدلال، صار نبي العظمة ومظهر الرحمة صلى الله عليه و آله و سلم يدين تكفير المسلم، وها نحن نذكر شيئاً ممّا رواه المحدّثون في المجامع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وأنّ محمّداً رسول اللّه، والإقرار بما جاء من عند اللّه، والجهاد ماض منذ بعث رسله إلى آخر عصابة تكون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تكفّروهم بذنب ولا تشهدوا عليهم بشرك</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بسنده عن أبي ذر أنّه سمع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يرمي رجل رجلاً بالفسوق ولا يرميه بالكفر إلّاارتدّت عليه إن لم يكن صاحبه كذلك</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قال ابن دقيق العيد في شرح هذا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وعيد عظيم لمن كفّر أحداً من المسلمين وليس هو كذلك، وهي ورطة عظيمة وقع فيها كثير من المتكلّمين ومن المنسوبين إلى السنّة وأهل الحديث لمّا اختلفوا في العقائد فغلطوا على مخالفيهم وحكموا بكفرهم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كفّر الرجل أخاه، فقد باء بها أحدهما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قال لأخيه يا كافر فقد باء بها أحدهما، إن كان كما قال، وإلّا رجعت عليه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العبد نذر فيما لا يملك، ولاعن المؤمن كقاتله، ومَن قذف مؤمناً بكفر فهو كقاتله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وقد ورد في هذا الصدد الكثير من الروايات عن النبي صلى الله عليه و آله و سلم اكتفينا بهذا المقدار لأجل الاختصار، ومَن أراد المزيد فليرجع إلى المصادر الحديثية المذكورة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اقتدى بالنبي صلى الله عليه و آله و سلم الكثير من علماء الإسلام في كتبهم العقائدية وغيرها، فحذّروا عن تكفير أهل القبلة بأشدّ التحذير نذكر منهم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 عندما تكلّم فيمن يُكفّر ولا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إلى أنّه لا يُكفّر ولا يفسَّق مسلم بقول قال في اعتقاد، أو فتيا، وإنّ كلّ من اجتهد في شيء من ذلك فدان بما رأى أنّه الحق فإنّه مأجور على كلّ حال إن أصاب فأجران، وإن أخطأ فأجر واحد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ابن أبي ليلى وأبي حنيفة والشافعي وسفيان الثوري وداود بن علي، وهو قول كلّ من عرفنا له قولاً في هذه المسألة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منه خلافاً في ذلك أصلاً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أحمد بن زاهر السرخسي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الشيخ أبا الحسن الأشعريّ الوفاة بداري في بغداد أمرني بجمع أصحابه فجمعتهم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أنّني لا أُكفّر أحداً من أهل القبلة بذنب، لأنّي رأيتهم كلّهم يشيرون إلى معبود واحد والإسلام يشملهم ويعمّهم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الإسلام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الإقدام على تكفير المؤمنين عسر جدّاً، وكلّ من كان في قلبه إيمان، يستعظم القول بتكفير أهل الأهواء والبدع مع قولهم لا إله إلّااللّه، محمّد رسول اللّه، فإنّ التكفير أمر هائل عظيم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وقد أطال في تعظيم التكفير وتعظيم خطره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المتكلّمين والفقهاء على أنّه لا يكفّر أحد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مختاره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التي اختلف فيها أهل القبلة من كون اللّه تعالى عالماً بعلم أو موجداً لفعل العبد، أو غير متحيّز ولا في جهة ونحوها لم يبحث النبي عن اعتقاد من حكم بإسلامه فيها ولا الصحابة ولا التابعون، فعلم أنّ الخطأ فيها ليس قادحاً في حقيقة الإسلام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 الحقّ من أهل القبلة ليس بكافر ما لم يخالف ما هو من ضروريات الدين كحدوث العالم وحشر الأجساد، واستدلّ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ومن بعده لم يكونوا يفتشون عن العقائد وينبهون على ما هو الحق</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في كلام أهل المذهب تكفير كثير، لكن ليس من كلام الفقهاء الذين هم المجتهدون، بل من غيرهم ولا عبرة بغير الفقهاء، والمنقول عن المجتهدين ما ذكرنا</w:t>
      </w:r>
      <w:r>
        <w:rPr>
          <w:rFonts w:eastAsia="Amiri" w:cs="Amiri" w:ascii="Amiri" w:hAnsi="Amiri"/>
          <w:color w:val="111111"/>
          <w:sz w:val="28"/>
          <w:szCs w:val="28"/>
          <w:rtl w:val="true"/>
          <w:lang w:bidi="ar-SA"/>
        </w:rPr>
        <w:t>.</w:t>
      </w:r>
      <w:r>
        <w:rPr>
          <w:rStyle w:val="FootnoteAnchor"/>
          <w:rtl w:val="true"/>
        </w:rPr>
        <w:footnoteReference w:id="326"/>
      </w:r>
      <w:bookmarkStart w:id="292" w:name="pg16780_177047"/>
    </w:p>
    <w:p>
      <w:pPr>
        <w:pStyle w:val="Heading4"/>
        <w:numPr>
          <w:ilvl w:val="3"/>
          <w:numId w:val="1"/>
        </w:numPr>
        <w:rPr/>
      </w:pPr>
      <w:bookmarkStart w:id="293" w:name="__RefHeading___Toc7189675_73709187"/>
      <w:bookmarkStart w:id="294" w:name="_Toc111"/>
      <w:bookmarkEnd w:id="292"/>
      <w:bookmarkEnd w:id="293"/>
      <w:r>
        <w:rPr>
          <w:rtl w:val="true"/>
        </w:rPr>
        <w:t>الفصل السادس</w:t>
      </w:r>
      <w:r>
        <w:rPr>
          <w:rtl w:val="true"/>
        </w:rPr>
        <w:t xml:space="preserve">: </w:t>
      </w:r>
      <w:r>
        <w:rPr>
          <w:rtl w:val="true"/>
        </w:rPr>
        <w:t>الذرائع الباطلة لتكفير المسلمين</w:t>
      </w:r>
      <w:bookmarkEnd w:id="294"/>
    </w:p>
    <w:p>
      <w:pPr>
        <w:pStyle w:val="Heading5"/>
        <w:numPr>
          <w:ilvl w:val="4"/>
          <w:numId w:val="1"/>
        </w:numPr>
        <w:rPr/>
      </w:pPr>
      <w:bookmarkStart w:id="295" w:name="__RefHeading___Toc7189677_73709187"/>
      <w:bookmarkStart w:id="296" w:name="_Toc112"/>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إنّ ظاهرة التكفير لا تستهدف طائفة دون أُخرى، بل هي تشمل كافّة المسلمين بعامّة طوائفهم من شيعة وسنّة، من أشعري ومعتزلي، إلى غير ذلك من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ذرائع خاصّة لتكفير الشيعة فلذلك 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الأسباب التي يكفّرون بها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الذرائع الوهمية لتكفير الشيعة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ونخصّ هذا الفصل بالأوّل</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7189679_73709187"/>
      <w:bookmarkStart w:id="298" w:name="_Toc113"/>
      <w:bookmarkEnd w:id="297"/>
      <w:r>
        <w:rPr>
          <w:rtl w:val="true"/>
        </w:rPr>
        <w:t>الذرائع التي يكفّر بها عامّة المسلمين</w:t>
      </w:r>
      <w:bookmarkEnd w:id="298"/>
    </w:p>
    <w:p>
      <w:pPr>
        <w:pStyle w:val="BookText"/>
        <w:rPr/>
      </w:pPr>
      <w:r>
        <w:rPr>
          <w:rFonts w:ascii="Amiri" w:hAnsi="Amiri" w:eastAsia="Amiri" w:cs="Amiri"/>
          <w:color w:val="111111"/>
          <w:sz w:val="28"/>
          <w:sz w:val="28"/>
          <w:szCs w:val="28"/>
          <w:rtl w:val="true"/>
          <w:lang w:bidi="ar-SA"/>
        </w:rPr>
        <w:t>إنّ الأُمور التي يكفّرون بها المسلمين قاطبة فهي عبارة عن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بقدرة غيبيّة في الأنبياء والأولياء وأنّهم يسمعون كلام المتوسّل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الاعتقاد بسماع كلام المتوسّل يلازم وجود قدرة غيبيّة في الأولياء، رتبوا على ذلك حرمة الأُمور التالية وأنّها من مظاهر الشرك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الشفاعة من النبي صلى الله عليه و آله و سلم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بهم في قضاء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بهم في الشدائد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فالجميع من مظاهر الشرك لأنّها مبنيّة على أنّ الموتى يسمعون كلام الأحياء وأنّ الصلة موجودة بينهما، وهي تلازم الاعتقاد بوجود قدرة غيبية في النبي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عند قبور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آثار الأنبياء والسلف الصالح من قبورهم وبيوتهم وما يمت إليهم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للنبي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بآثار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أُمّهات المسائل التي جُعلت ذريعة لتكفير المسلمين، وهناك مسائل جزئية أُخرى يُعلم حالها ممّا سندرسه حول هذه المسائل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أنّا أشبعنا الكلام حول هذه الذرائع في غير واحد من مؤلّفاتنا، وكانت الإحالة لا تخلو من مشقّة على القرّاء، ندرس هذه المسائل على وجه الإجمال، ومن أراد التفصيل فليرجع إلى المصادر التي سنشير إليها في ختام البحث</w:t>
      </w:r>
      <w:r>
        <w:rPr>
          <w:rFonts w:eastAsia="Amiri" w:cs="Amiri" w:ascii="Amiri" w:hAnsi="Amiri"/>
          <w:color w:val="111111"/>
          <w:sz w:val="28"/>
          <w:szCs w:val="28"/>
          <w:rtl w:val="true"/>
          <w:lang w:bidi="ar-SA"/>
        </w:rPr>
        <w:t>.</w:t>
      </w:r>
      <w:bookmarkStart w:id="299" w:name="pg16780_177049"/>
    </w:p>
    <w:p>
      <w:pPr>
        <w:pStyle w:val="Heading5"/>
        <w:numPr>
          <w:ilvl w:val="4"/>
          <w:numId w:val="1"/>
        </w:numPr>
        <w:rPr/>
      </w:pPr>
      <w:bookmarkStart w:id="300" w:name="__RefHeading___Toc7189681_73709187"/>
      <w:bookmarkStart w:id="301" w:name="_Toc114"/>
      <w:bookmarkEnd w:id="299"/>
      <w:bookmarkEnd w:id="300"/>
      <w:r>
        <w:rPr>
          <w:rtl w:val="true"/>
        </w:rPr>
        <w:t>المسألة الأُولى</w:t>
      </w:r>
      <w:r>
        <w:rPr>
          <w:rtl w:val="true"/>
        </w:rPr>
        <w:t xml:space="preserve">: </w:t>
      </w:r>
      <w:r>
        <w:rPr>
          <w:rtl w:val="true"/>
        </w:rPr>
        <w:t>الاعتقاد بقدرة غيبية في الأولياء</w:t>
      </w:r>
      <w:bookmarkEnd w:id="301"/>
    </w:p>
    <w:p>
      <w:pPr>
        <w:pStyle w:val="Heading6"/>
        <w:numPr>
          <w:ilvl w:val="5"/>
          <w:numId w:val="1"/>
        </w:numPr>
        <w:rPr/>
      </w:pPr>
      <w:bookmarkStart w:id="302" w:name="__RefHeading___Toc7189683_73709187"/>
      <w:bookmarkStart w:id="303" w:name="_Toc115"/>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وطلب الشفاعة والاستغاثة والتوسّل بهم</w:t>
      </w:r>
    </w:p>
    <w:p>
      <w:pPr>
        <w:pStyle w:val="BookText"/>
        <w:rPr/>
      </w:pPr>
      <w:r>
        <w:rPr>
          <w:rFonts w:ascii="Amiri" w:hAnsi="Amiri" w:eastAsia="Amiri" w:cs="Amiri"/>
          <w:color w:val="111111"/>
          <w:sz w:val="28"/>
          <w:sz w:val="28"/>
          <w:szCs w:val="28"/>
          <w:rtl w:val="true"/>
          <w:lang w:bidi="ar-SA"/>
        </w:rPr>
        <w:t>اتّفق المسلمون على أنّ نبي الإسلام صلى الله عليه و آله و سلم وغيره من الأنبياء يشفعون في حقّ المذنبين يوم القيامة، وهذا لا كلام فيه بيننا وبين الوهابيّين، إلّاأنّهم يحرّمون الاستشفاع بأولياء اللّه في الدنيا، وربّما يعدّونه شركاً، ولهم في ذلك دلائل واهية أهمها أنّ طلب الشفاعة من نبي أو إمام يرقد تحت التراب أو يعيش في بلدة أُخرى ومكان آخر، أو كان غائباً عن الأبصار، هو شرك باللّه تعالى؛ لأنّ الطالب يعتقد بأنّ ذلك النبي أو الإمام يستطيع أن يُهيّئ الماء، خارج القوانين والأسباب الطبيعية، أي بالقدرة الغيبية، وهذا اعتقاد بإلوهيّة ذلك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بهذا الرأي الكاتب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الأعلى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التصوّر الذي لأجله يدعو الإنسان الإله ويستغيثه ويتضرّع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كونه مالكاً للسلطة المهيمنة على قوانين الطبيعة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المودودي لم يفرّق بين القدرة الغيبية المستقلة القائمة بنفس القادر، وبين القدرة التي يكتسبها الإنسان في ظل الطاعة ويستخدمها بإذن من اللّه تعالى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فالقدرة الغيبية بالمعنى الأوّل تختصّ باللّه سبحانه، وأمّا بالمعنى الثاني فالاعتقاد بها ليس بالشرك بل هو نفس التوحيد، لأنّه سبحانه قادر على كلّ شيء، فأي مانع أن يمنح قدرة غيبية لنبيّه إعجازاً أو كرامة أو لغاية أُخرى، بأن يغيث المستغيث في أرض جرداء</w:t>
      </w:r>
      <w:r>
        <w:rPr>
          <w:rFonts w:eastAsia="Amiri" w:cs="Amiri" w:ascii="Amiri" w:hAnsi="Amiri"/>
          <w:color w:val="111111"/>
          <w:sz w:val="28"/>
          <w:szCs w:val="28"/>
          <w:rtl w:val="true"/>
          <w:lang w:bidi="ar-SA"/>
        </w:rPr>
        <w:t>.</w:t>
      </w:r>
      <w:bookmarkStart w:id="304" w:name="pg16780_177050"/>
    </w:p>
    <w:p>
      <w:pPr>
        <w:pStyle w:val="BookText"/>
        <w:rPr/>
      </w:pPr>
      <w:bookmarkEnd w:id="304"/>
      <w:r>
        <w:rPr>
          <w:rFonts w:ascii="Amiri" w:hAnsi="Amiri" w:eastAsia="Amiri" w:cs="Amiri"/>
          <w:color w:val="111111"/>
          <w:sz w:val="28"/>
          <w:sz w:val="28"/>
          <w:szCs w:val="28"/>
          <w:rtl w:val="true"/>
          <w:lang w:bidi="ar-SA"/>
        </w:rPr>
        <w:t>وما ذكرنا هو الأساس في كثير من المسائل التي يتخبّط فيها الوهابيّون فهم لا يفرّقون بين المستقل والمأذون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ثنايا كلامه من أنّه لو طلب الإنسان العطشان في الصحراء ماءً من خادمه، فإنّ طلبه هذا ليس طلباً لخرق القوانين الطبيعية فهو جائز وليس شركاً، فلابدّ فيه من القول بالتفصيل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اعتقد الرجل العطشان بأنّ الخادم يقوم بسقيه بقدرة مستقلة قائمة بنفسه فهو شرك قطعاً، وأمّا لو اعتقد بأنّه يقوم بهذا العمل بإذن من اللّه سبحانه وإقدار منه فهو نفس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أنّ الفارق بين التوحيد والشرك هو كون الفاعل مستقلاً في عمله أو كونه مأذوناً من غير فرق بين الأُمور العادية والغيبية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الحكيم ينسب أُموراً غيبية نابعة عن قدرة فوق الطبيعية لأُناس، نظير</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189685_73709187"/>
      <w:bookmarkStart w:id="306" w:name="_Toc116"/>
      <w:bookmarkEnd w:id="305"/>
      <w:r>
        <w:rPr/>
        <w:t>1</w:t>
      </w:r>
      <w:r>
        <w:rPr>
          <w:rtl w:val="true"/>
        </w:rPr>
        <w:t xml:space="preserve">. </w:t>
      </w:r>
      <w:r>
        <w:rPr>
          <w:rtl w:val="true"/>
        </w:rPr>
        <w:t>القدرة الغيبية للنبي يوسف عليه السلام</w:t>
      </w:r>
      <w:bookmarkEnd w:id="306"/>
    </w:p>
    <w:p>
      <w:pPr>
        <w:pStyle w:val="BookText"/>
        <w:rPr/>
      </w:pPr>
      <w:r>
        <w:rPr>
          <w:rFonts w:ascii="Amiri" w:hAnsi="Amiri" w:eastAsia="Amiri" w:cs="Amiri"/>
          <w:color w:val="111111"/>
          <w:sz w:val="28"/>
          <w:sz w:val="28"/>
          <w:szCs w:val="28"/>
          <w:rtl w:val="true"/>
          <w:lang w:bidi="ar-SA"/>
        </w:rPr>
        <w:t xml:space="preserve">قال يوسف لإخوته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إنّ ظاهر الآيتين يدلّ على أنّ النبيّ يعقوب عليه السلام استعاد بصره الكامل بالقدرة الغيبية التي استخدمها يوسف عليه السلام من أجل ذلك، ومن الواضح أنّ استعادة يعقوب بصره لم تكن من اللّه بصورة مستقلّة مجردة عن الاستعاثة به سبحانه، بل تحققّت بإذنه سبحانه، بواسطة النبيّ يوسف 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إرادة النبيّ يوسف عليه السلام كانت هي السبب في عودة بصر أبيه كاملاً، ولولا</w:t>
      </w:r>
      <w:bookmarkStart w:id="307" w:name="pg16780_177051"/>
    </w:p>
    <w:p>
      <w:pPr>
        <w:pStyle w:val="BookText"/>
        <w:rPr/>
      </w:pPr>
      <w:bookmarkEnd w:id="307"/>
      <w:r>
        <w:rPr>
          <w:rFonts w:ascii="Amiri" w:hAnsi="Amiri" w:eastAsia="Amiri" w:cs="Amiri"/>
          <w:color w:val="111111"/>
          <w:sz w:val="28"/>
          <w:sz w:val="28"/>
          <w:szCs w:val="28"/>
          <w:rtl w:val="true"/>
          <w:lang w:bidi="ar-SA"/>
        </w:rPr>
        <w:t>ذلك لما أمر إخوانه بأن يذهبوا بقميصه ويلقوه على وجه أبيه، بل كان يكفي أن يدعو اللّه تعالى لأن يعيد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التصرّف الغيبيّ صدر من أحد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المجرى الطبيعي لكن بإذنه سبحانه، ولا يقدر على هذا التصرّف إلّامن منحه اللّه السلطة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بهذا العمل إعجازاً وإثباتاً لنبوته بل تفضّلاً منه لأبيه وتكريماً له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189687_73709187"/>
      <w:bookmarkStart w:id="309" w:name="_Toc117"/>
      <w:bookmarkEnd w:id="308"/>
      <w:r>
        <w:rPr/>
        <w:t>2</w:t>
      </w:r>
      <w:r>
        <w:rPr>
          <w:rtl w:val="true"/>
        </w:rPr>
        <w:t xml:space="preserve">. </w:t>
      </w:r>
      <w:r>
        <w:rPr>
          <w:rtl w:val="true"/>
        </w:rPr>
        <w:t>القدرة الغيبية للنبي سليمان عليه السلام</w:t>
      </w:r>
      <w:bookmarkEnd w:id="309"/>
    </w:p>
    <w:p>
      <w:pPr>
        <w:pStyle w:val="BookText"/>
        <w:rPr/>
      </w:pPr>
      <w:r>
        <w:rPr>
          <w:rFonts w:ascii="Amiri" w:hAnsi="Amiri" w:eastAsia="Amiri" w:cs="Amiri"/>
          <w:color w:val="111111"/>
          <w:sz w:val="28"/>
          <w:sz w:val="28"/>
          <w:szCs w:val="28"/>
          <w:rtl w:val="true"/>
          <w:lang w:bidi="ar-SA"/>
        </w:rPr>
        <w:t>إنّ نبي اللّه سليمان عليه السلام كان يتمتّع بقدرات غيبية متعدّدة، وقد عبّر عن تلك المواهب والمنح الإلهية العظيمة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أُوتِينا مِنْ كُلِّ شَيْ‌ءٍ‌</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وقد جاء تفصيل الحديث عن تلك المواهب والقدرات الإلهية الممنوحة له في السور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النمل من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ص من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نشير إلى جميع القدرات الغيبية التي منحت له كرامة لا إعجازاً، بل نشير إلى مورد واحد، ليُعلم أنّ الاعتماد على تلك القدرة لا ينافي التوحيد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يحدّثنا القرآن الكريم أنّ النبي سليمان عليه السلام طلب من الحاضرين عنده أن يحضر أحدهم عرش بلقيس، بقدرة غيبية وخارقة للطبيعة، فسألهم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يَأْتِينِي بِعَرْشِها قَبْلَ أَنْ يَأْتُونِي مُسْلِمِينَ‌</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وعندئذٍ أُجيب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p>
    <w:p>
      <w:pPr>
        <w:pStyle w:val="BookText"/>
        <w:rPr/>
      </w:pPr>
      <w:r>
        <w:rPr>
          <w:rFonts w:ascii="Amiri" w:hAnsi="Amiri" w:eastAsia="Amiri" w:cs="Amiri"/>
          <w:color w:val="111111"/>
          <w:sz w:val="28"/>
          <w:sz w:val="28"/>
          <w:szCs w:val="28"/>
          <w:rtl w:val="true"/>
          <w:lang w:bidi="ar-SA"/>
        </w:rPr>
        <w:t>ما اقترحه عفريت من الجن، والآخر ما أشار إليه مَن عنده علم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 بِهِ قَبْلَ أَنْ تَقُومَ مِنْ مَقامِكَ وَ إِنِّي عَلَيْهِ لَقَوِيٌّ أَمِينٌ‌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أنّه يأتي بعرش بلقيس من اليمن إلى فلسطين قبل أن ينفضّ مجلس سليمان، ومعنى ذلك أنّه يأتي به ضمن ساعة أو ساعتين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يرتدّ طرف سليمان عليه السلام إلّاوقد رأى حضور العرش لديه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 قالَ هذا مِنْ فَضْلِ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فلو صحّ ما ذكره المودودي من أنّ طلب الأعمال الخارقة التي لا يقوم بها إلّااللّه شرك،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بشرك سليمان عليه السلام،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كَفَرَ سُلَيْمانُ وَ لكِنَّ الشَّياطِينَ كَفَرُوا</w:t>
      </w:r>
      <w:r>
        <w:rPr>
          <w:rFonts w:eastAsia="Amiri" w:cs="Amiri" w:ascii="Amiri" w:hAnsi="Amiri"/>
          <w:color w:val="111111"/>
          <w:sz w:val="28"/>
          <w:szCs w:val="28"/>
          <w:rtl w:val="true"/>
          <w:lang w:bidi="ar-SA"/>
        </w:rPr>
        <w:t xml:space="preserve">) </w:t>
      </w:r>
      <w:r>
        <w:rPr>
          <w:rStyle w:val="FootnoteAnchor"/>
          <w:rtl w:val="true"/>
        </w:rPr>
        <w:footnoteReference w:id="334"/>
      </w:r>
      <w:bookmarkStart w:id="310" w:name="pg16780_177053"/>
    </w:p>
    <w:p>
      <w:pPr>
        <w:pStyle w:val="Heading6"/>
        <w:numPr>
          <w:ilvl w:val="5"/>
          <w:numId w:val="1"/>
        </w:numPr>
        <w:rPr/>
      </w:pPr>
      <w:bookmarkStart w:id="311" w:name="__RefHeading___Toc7189689_73709187"/>
      <w:bookmarkStart w:id="312" w:name="_Toc118"/>
      <w:bookmarkEnd w:id="310"/>
      <w:bookmarkEnd w:id="311"/>
      <w:r>
        <w:rPr>
          <w:rtl w:val="true"/>
        </w:rPr>
        <w:t>التوسّل بالأنبياء والأولياء بالصور الثلاث</w:t>
      </w:r>
      <w:bookmarkEnd w:id="312"/>
    </w:p>
    <w:p>
      <w:pPr>
        <w:pStyle w:val="BookText"/>
        <w:rPr/>
      </w:pPr>
      <w:r>
        <w:rPr>
          <w:rFonts w:ascii="Amiri" w:hAnsi="Amiri" w:eastAsia="Amiri" w:cs="Amiri"/>
          <w:color w:val="111111"/>
          <w:sz w:val="28"/>
          <w:sz w:val="28"/>
          <w:szCs w:val="28"/>
          <w:rtl w:val="true"/>
          <w:lang w:bidi="ar-SA"/>
        </w:rPr>
        <w:t>ومن فروع هذه المسألة، مسألة التوسّل بالأنبياء والأولياء، فالوهابيّون يرون أنّ التوسّل على أقسام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جائزة بلا إشكال، والثلاثة الأخيرة إمّا محرمة أو موجبة للشرك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فالتوسّل بأسماء اللّه أوّلاً، أو التوسّل بالأعمال الصالحة التي قام بها المتوسّل طول عمره، أو التوسّل بدعاء المؤمن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الثلاثة الممنوعة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بدعاء الميّت من غير فرق بين النبي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بمنزلة النبي وجاهه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بذات النبي ونفسه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أنّهم يمنعون الأخير أشد المنع فنحن ندرسه حتى يتبيّن به حكم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في مستدركه عن عثمان بن حنيف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وإن شئت صَبَرت وهو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فأمره صلى الله عليه و آله و سلم أن يتوضّأ ويحسن وضوءه ويصلّي ركعتين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w:t>
      </w:r>
      <w:r>
        <w:rPr>
          <w:rStyle w:val="FootnoteAnchor"/>
          <w:rtl w:val="true"/>
        </w:rPr>
        <w:footnoteReference w:id="335"/>
      </w:r>
      <w:bookmarkStart w:id="313" w:name="pg16780_177054"/>
    </w:p>
    <w:p>
      <w:pPr>
        <w:pStyle w:val="Heading6"/>
        <w:numPr>
          <w:ilvl w:val="5"/>
          <w:numId w:val="1"/>
        </w:numPr>
        <w:rPr/>
      </w:pPr>
      <w:bookmarkStart w:id="314" w:name="__RefHeading___Toc7189691_73709187"/>
      <w:bookmarkStart w:id="315" w:name="_Toc119"/>
      <w:bookmarkEnd w:id="313"/>
      <w:bookmarkEnd w:id="314"/>
      <w:r>
        <w:rPr>
          <w:rtl w:val="true"/>
        </w:rPr>
        <w:t>كلام حول سند الحديث</w:t>
      </w:r>
      <w:bookmarkEnd w:id="315"/>
    </w:p>
    <w:p>
      <w:pPr>
        <w:pStyle w:val="BookText"/>
        <w:rPr/>
      </w:pPr>
      <w:r>
        <w:rPr>
          <w:rFonts w:ascii="Amiri" w:hAnsi="Amiri" w:eastAsia="Amiri" w:cs="Amiri"/>
          <w:color w:val="111111"/>
          <w:sz w:val="28"/>
          <w:sz w:val="28"/>
          <w:szCs w:val="28"/>
          <w:rtl w:val="true"/>
          <w:lang w:bidi="ar-SA"/>
        </w:rPr>
        <w:t>لا شكّ أنّ الحديث صحيح بلا كلام لم يخدش أحد في سنده، كيف وقد رواه الحاكم في مستدركه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كما أقرّ الذهبي بصحّته في تلخيصه للمستدرك المطبوع في هامشه، مضافاً إلى أنّ كثيراً من الأعلام قد رووا هذا الحديث،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في سننه برقم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في 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إلى غير ذلك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 على جواز التوسّل بنفس النبي صلى الله عليه و آله و سلم العزيزة المكرمة فمن جهات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توسّل بذات النبي صلى الله عليه و آله و سلم مرّتين؛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بفعلين 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بنبيّك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 بنبيّك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بك إلى ربّي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قدّمت هذا الحديث إلى مَن يحسن اللغة العربية ويتمتّع بصفاء فكر بعيد عن مجادلات الوهابيّين وشبهاتهم 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أمر النبي صلى الله عليه و آله و سلم ذلك الأعمى عندما علّمه ذلك الدعاء؟ لأجابك أنّ النبي صلى الله عليه و آله و سلم علّمه دعاءً تضمّن</w:t>
      </w:r>
      <w:bookmarkStart w:id="316" w:name="pg16780_177055"/>
    </w:p>
    <w:p>
      <w:pPr>
        <w:pStyle w:val="BookText"/>
        <w:rPr/>
      </w:pPr>
      <w:bookmarkEnd w:id="316"/>
      <w:r>
        <w:rPr>
          <w:rFonts w:ascii="Amiri" w:hAnsi="Amiri" w:eastAsia="Amiri" w:cs="Amiri"/>
          <w:color w:val="111111"/>
          <w:sz w:val="28"/>
          <w:sz w:val="28"/>
          <w:szCs w:val="28"/>
          <w:rtl w:val="true"/>
          <w:lang w:bidi="ar-SA"/>
        </w:rPr>
        <w:t>التوسّل إلى اللّه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الذي اسمه محمد، فجعل ذاته المقدّسة ذريعة ووسيلة لقبول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الوهابيّين لما وقفوا أمام هذا الحديث الذي يهدم ما اختلقوا من الأوهام، التجأوا إلى تأويل الحديث وهو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معنى الحديث حسب زعمهم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بدعاء نبيّك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أتوجّه إليك بدعاء نبيّك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بدعاء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بدعاء نبيّ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بدعاء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أتوجّه بدعائك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نسأل مشايخ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أن نتصرّف بالحديث بهذا الشكل من التصرّف الذي يردّه كلّ عارف باللغة العربية أو كلّ عارف بالأحاديث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مكان أن يدرسوا القرآن والحديث ثم يعكسوا عقائدهم عليهما، عكسوا الأمر فحاولوا تطبيق القرآن والحديث على عقائدهم</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7189693_73709187"/>
      <w:bookmarkStart w:id="318" w:name="_Toc120"/>
      <w:bookmarkEnd w:id="317"/>
      <w:r>
        <w:rPr>
          <w:rtl w:val="true"/>
        </w:rPr>
        <w:t>توسّل عمر بن الخطاب بعمّ النبيّ صلى الله عليه و آله و سلم</w:t>
      </w:r>
      <w:bookmarkEnd w:id="3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وأحب أن أذكر هنا نكتة يظهر منها بطلان ما يذكره كثير منهم،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كان إذا قُحِطُوا استسقى بالعباس بن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نتوسّل إليك بنبيّنا فتسقينا، وإنّا نتوسّل إليك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لا شكّ أنّ هذا الحديث من أوضح الدلائل على جواز التوسّل بالذات حيث قدّم الخليفة عمّ النبيّ صلى الله عليه و آله و سلم وسيلة وذريعة بينه وبين اللّه، حتى روى غير واحد كيفية توسّل عمر بالعباس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نستسقيك بعمّ نبيّك ونستشفع إليك بشيبته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بعمّي سقى اللّه الحجاز وأهله عشية يستسقي بشيبته عمر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ثمّ إنّ الوهابيين مكان أن يأخذوا الحديث مقياساً لتصحيح التوسّل بدأوا النقاش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التوسل بالذات أمراً جائزاً لما عدل عمر بن الخطاب عن التوسّل بالنبي إلى التوسّل بالعباس، ولما ترك الأفضل بالرجوع إلى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غاب عنهم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الخليفة ما اختار العباس بن عبد المطلب مع وجود الأفضل منه بين صحابة النبي صلى الله عليه و آله و سلم كعثمان وغيره، إلّالأنّ العباس كان من أرحام النبي صلى الله عليه و آله و سلم فكان التوسّل به في الواقع توسّلاً بنفس النبي صلى الله عليه و آله و سلم،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نتوسّل إليك بعمّ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اختار العباس في مقام التوسّل مع وجود الأفضل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اختار العباس دون النبي فلأجل أنّ العباس كان يشاركهم في المصير وفي السعة والضيق دون النبي صلى الله عليه و آله و سلم الذي انتقل إلى جوار ربّه، فوسط بينه وبين اللّه إنساناً طاهراً مشاركاً لهم في الضرّاء والسرّاء، ولذلك عدل عن التوسّل بالنبي مباشرة إلى عمّه المتواجد بينهم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أنّ المسلمين أُمروا في صلاة الاستسقاء بصحبة الشيوخ والأطفال إلى الصحراء، معربين بعملهم هذا أنّ المستسقين وإن لم يكونوا أهلاً</w:t>
      </w:r>
      <w:bookmarkStart w:id="319" w:name="pg16780_177057"/>
    </w:p>
    <w:p>
      <w:pPr>
        <w:pStyle w:val="BookText"/>
        <w:rPr/>
      </w:pPr>
      <w:bookmarkEnd w:id="319"/>
      <w:r>
        <w:rPr>
          <w:rFonts w:ascii="Amiri" w:hAnsi="Amiri" w:eastAsia="Amiri" w:cs="Amiri"/>
          <w:color w:val="111111"/>
          <w:sz w:val="28"/>
          <w:sz w:val="28"/>
          <w:szCs w:val="28"/>
          <w:rtl w:val="true"/>
          <w:lang w:bidi="ar-SA"/>
        </w:rPr>
        <w:t>للسقي ولكن هؤلاء الأبرياء أهل لأن تشملهم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أن يخرج الصبيان ويتنظّفوا للاستسقاء وكبار النساء ومن لا هيبة منهن ولا أُحب خروج ذات الهيبة</w:t>
      </w:r>
      <w:r>
        <w:rPr>
          <w:rFonts w:eastAsia="Amiri" w:cs="Amiri" w:ascii="Amiri" w:hAnsi="Amiri"/>
          <w:color w:val="111111"/>
          <w:sz w:val="28"/>
          <w:szCs w:val="28"/>
          <w:rtl w:val="true"/>
          <w:lang w:bidi="ar-SA"/>
        </w:rPr>
        <w:t>.</w:t>
      </w:r>
      <w:r>
        <w:rPr>
          <w:rStyle w:val="FootnoteAnchor"/>
          <w:rtl w:val="true"/>
        </w:rPr>
        <w:footnoteReference w:id="338"/>
      </w:r>
    </w:p>
    <w:p>
      <w:pPr>
        <w:pStyle w:val="Heading6"/>
        <w:numPr>
          <w:ilvl w:val="5"/>
          <w:numId w:val="1"/>
        </w:numPr>
        <w:rPr/>
      </w:pPr>
      <w:bookmarkStart w:id="320" w:name="__RefHeading___Toc7189695_73709187"/>
      <w:bookmarkStart w:id="321" w:name="_Toc121"/>
      <w:bookmarkEnd w:id="320"/>
      <w:r>
        <w:rPr>
          <w:rtl w:val="true"/>
        </w:rPr>
        <w:t>شبهة كون النبيّ ميّتاً</w:t>
      </w:r>
      <w:bookmarkEnd w:id="321"/>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أنبياء اللّه والنبي الخاتم ميّتون والميّت لا يقدر على شيء، فلو صحّ ما ذُكر من الاعتقاد بالقدرة الغيبية أو جواز التوسّل فإنّما يصحّ إذا كان المتوسّل به حيّاً لا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أغرب الشبه وأتفهها، وذلك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 ميّتاً فما معنى قول المسلمين جميعاً في صلاتهم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ميّتاً فما معنى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ملائكة سياحين في الأرض يبلغوني عن أُمّتي السلام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ميّتاً فما معنى كون النبي من شهداء الأعمال يوم القيامة، فهل يمكن أن يكون الميّت شاهداً على الأعمال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أفيمكن أن يكون الشهداء أحياء عند ربّهم يرزقون ولكن نبي الشهداء غير حيّ لا يدرك شيئاً ولا يعرف‌؟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كون النبيّ حيّاً هو الحياة البرزخية، فالنبيّ انتقل بموته</w:t>
      </w:r>
      <w:bookmarkStart w:id="322" w:name="pg16780_177058"/>
    </w:p>
    <w:p>
      <w:pPr>
        <w:pStyle w:val="BookText"/>
        <w:rPr/>
      </w:pPr>
      <w:bookmarkEnd w:id="322"/>
      <w:r>
        <w:rPr>
          <w:rFonts w:ascii="Amiri" w:hAnsi="Amiri" w:eastAsia="Amiri" w:cs="Amiri"/>
          <w:color w:val="111111"/>
          <w:sz w:val="28"/>
          <w:sz w:val="28"/>
          <w:szCs w:val="28"/>
          <w:rtl w:val="true"/>
          <w:lang w:bidi="ar-SA"/>
        </w:rPr>
        <w:t>من حياة إلى حياة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حال طلب الشفاعة والاستغاثة والتوسّل بالنبي والأولياء والأُمور التي زعموا أنّها شرك لاستلزامها الاعتقاد بوجود قدرة غيبية فيهم، وإليك الكلام في سائر المسائل الّتي يكفّرون بها عامة المسلمين</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7189697_73709187"/>
      <w:bookmarkStart w:id="324" w:name="_Toc122"/>
      <w:bookmarkEnd w:id="323"/>
      <w:r>
        <w:rPr>
          <w:rtl w:val="true"/>
        </w:rPr>
        <w:t>المسألة الثانية</w:t>
      </w:r>
      <w:r>
        <w:rPr>
          <w:rtl w:val="true"/>
        </w:rPr>
        <w:t xml:space="preserve">: </w:t>
      </w:r>
      <w:r>
        <w:rPr>
          <w:rtl w:val="true"/>
        </w:rPr>
        <w:t>الصلاة عند قبور الأنبياء والأولياء</w:t>
      </w:r>
      <w:bookmarkEnd w:id="324"/>
    </w:p>
    <w:p>
      <w:pPr>
        <w:pStyle w:val="Heading6"/>
        <w:numPr>
          <w:ilvl w:val="5"/>
          <w:numId w:val="1"/>
        </w:numPr>
        <w:rPr/>
      </w:pPr>
      <w:bookmarkStart w:id="325" w:name="__RefHeading___Toc7189699_73709187"/>
      <w:bookmarkStart w:id="326" w:name="_Toc123"/>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إنّ الصلاة عند قبور الأولياء ليس إلّالأجل التبرّك بالمكان الذي دفنت فيه تلك الذوات الطاهرة المقدّسة أو مسّت أجسادهم الطاهرة وبذلك صارت مباركة، وهذا هو أحد الأُمور الواضحة في الشريعة المقدّسة، بشرط أن يتجرّد الإنسان عمّا اتّخذ هؤلاء من الضوابط والقواعد للتوحيد والشرك، وإليك بعض ما ورد</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7189701_73709187"/>
      <w:bookmarkStart w:id="328" w:name="_Toc124"/>
      <w:bookmarkEnd w:id="327"/>
      <w:r>
        <w:rPr/>
        <w:t>1</w:t>
      </w:r>
      <w:r>
        <w:rPr>
          <w:rtl w:val="true"/>
        </w:rPr>
        <w:t xml:space="preserve">. </w:t>
      </w:r>
      <w:r>
        <w:rPr>
          <w:rtl w:val="true"/>
        </w:rPr>
        <w:t>الصلاة في مقام إبراهيم عليه السلام</w:t>
      </w:r>
      <w:bookmarkEnd w:id="3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سبحانه المسلمين بالصلاة في المقام الذي قام به النبي إبراهيم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فما هو الوجه في أمر المسلمين بالصلاة في موضع إبراهيم‌؟ ما هذا إلّاللتبرّك به، فقد مسّ جسده الطاهر هذا المقام وصار مباركاً عبر القرون إلى يوم القيامة</w:t>
      </w:r>
      <w:r>
        <w:rPr>
          <w:rFonts w:eastAsia="Amiri" w:cs="Amiri" w:ascii="Amiri" w:hAnsi="Amiri"/>
          <w:color w:val="111111"/>
          <w:sz w:val="28"/>
          <w:szCs w:val="28"/>
          <w:rtl w:val="true"/>
          <w:lang w:bidi="ar-SA"/>
        </w:rPr>
        <w:t>.</w:t>
      </w:r>
      <w:bookmarkStart w:id="329" w:name="pg16780_177059"/>
    </w:p>
    <w:p>
      <w:pPr>
        <w:pStyle w:val="Heading6"/>
        <w:numPr>
          <w:ilvl w:val="5"/>
          <w:numId w:val="1"/>
        </w:numPr>
        <w:rPr/>
      </w:pPr>
      <w:bookmarkStart w:id="330" w:name="__RefHeading___Toc7189703_73709187"/>
      <w:bookmarkStart w:id="331" w:name="_Toc125"/>
      <w:bookmarkEnd w:id="329"/>
      <w:bookmarkEnd w:id="330"/>
      <w:r>
        <w:rPr/>
        <w:t>2</w:t>
      </w:r>
      <w:r>
        <w:rPr>
          <w:rtl w:val="true"/>
        </w:rPr>
        <w:t xml:space="preserve">. </w:t>
      </w:r>
      <w:r>
        <w:rPr>
          <w:rtl w:val="true"/>
        </w:rPr>
        <w:t>إقامة الصلاة على قبور أصحاب الكهف</w:t>
      </w:r>
      <w:bookmarkEnd w:id="331"/>
    </w:p>
    <w:p>
      <w:pPr>
        <w:pStyle w:val="BookText"/>
        <w:rPr/>
      </w:pPr>
      <w:r>
        <w:rPr>
          <w:rFonts w:ascii="Amiri" w:hAnsi="Amiri" w:eastAsia="Amiri" w:cs="Amiri"/>
          <w:color w:val="111111"/>
          <w:sz w:val="28"/>
          <w:sz w:val="28"/>
          <w:szCs w:val="28"/>
          <w:rtl w:val="true"/>
          <w:lang w:bidi="ar-SA"/>
        </w:rPr>
        <w:t>إنّ أصحاب الكهف بعد أن انكشف خبرهم اختلف الناس في كيفية احترامهم وتكريمهم وانقسموا إلى صنفين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 رَبُّهُمْ أَعْلَمُ بِهِمْ‌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التعبير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القائلين به لم يكونوا من الموحّدين، حيث حقّروا أُمورهم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 رَبُّهُمْ أَعْلَمُ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ربنا أعلم بأحوالهم من خير وشرّ وصلاح وفساد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 آخر دعوا إلى بناء مسجد على الكهف كي يكون مركزاً لعبادة اللّه بجوار قبور الذين رفضوا عبادة غير اللّه وخرجوا من ديارهم، هاربين من الكفر ولاجئين إلى توحيد اللّه وطاعته، وقد حكى عنهم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أصحاب الكهف، أي وقفوا على مكانتهم وكشفوا الستر عن حقيقة أمرهم،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أعاظم المفسّرين على أنّ القائلين بذلك هم الموحّدون،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نبني عليهم بنياناً فإنّهم أبناء آبائنا، 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أحقّ بهم هم منّا نبني عليهم مسجداً نصلّي فيه ونعبد اللّه فيه</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أن يبنى على باب الكهف مسجد، وهذا القول يدلّ على أنّ أُولئك الأقوام كانوا عارفين باللّه معترفين بالعبادة والصلاة</w:t>
      </w:r>
      <w:r>
        <w:rPr>
          <w:rFonts w:eastAsia="Amiri" w:cs="Amiri" w:ascii="Amiri" w:hAnsi="Amiri"/>
          <w:color w:val="111111"/>
          <w:sz w:val="28"/>
          <w:szCs w:val="28"/>
          <w:rtl w:val="true"/>
          <w:lang w:bidi="ar-SA"/>
        </w:rPr>
        <w:t>.</w:t>
      </w:r>
      <w:r>
        <w:rPr>
          <w:rStyle w:val="FootnoteAnchor"/>
          <w:rtl w:val="true"/>
        </w:rPr>
        <w:footnoteReference w:id="343"/>
      </w:r>
      <w:bookmarkStart w:id="332" w:name="pg16780_177060"/>
    </w:p>
    <w:p>
      <w:pPr>
        <w:pStyle w:val="BookText"/>
        <w:rPr/>
      </w:pPr>
      <w:bookmarkEnd w:id="332"/>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وملكهم وكانوا أولى بهم وبالبناء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المسلمون ويتبرّكون بمكانهم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وقال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وملكهم المسلم؛ لأنّهم بنوا عليهم مسجداً يصلّي فيه المسلمون، ويتبرّكون بمكانهم، وكانوا أولى بهم وبالبناء عليهم حفظاً لتربتهم بها، وضنّاً بها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إلى غير ذلك من الكلمات في تفاسير الأعاظم، والّتي يتراءى منها أنّ بناء المسجد كان على باب الكهف أو عند الكهف، على خلاف ظاهر الآية، فإنّ ظاهرها يدلّ على أنّ المقترح هو بناء المسجد على قبورهم</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7189705_73709187"/>
      <w:bookmarkStart w:id="334" w:name="_Toc126"/>
      <w:bookmarkEnd w:id="333"/>
      <w:r>
        <w:rPr>
          <w:rtl w:val="true"/>
        </w:rPr>
        <w:t>كيفية الاستدلال</w:t>
      </w:r>
      <w:bookmarkEnd w:id="334"/>
    </w:p>
    <w:p>
      <w:pPr>
        <w:pStyle w:val="BookText"/>
        <w:rPr/>
      </w:pPr>
      <w:r>
        <w:rPr>
          <w:rFonts w:ascii="Amiri" w:hAnsi="Amiri" w:eastAsia="Amiri" w:cs="Amiri"/>
          <w:color w:val="111111"/>
          <w:sz w:val="28"/>
          <w:sz w:val="28"/>
          <w:szCs w:val="28"/>
          <w:rtl w:val="true"/>
          <w:lang w:bidi="ar-SA"/>
        </w:rPr>
        <w:t>الاستدلال بالآية ليس مبنيّاً على استصحاب حكم شرع مَن قبلنا، بل مبني على أمر آخر وهو أنّا نرى أنّ القرآن الكريم يذكر اقتراح الطائفتين بلا نقد ولا ردّ، ومن البعيد جدّاً أن يذكر اللّه تعالى كلاماً للمشركين ويمرّ عليه بلا نقد إجمالي ولا تفصيلي، أو يذكر اقتراحاً للموحّدين وكان أمراً محرّماً في شرعنا من دون إيعاز إلى ردّه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النوع من النقل تقرير من القرآن على صحّة اقتراح أُولئك المؤمنين، ويدلّ على أنّ سيرة المؤمنين الموحّدين في العالم كلّه كانت جارية على هذا الأمر، وكان يُعتبر عندهم نوعاً من الاحترام لصاحب القبر وتبرّكاً به</w:t>
      </w:r>
      <w:r>
        <w:rPr>
          <w:rFonts w:eastAsia="Amiri" w:cs="Amiri" w:ascii="Amiri" w:hAnsi="Amiri"/>
          <w:color w:val="111111"/>
          <w:sz w:val="28"/>
          <w:szCs w:val="28"/>
          <w:rtl w:val="true"/>
          <w:lang w:bidi="ar-SA"/>
        </w:rPr>
        <w:t>.</w:t>
      </w:r>
      <w:bookmarkStart w:id="335" w:name="pg16780_177061"/>
    </w:p>
    <w:p>
      <w:pPr>
        <w:pStyle w:val="Heading6"/>
        <w:numPr>
          <w:ilvl w:val="5"/>
          <w:numId w:val="1"/>
        </w:numPr>
        <w:rPr/>
      </w:pPr>
      <w:bookmarkStart w:id="336" w:name="__RefHeading___Toc7189707_73709187"/>
      <w:bookmarkStart w:id="337" w:name="_Toc127"/>
      <w:bookmarkEnd w:id="335"/>
      <w:bookmarkEnd w:id="336"/>
      <w:r>
        <w:rPr>
          <w:rtl w:val="true"/>
        </w:rPr>
        <w:t>دليل المخالف</w:t>
      </w:r>
      <w:bookmarkEnd w:id="337"/>
    </w:p>
    <w:p>
      <w:pPr>
        <w:pStyle w:val="BookText"/>
        <w:rPr/>
      </w:pPr>
      <w:r>
        <w:rPr>
          <w:rFonts w:ascii="Amiri" w:hAnsi="Amiri" w:eastAsia="Amiri" w:cs="Amiri"/>
          <w:color w:val="111111"/>
          <w:sz w:val="28"/>
          <w:sz w:val="28"/>
          <w:szCs w:val="28"/>
          <w:rtl w:val="true"/>
          <w:lang w:bidi="ar-SA"/>
        </w:rPr>
        <w:t>تمسّك الوهابيون على حرمة الصلاة عند قبور الأولياء بالروايات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أنبيائهم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لابرزوا قبره، غير أنّي أخشى أن يتّخذ مسجداً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وروى مسلم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كان قبلكم كانوا يتّخذون قبور أنبيائهم وصالحيهم مساجد، ألا فلا تتّخذوا القبور مساجد، إنّي أنهاكم عن ذلك</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وروى أيضاً أنّ أُمّ حبيبة وأُمّ سلمة ذكرتا كنيسة رأينها في الحبشة، فيها تصاوير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إذا كان فيهم الرجل الصالح فمات، بنوا على قبره مسجداً وصوّروا فيه تلك الصور، أُولئك شرار الخلق عند اللّه يوم القيامة</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الحديثين الأوّلين مهما صحّ سندهما لا يخلو من شذوذ، إذ من المعلوم من حياة اليهود أنّهم كانوا يقتلون أنبياءهم عبر القرون، كما يحكي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سَنَكْتُبُ ما قالُوا وَ قَتْلَهُمُ الْأَنْبِياءَ بِغَيْرِ حَقٍّ‌</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إنّ تأكيد القرآن على عملهم الفظيع يدلّ على أنّ قتل الأنبياء كان عندهم سيرة مستمرة تتحقّق في زمن بعد زمن، فالقوم الذين هذا شأنهم وتكريمهم لأنبيائهم هل يتّخذون قبور أوليائهم وصالحيهم، مساجد يصلّون في جوارهم</w:t>
      </w:r>
      <w:r>
        <w:rPr>
          <w:rFonts w:eastAsia="Amiri" w:cs="Amiri" w:ascii="Amiri" w:hAnsi="Amiri"/>
          <w:color w:val="111111"/>
          <w:sz w:val="28"/>
          <w:szCs w:val="28"/>
          <w:rtl w:val="true"/>
          <w:lang w:bidi="ar-SA"/>
        </w:rPr>
        <w:t>.</w:t>
      </w:r>
      <w:bookmarkStart w:id="338" w:name="pg16780_177062"/>
    </w:p>
    <w:p>
      <w:pPr>
        <w:pStyle w:val="BookText"/>
        <w:rPr/>
      </w:pPr>
      <w:bookmarkEnd w:id="338"/>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الرواية الثالثة من أنّ المرأتين ذكرتا كنيسة رأينها في الحبشة فيها تصاوير لرسول اللّه،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صيت رسالة الرسول في أوائل البعثة وصل إلى الحبشة وصوّروا تصوير رسول اللّه في كنيستهم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أيضاً من لفظة رسول اللّه النبي الخاتم لا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رواه النسائي والبيهقي والعيني مجرداً عن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فالاستدلال بما ذكر من الروايات على موضوع اشتهر خلافه بين المسلمين أمر بعيد</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7189709_73709187"/>
      <w:bookmarkStart w:id="340" w:name="_Toc128"/>
      <w:bookmarkEnd w:id="339"/>
      <w:r>
        <w:rPr>
          <w:rtl w:val="true"/>
        </w:rPr>
        <w:t>إيضاح مفاد الروايات</w:t>
      </w:r>
      <w:bookmarkEnd w:id="340"/>
    </w:p>
    <w:p>
      <w:pPr>
        <w:pStyle w:val="BookText"/>
        <w:rPr/>
      </w:pPr>
      <w:r>
        <w:rPr>
          <w:rFonts w:ascii="Amiri" w:hAnsi="Amiri" w:eastAsia="Amiri" w:cs="Amiri"/>
          <w:color w:val="111111"/>
          <w:sz w:val="28"/>
          <w:sz w:val="28"/>
          <w:szCs w:val="28"/>
          <w:rtl w:val="true"/>
          <w:lang w:bidi="ar-SA"/>
        </w:rPr>
        <w:t>هذا وعلى فرض الصحّة يجب التحقيق والتأمّل فيما تهدف إليه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قرائن تشهد على أنّ اليهود والنصارى كانوا يتّخذون قبور أنبيائهم قبلة لهم تصرفهم عن التوجّه إلى القبلة الواجبة، بل ربّما يعبدون أنبيائهم بجوار قبورهم بدل أن يعبدوا اللّه الواحد القهّار، أو كانوا يجعلون أنبياءهم شركاء مع اللّه سبحانه في العبادة، والشاهد على هذا المعنى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الهدف من وضع صور الصالحين في حديث أُمّ حبيبة وأمّ سلمة بجوار قبورهم إنّما كان لأجل السجود عليها وعلى القبر بحيث يكون القبر والصورة قبلة لهم، أو كانتا كالصنم المنصوب يعبدان ويسجد لهما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اللائح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مع ما عليه المسيحيّون من عبادة المسيح ووضع التصاوير والتماثيل المجسّمة له وللسيّدة مريم عليها السلام، ومع هذا المعنى فلا يمكن الاستدلال بهذه الأحاديث على حرمة بناء المسجد على قبور الصالحين أو بجوارها من دون أن يكون في ذلك أيّ شيء يوحي بالعبودية، كما عليه المسيحيّون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أحمد بن حنبل يروي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مالك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لهذا الحديث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عن اتّخاذ القبور مساجد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فالحديث يدلّ على أنّ اليهود والنصارى كانوا يتّخذون القبر والصورة التي عليه إمّا قبلة يتوجّهون إليها، أو صنماً يعبدونه من دون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التأمّل في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لأبرزوا قبره، غير أنّي أخشى أن يتّخذ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ذكرنا، وذلك لأنّ المسلمين بعد رحيل رسول اللّه، وضعوا جداراً بين قبره وبين المسجد، وعندئذٍ نسأل أنّ إقامة الجدار حول القبر من أي شيء يمنع، ومن المعلوم أنّه يمنع من أمرين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قبره وثناً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قبلة يتوجّه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الصلاة بجوار القبر إلى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إلى اللّه تعالى فلا يمنع من ذلك، بشهادة أنّ المسلمين منذ أربعة عشر قرناً يصلّون بجوار قبر رسول اللّه، في حين أنّهم يعبدون اللّه ويتوجّهون إلى الكعبة، فوجود الحاجز لم يمنعهم من هذا كلّه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يؤيّد ذلك أنّ شرّاح الحديث فهموا ما ذكرنا، يقول القسطلاني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صوّروا أوائلهم الصّور ليستأنسوا بها ويتذكّروا أفعالهم الصالحة، فيجتهدوا كاجتهادهم ويعبدوا اللّه عند قبورهم، ثمّ خلفهم قوم جهلوا مرادهم، ووسوس لهم الشيطان أنّ أسلافهم كانوا يعبدون هذه الصور ويعظمونها، فحذَّر النبي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اليهود والنصارى يسجدون لقبور الأنبياء تعظيماً لشأنهم ويجعلونها قبلة يتوجّهون في الصلاة نحوها واتّخذوها أوثاناً، مُنع المسلمون في مثل ذلك، فأمّا مَن اتّخذ مسجداً في جوار صالح وقصد التبرّك بالقرب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للتعظيم ولا للتوجّه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الوعيد المذكور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ويقول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إنّما نهى النبيّ صلى الله عليه و آله و سلم عن اتّخاذ قبره وقبر غيره مسجداً، خوفاً من المبالغة في تعظيمه والافتتان به، فربّما أدّى ذلك إلى الكفر، كما جرى لكثير من الأُمم الخالية، ولمّا احتاجت الصحابة والتابعون إلى الزيادة في مسجد رسول اللّه صلى الله عليه و آله و سلم حين كثر المسلمون وامتدّت الزيادة إلى أن دخلت بيوت أُمّهات المؤمنين فيه، ومنها حجرة عائشة، مدفن رسول اللّه صلى الله عليه و آله و سلم وصاحبيه بنوا على القبر حيطاناً مرتفعة مستديرة حوله، لئلا يظهر في المسجد فيصلّي إليه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قالت عائشة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لأبرزوا قبره، غير أنّه خُشي أن يُتّخذ مسجداً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مع هذه القرائن ومع ما فهمه شرّاح الحديث لا يمكن الاستدلال به على منع الصلاة عند قبور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المطاف نذكر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نهى عن بناء المساجد، ولكن لا دليل على أنّ النهي تحريمي، بل يحتمل أن يكون نهياً تنزيهيّاً وهذا بالضبط ما استنبطه البخاري في صحيحه</w:t>
      </w:r>
    </w:p>
    <w:p>
      <w:pPr>
        <w:pStyle w:val="BookText"/>
        <w:rPr/>
      </w:pPr>
      <w:r>
        <w:rPr>
          <w:rFonts w:ascii="Amiri" w:hAnsi="Amiri" w:eastAsia="Amiri" w:cs="Amiri"/>
          <w:color w:val="111111"/>
          <w:sz w:val="28"/>
          <w:sz w:val="28"/>
          <w:szCs w:val="28"/>
          <w:rtl w:val="true"/>
          <w:lang w:bidi="ar-SA"/>
        </w:rPr>
        <w:t>حيث ذكر هذه الأحاديث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يُكره من اتّخاذ المساجد على القبور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ويشهد لهذا الحمل ما رواه النسائي من أنّ رسول اللّه صلى الله عليه و آله و سلم لعن زائرات القبور، والمتّخذين عليها المساجد والسُرج</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ومن المعلوم أنّ زيارة القبر للمرأة مكروه لا حرام، كيف وقد كانت فاطمة سيدة نساء العالمين تزور قبر عمّها حمزة في كلّ أُسبوع</w:t>
      </w:r>
      <w:r>
        <w:rPr>
          <w:rStyle w:val="FootnoteAnchor"/>
          <w:rtl w:val="true"/>
        </w:rPr>
        <w:footnoteReference w:id="355"/>
      </w:r>
      <w:r>
        <w:rPr>
          <w:rFonts w:ascii="Amiri" w:hAnsi="Amiri" w:eastAsia="Amiri" w:cs="Amiri"/>
          <w:color w:val="111111"/>
          <w:sz w:val="28"/>
          <w:sz w:val="28"/>
          <w:szCs w:val="28"/>
          <w:rtl w:val="true"/>
          <w:lang w:bidi="ar-SA"/>
        </w:rPr>
        <w:t>، وقد زارت السيدة عائشة قبر أخيها عندما وردت مكة المكرمة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ومن حسن الحظ أنّ أئمّة أهل البيت عليهم السلام فسّروا الرواية، وهذا هو أبو جعفر الباقر عليه السلام لمّا سأله زرارة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بين القبور؟ أجاب بقوله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خلالها ولا تتّخذ شيئاً منها قبلة، فإنّ رسول اللّه صلى الله عليه و آله و سلم نهى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 فإنّ اللّه تعالى لعن الذين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357"/>
      </w:r>
      <w:bookmarkStart w:id="341" w:name="pg16780_177066"/>
    </w:p>
    <w:p>
      <w:pPr>
        <w:pStyle w:val="Heading5"/>
        <w:numPr>
          <w:ilvl w:val="4"/>
          <w:numId w:val="1"/>
        </w:numPr>
        <w:rPr/>
      </w:pPr>
      <w:bookmarkStart w:id="342" w:name="__RefHeading___Toc7189711_73709187"/>
      <w:bookmarkStart w:id="343" w:name="_Toc129"/>
      <w:bookmarkEnd w:id="341"/>
      <w:bookmarkEnd w:id="342"/>
      <w:r>
        <w:rPr>
          <w:rtl w:val="true"/>
        </w:rPr>
        <w:t>المسألة الثالثة</w:t>
      </w:r>
      <w:r>
        <w:rPr>
          <w:rtl w:val="true"/>
        </w:rPr>
        <w:t xml:space="preserve">: </w:t>
      </w:r>
      <w:r>
        <w:rPr>
          <w:rtl w:val="true"/>
        </w:rPr>
        <w:t>حفظ آثار الأنبياء والسلف الصالح من قبورهم وبيوتهم وما يمتّ إليهم بصلة</w:t>
      </w:r>
      <w:bookmarkEnd w:id="343"/>
    </w:p>
    <w:p>
      <w:pPr>
        <w:pStyle w:val="Heading6"/>
        <w:numPr>
          <w:ilvl w:val="5"/>
          <w:numId w:val="1"/>
        </w:numPr>
        <w:rPr/>
      </w:pPr>
      <w:bookmarkStart w:id="344" w:name="__RefHeading___Toc7189713_73709187"/>
      <w:bookmarkStart w:id="345" w:name="_Toc130"/>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ونحن في الوقت الذي نلقي فيه هذه المحاضرات نسمع أخباراً مؤسفة عن تفجير وهدم قبور الأنبياء كيونس عليه السلام في الموصل وغيره من قبور الأنبياء والأولياء، على يد عصابة شاذّة تربّت على يد مبلّغين تأثّروا بالفكر الوهابي، ونحن ندرس هذه المسألة الهامّة لنزيل الشبه عن فكر المسلمين عسى أن يبلغ ما نقوله إلى أفكار هؤلاء فيتوبوا إلى اللّه من أعمالهم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رسالة الإسلام رسالة خالدة أبدية وسوف يبقى الإسلام ديناً للبشرية جمعاء، إلى يوم القيامة ولابدّ للأجيال القادمة على طول الزمن أن تعترف بأصالتها وتؤمن بقداستها، ولأجل تحقيق هذا الهدف يجب أن نحافظ دائماً على آثار صاحب الرسالة المحمدية كي نكون قد خطونا خطوة في سبيل استمرارية هذا الدين وبقائه على مدى العصور القادمة، حتى لا يشكّك أحد في وجود نبي الإسلام كما شكّكوا في وجود النبي عيسى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الشاب الغربي لم يعثر على شيء ملموس يؤدّي به إلى الاطمئنان بأصالة شخصية عيسى عليه السلام والركون إلى أنّها واقعة حقيقية لا يمكن التردّد فيها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تلقّى كثير منهم مسألة شخصية المسيح، أُسطورة تاريخية أشبه بقصة مجنون العامري وليلاه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ينبغي علينا نحن المسلمين أن نأخذ العبر والدروس من التاريخ المسيحي، وأن نسعى بكلّ ما أُويتنا من قوّة وجهد في سبيل صيانة الآثار الإسلامية عامّة، وآثار الرسول الأكرم صلى الله عليه و آله و سلم خاصّة مهما كانت صغيرة، وذلك لأنّها تمثّل الشاهد الحيّ على أصالتنا وأحقيّة دعوتنا، وأن نتجنّب</w:t>
      </w:r>
      <w:bookmarkStart w:id="346" w:name="pg16780_177067"/>
    </w:p>
    <w:p>
      <w:pPr>
        <w:pStyle w:val="BookText"/>
        <w:rPr/>
      </w:pPr>
      <w:bookmarkEnd w:id="346"/>
      <w:r>
        <w:rPr>
          <w:rFonts w:ascii="Amiri" w:hAnsi="Amiri" w:eastAsia="Amiri" w:cs="Amiri"/>
          <w:color w:val="111111"/>
          <w:sz w:val="28"/>
          <w:sz w:val="28"/>
          <w:szCs w:val="28"/>
          <w:rtl w:val="true"/>
          <w:lang w:bidi="ar-SA"/>
        </w:rPr>
        <w:t xml:space="preserve">عن تدميرها بمعول محاربة الشرك الذي اتّخذه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للقضاء على هذا التاريخ الأثري الملموس والمعلَم الإسلامي المهم، كي لا يصيب أجيالنا القادمة ما أصاب الشباب الغربي من داء الترديد والشكّ في شخصية السيد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هذه المسألة بكافّة جوانبها نبحث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7189715_73709187"/>
      <w:bookmarkStart w:id="348" w:name="_Toc131"/>
      <w:bookmarkEnd w:id="347"/>
      <w:r>
        <w:rPr>
          <w:rtl w:val="true"/>
        </w:rPr>
        <w:t>الأوّل</w:t>
      </w:r>
      <w:r>
        <w:rPr>
          <w:rtl w:val="true"/>
        </w:rPr>
        <w:t xml:space="preserve">: </w:t>
      </w:r>
      <w:r>
        <w:rPr>
          <w:rtl w:val="true"/>
        </w:rPr>
        <w:t>مكانة بيوت الأنبياء في القرآن الكريم</w:t>
      </w:r>
      <w:bookmarkEnd w:id="348"/>
    </w:p>
    <w:p>
      <w:pPr>
        <w:pStyle w:val="BookText"/>
        <w:rPr/>
      </w:pPr>
      <w:r>
        <w:rPr>
          <w:rFonts w:ascii="Amiri" w:hAnsi="Amiri" w:eastAsia="Amiri" w:cs="Amiri"/>
          <w:color w:val="111111"/>
          <w:sz w:val="28"/>
          <w:sz w:val="28"/>
          <w:szCs w:val="28"/>
          <w:rtl w:val="true"/>
          <w:lang w:bidi="ar-SA"/>
        </w:rPr>
        <w:t>لقد أولى القرآن الكريم عناية خاصّة ببيوت الأنبياء والأولياء، وليس هذا الاهتمام إلّالأجل أنّ هذه البيوت تبرّكت بأُناس يسبّحون للّه سبحانه في الغدو والآصال،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تحدّثت الآية المباركة عن تلك البيوت بلحن يشعر بالتعظيم والتكريم وأشارت إلى سمات الرجال الإلهيّين الذين يسكنونها بأنّ دأبهم التسبيح والتمجيد والتهليل والتكبير، والمراد من البيوت في الآية هو 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الحافظ جلال الدين 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بيت عليّ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ومن أفاضلها</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فالمراد من البيوت هو بيوت الأنبياء وبيوت النبيّ الأكرم وبيت</w:t>
      </w:r>
    </w:p>
    <w:p>
      <w:pPr>
        <w:pStyle w:val="BookText"/>
        <w:rPr/>
      </w:pPr>
      <w:r>
        <w:rPr>
          <w:rFonts w:ascii="Amiri" w:hAnsi="Amiri" w:eastAsia="Amiri" w:cs="Amiri"/>
          <w:color w:val="111111"/>
          <w:sz w:val="28"/>
          <w:sz w:val="28"/>
          <w:szCs w:val="28"/>
          <w:rtl w:val="true"/>
          <w:lang w:bidi="ar-SA"/>
        </w:rPr>
        <w:t>عليّ وما ضاهاها، فهذه البيوت لها شأنها الخاص لأنّها تخصّ رجالاً يسبّحون اللّه ليلاً ونهاراً غدواً وآصالاً يعيش فيها رجال لا تلهيهم تجارة ولا بيع عن ذكر اللّه وإقام الصلاة وإيتاء الزكاة وقلوبهم مليئة بالخوف من يوم تتقلّب فيه القلوب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التاريخ أنّ النبي صلى الله عليه و آله و سلم دفن في نفس البيت الذي قبض فيه، كما أنّ الإمامين العسكريين عليهما السلام دفنا في البيت الذي قبضا فيه وكان بيتهما معبداً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أحمد أنّ عبد اللّه بن سعد سأل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الصلاة في بيتي أو الصلاة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ترى ما أقرب بيتي من المسجد ولئن أُصلّي في بيتي أحب إليّ من أن أُصلي في المسجد إلّاأن تكون صلاة مكتوبة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وقد عقد مسلم في صحيحه باباً لاستحباب إقامة النافلة في البيت وروى فيه روايات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فعلى ضوء هذه الآية يجب رفع البيوت التي كان النبي صلى الله عليه و آله و سلم وعترته الطاهرة دفنوا فيها، وهم كانوا يتلون فيها ليلاً ونهاراً آيات اللّه ويسبّحونه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هو المراد من الرفع‌؟</w:t>
      </w:r>
    </w:p>
    <w:p>
      <w:pPr>
        <w:pStyle w:val="BookText"/>
        <w:rPr/>
      </w:pPr>
      <w:r>
        <w:rPr>
          <w:rFonts w:ascii="Amiri" w:hAnsi="Amiri" w:eastAsia="Amiri" w:cs="Amiri"/>
          <w:color w:val="111111"/>
          <w:sz w:val="28"/>
          <w:sz w:val="28"/>
          <w:szCs w:val="28"/>
          <w:rtl w:val="true"/>
          <w:lang w:bidi="ar-SA"/>
        </w:rPr>
        <w:t>لقد ذكر المفسّرون للرفع معنيين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الرفع هو البناء بشهادة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w:t>
      </w:r>
      <w:r>
        <w:rPr>
          <w:rStyle w:val="FootnoteAnchor"/>
          <w:rtl w:val="true"/>
        </w:rPr>
        <w:footnoteReference w:id="3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تعظيمها والرفع من مقدارها،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ترفعها إمّا بناؤها فأمر اللّه أن تبنى‌، وإمّا تعظيمها، والرفع من قدرها</w:t>
      </w:r>
      <w:r>
        <w:rPr>
          <w:rFonts w:eastAsia="Amiri" w:cs="Amiri" w:ascii="Amiri" w:hAnsi="Amiri"/>
          <w:color w:val="111111"/>
          <w:sz w:val="28"/>
          <w:szCs w:val="28"/>
          <w:rtl w:val="true"/>
          <w:lang w:bidi="ar-SA"/>
        </w:rPr>
        <w:t>.</w:t>
      </w:r>
      <w:r>
        <w:rPr>
          <w:rStyle w:val="FootnoteAnchor"/>
          <w:rtl w:val="true"/>
        </w:rPr>
        <w:footnoteReference w:id="363"/>
      </w:r>
      <w:bookmarkStart w:id="349" w:name="pg16780_177069"/>
    </w:p>
    <w:p>
      <w:pPr>
        <w:pStyle w:val="BookText"/>
        <w:rPr/>
      </w:pPr>
      <w:bookmarkEnd w:id="3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من رفع البيوت ليس إنشاؤها؛ وذلك لأنّ المفروض أنّ الآية المباركة تتحدّث عن بيوت مبنيّة، وعلى كلّ تقدير فهذه البيوت يجب إعمارها وصيانتها من الاندثار، على التفسير الأوّل، وذلك إكراماً منه سبحانه لأصحابها، أو صيانتها ممّا لا يلائم قداستها على التفسير الثاني، وعلى هذا فهدم هذه البيوت يضاد ترفيعها بناءً وقداسة، وإذا ثبت الحكم في هذه البيوت التي تضمّنت الأجساد المقدّسة يثبت الحكم في سائر المراقد بعدم القول بالفصل بينهما</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7189717_73709187"/>
      <w:bookmarkStart w:id="351" w:name="_Toc132"/>
      <w:bookmarkEnd w:id="350"/>
      <w:r>
        <w:rPr>
          <w:rtl w:val="true"/>
        </w:rPr>
        <w:t>الثاني</w:t>
      </w:r>
      <w:r>
        <w:rPr>
          <w:rtl w:val="true"/>
        </w:rPr>
        <w:t xml:space="preserve">: </w:t>
      </w:r>
      <w:r>
        <w:rPr>
          <w:rtl w:val="true"/>
        </w:rPr>
        <w:t>صيانة الآثار ومودّة القربى</w:t>
      </w:r>
      <w:bookmarkEnd w:id="351"/>
    </w:p>
    <w:p>
      <w:pPr>
        <w:pStyle w:val="BookText"/>
        <w:rPr/>
      </w:pPr>
      <w:r>
        <w:rPr>
          <w:rFonts w:ascii="Amiri" w:hAnsi="Amiri" w:eastAsia="Amiri" w:cs="Amiri"/>
          <w:color w:val="111111"/>
          <w:sz w:val="28"/>
          <w:sz w:val="28"/>
          <w:szCs w:val="28"/>
          <w:rtl w:val="true"/>
          <w:lang w:bidi="ar-SA"/>
        </w:rPr>
        <w:t>دلّت الآيات والروايات على لزوم مودّة الرسول الأكرم صلى الله عليه و آله و سلم وأهل بيته الطاهرين،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تشير الآية إلى معيار دقيق وهو أنّ المؤمن الحقيقي الذي عجن الإيمان بدمه ولحمه وجميع مشاعره، هو الذي يقدّم حُبّه للّه ولرسوله والجهاد في سبيله على جميع العلاقات والروابط التي تحيط به من الأهل والأرحام والأموال والعقارات، والتجارة والمعاملات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تعدّ المودّة في القربى كأجر للرسالة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365"/>
      </w:r>
      <w:bookmarkStart w:id="352" w:name="pg16780_177070"/>
    </w:p>
    <w:p>
      <w:pPr>
        <w:pStyle w:val="BookText"/>
        <w:rPr/>
      </w:pPr>
      <w:bookmarkEnd w:id="352"/>
      <w:r>
        <w:rPr>
          <w:rFonts w:ascii="Amiri" w:hAnsi="Amiri" w:eastAsia="Amiri" w:cs="Amiri"/>
          <w:color w:val="111111"/>
          <w:sz w:val="28"/>
          <w:sz w:val="28"/>
          <w:szCs w:val="28"/>
          <w:rtl w:val="true"/>
          <w:lang w:bidi="ar-SA"/>
        </w:rPr>
        <w:t>ومن المعلوم أنّ حبّ اللّه ونبيّه وعترته يتجلّى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يعتمد في منهج حياته، السيرَ وفقاً لأوامره سبحانه ونواهيه ولذلك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هو الانقياد والاتّباع للمحبوب، وقد استشهد الإمام الصادق عليه السلام لهذا النوع من الود بالبيتين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وأنت تظهر حبّه هذا محال في الفعال بديع</w:t>
      </w:r>
    </w:p>
    <w:p>
      <w:pPr>
        <w:pStyle w:val="BookText"/>
        <w:rPr/>
      </w:pPr>
      <w:r>
        <w:rPr>
          <w:rFonts w:ascii="Amiri" w:hAnsi="Amiri" w:eastAsia="Amiri" w:cs="Amiri"/>
          <w:color w:val="111111"/>
          <w:sz w:val="28"/>
          <w:sz w:val="28"/>
          <w:szCs w:val="28"/>
          <w:rtl w:val="true"/>
          <w:lang w:bidi="ar-SA"/>
        </w:rPr>
        <w:t>لو كان حبك صادقاً لأطعته إنّ المحبّ لمن أحب مطيع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تعاليمهم وخطبهم وأحاديثهم وصيانة آثارهم ومعالمهم والاهتمام بمشاهدهم بحيث تكون رمزاً ومعلّماً إسلامياً بارزاً، ولا يشكّ ذو مسكة أنّ بناء القباب على تلك القبور التي ضمّت جسد الرسول الأكرم صلى الله عليه و آله و سلم وعترته الطاهرة يُعد مظهراً لإظهار الودّ والحب</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7189719_73709187"/>
      <w:bookmarkStart w:id="354" w:name="_Toc133"/>
      <w:bookmarkEnd w:id="353"/>
      <w:r>
        <w:rPr>
          <w:rtl w:val="true"/>
        </w:rPr>
        <w:t>الثالث</w:t>
      </w:r>
      <w:r>
        <w:rPr>
          <w:rtl w:val="true"/>
        </w:rPr>
        <w:t xml:space="preserve">: </w:t>
      </w:r>
      <w:r>
        <w:rPr>
          <w:rtl w:val="true"/>
        </w:rPr>
        <w:t>صيانة الآثار تعظيم للشعائر</w:t>
      </w:r>
      <w:bookmarkEnd w:id="354"/>
    </w:p>
    <w:p>
      <w:pPr>
        <w:pStyle w:val="BookText"/>
        <w:rPr/>
      </w:pPr>
      <w:r>
        <w:rPr>
          <w:rFonts w:ascii="Amiri" w:hAnsi="Amiri" w:eastAsia="Amiri" w:cs="Amiri"/>
          <w:color w:val="111111"/>
          <w:sz w:val="28"/>
          <w:sz w:val="28"/>
          <w:szCs w:val="28"/>
          <w:rtl w:val="true"/>
          <w:lang w:bidi="ar-SA"/>
        </w:rPr>
        <w:t>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والآية من مصاديق الحذف والإيصال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بصفة كلّية تدلّ على تعظيم ما يمت إلى دين اللّه بصلة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يذكر مصداقاً لتعظيم شعائر دين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 لَكُمْ فِيها خَيْرٌ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فإذا كانت البُدن التي صارت معلمة للذبح في مكة أو نواحيها، من شعائر اللّه، فالأنبياء والأولياء والذين جاهدوا لأجل رفع كلمة اللّه بنفسهم ونفيسهم، أولى أن يكونوا من علائم دين</w:t>
      </w:r>
      <w:bookmarkStart w:id="355" w:name="pg16780_177071"/>
    </w:p>
    <w:p>
      <w:pPr>
        <w:pStyle w:val="BookText"/>
        <w:rPr/>
      </w:pPr>
      <w:bookmarkEnd w:id="355"/>
      <w:r>
        <w:rPr>
          <w:rFonts w:ascii="Amiri" w:hAnsi="Amiri" w:eastAsia="Amiri" w:cs="Amiri"/>
          <w:color w:val="111111"/>
          <w:sz w:val="28"/>
          <w:sz w:val="28"/>
          <w:szCs w:val="28"/>
          <w:rtl w:val="true"/>
          <w:lang w:bidi="ar-SA"/>
        </w:rPr>
        <w:t>اللّه، ومن المعلوم أنّ حفظ آثارهم وقبورهم وما يمتّ إليهم بصلة، تعظيم لشعائر دين اللّه</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7189721_73709187"/>
      <w:bookmarkStart w:id="357" w:name="_Toc134"/>
      <w:bookmarkEnd w:id="356"/>
      <w:r>
        <w:rPr>
          <w:rtl w:val="true"/>
        </w:rPr>
        <w:t>الرابع</w:t>
      </w:r>
      <w:r>
        <w:rPr>
          <w:rtl w:val="true"/>
        </w:rPr>
        <w:t xml:space="preserve">: </w:t>
      </w:r>
      <w:r>
        <w:rPr>
          <w:rtl w:val="true"/>
        </w:rPr>
        <w:t>القرآن الكريم وحفظ الآثار</w:t>
      </w:r>
      <w:bookmarkEnd w:id="357"/>
    </w:p>
    <w:p>
      <w:pPr>
        <w:pStyle w:val="BookText"/>
        <w:rPr/>
      </w:pPr>
      <w:r>
        <w:rPr>
          <w:rFonts w:ascii="Amiri" w:hAnsi="Amiri" w:eastAsia="Amiri" w:cs="Amiri"/>
          <w:color w:val="111111"/>
          <w:sz w:val="28"/>
          <w:sz w:val="28"/>
          <w:szCs w:val="28"/>
          <w:rtl w:val="true"/>
          <w:lang w:bidi="ar-SA"/>
        </w:rPr>
        <w:t>دلّ القرآن الكريم على أنّ الأُمم السالفة كانت تحتفظ بآثار أنبيائها وتحافظ عليها وتصونها وتتبرّك بها، وكانت تحملها معها في الحروب، ليتسنّى لها من خلال التبرّك بها التغلّب والانتصار على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النماذج التي ذكرها القرآن الكريم في هذا المجال صندوق بني إسرائيل الذي كانت فيه مواريث آل موسى وآل هارون،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w:t>
      </w:r>
      <w:r>
        <w:rPr>
          <w:rStyle w:val="FootnoteAnchor"/>
          <w:rtl w:val="true"/>
        </w:rPr>
        <w:footnoteReference w:id="36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هذا الصندوق كان عظيم البركة بشهادة أنّ الملائكة هي التي تحمله، وإنّ فيه سكينة من اللّه لبني إسرائيل، فلو كان حفظ الآثار وصيانتها بصورة عامّة وحفظ هذا الصندوق الأثري بصورة خاصّة غير لائق وغير جدير بالاهتمام، فلماذا يتحدّث عنه القرآن الكريم بهذا اللحن من الخطاب الإيجابي الذي يظهر منه تأييد الفكرة واستحسانها؟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تتصدّى الملائكة على عظمتها وقداستها لحمله‌؟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تكون عملية استرجاعه من أيدي العمالقة آية على حقّانية قائد الجيش في وقته‌؟</w:t>
      </w:r>
      <w:r>
        <w:rPr>
          <w:rFonts w:eastAsia="Amiri" w:cs="Amiri" w:ascii="Amiri" w:hAnsi="Amiri"/>
          <w:color w:val="111111"/>
          <w:sz w:val="28"/>
          <w:szCs w:val="28"/>
          <w:rtl w:val="true"/>
          <w:lang w:bidi="ar-SA"/>
        </w:rPr>
        <w:t>!</w:t>
      </w:r>
      <w:bookmarkStart w:id="358" w:name="pg16780_177072"/>
    </w:p>
    <w:p>
      <w:pPr>
        <w:pStyle w:val="Heading6"/>
        <w:numPr>
          <w:ilvl w:val="5"/>
          <w:numId w:val="1"/>
        </w:numPr>
        <w:rPr/>
      </w:pPr>
      <w:bookmarkStart w:id="359" w:name="__RefHeading___Toc7189723_73709187"/>
      <w:bookmarkStart w:id="360" w:name="_Toc135"/>
      <w:bookmarkEnd w:id="358"/>
      <w:bookmarkEnd w:id="359"/>
      <w:r>
        <w:rPr>
          <w:rtl w:val="true"/>
        </w:rPr>
        <w:t>دليل المخالف</w:t>
      </w:r>
      <w:bookmarkEnd w:id="360"/>
    </w:p>
    <w:p>
      <w:pPr>
        <w:pStyle w:val="BookText"/>
        <w:rPr/>
      </w:pPr>
      <w:r>
        <w:rPr>
          <w:rFonts w:ascii="Amiri" w:hAnsi="Amiri" w:eastAsia="Amiri" w:cs="Amiri"/>
          <w:color w:val="111111"/>
          <w:sz w:val="28"/>
          <w:sz w:val="28"/>
          <w:szCs w:val="28"/>
          <w:rtl w:val="true"/>
          <w:lang w:bidi="ar-SA"/>
        </w:rPr>
        <w:t>احتجّ المخالف على تهديم القباب والبيوت التي تحتضن الأجساد الطاهرة بحديث أبي وائل عن أبي الهياج الأسدي، الذي رواه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على ما بعثني عليه رسول اللّه صلى الله عليه و آله و سلم أن لا تدع تمثالاً إلّاطمسته ولا قبراً مشرفاً إلّاسوّيته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الاحتجاج بهذا الحديث لا سنداً ولا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سنداً فيكفي أنّ أبا وائل كان من المنحرفين عن الإمام علي أمير المؤمنين عليه السلام وممّن نصب له العداء والبغضاء</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فكيف يعتمد عليه، وقد قال لرسول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إلّامؤمن ولا يبغضك إلّامنافق</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وروى قريباً منه الترمذي في سننه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وأمّا أبو الهياج فليس له حديث في الصحاح والسنن إلّاهذا الحديث فكيف يعتمد على قول رجل ليس له إلّارواية واحدة، أفيمكن الاعتماد عليه في تهديم الآثار الإسلامية التي اهتمّ ببقائها المسلمون كافّة، عبر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الحديث فهي كسنده، وذلك لأنّ الوارد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قبراً مشرفاً إلّاسوّيته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ففقه الحديث يتوقّف على تفسير ذينك اللفظين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مردّد بين كونه بمعنى العالي، ومطلق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المرتفع على شكل سنام البعير، وهذا هو المراد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فعل التسوية إذا كان ذا مفعول واحد يكون وصفاً لنفس الشيء،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وإذا كانت ذا مفعولين فالمفعول الثاني يتعدّى بالباء،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يراد بها مساواة الشيء مع الشيء الآخر في المقدار؛ والآية من القسم الأوّل فيتعيّن أن تكون التسوية وصفاً لنفس القبر بنفسه لا بالقياس إلى شيء آخر مثل الأرض، فيكون المراد جعل سطحه مستوياً ومسطحاً على خلاف القبور التي تبنى على شكل ظهر السمكة وسنام البعير، فيكون الحديث دليلاً على لزوم تسوية القبر وتسطيحه، وأين هذا من تهديم القبر وجعله مساوياً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ذكرنا من المعنى أنّ مسلماً أورد الحديث وحديثاً آخر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الأمر بتسوية القبر</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ولو كان المراد هدم القبر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القبر بالأرض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نغض النظر عن كلّ ما ذكرنا، فالحديث على فرض الدلالة ناظر إلى القبر لا إلى القباب والأبنية فوق القبر، فبأي دليل تهدم هذه الآثار التي تعد كالمظلّة لمن يريد زيارة القبور وقراءة القرآن</w:t>
      </w:r>
      <w:r>
        <w:rPr>
          <w:rFonts w:eastAsia="Amiri" w:cs="Amiri" w:ascii="Amiri" w:hAnsi="Amiri"/>
          <w:color w:val="111111"/>
          <w:sz w:val="28"/>
          <w:szCs w:val="28"/>
          <w:rtl w:val="true"/>
          <w:lang w:bidi="ar-SA"/>
        </w:rPr>
        <w:t>.</w:t>
      </w:r>
      <w:bookmarkStart w:id="361" w:name="pg16780_177074"/>
    </w:p>
    <w:p>
      <w:pPr>
        <w:pStyle w:val="Heading5"/>
        <w:numPr>
          <w:ilvl w:val="4"/>
          <w:numId w:val="1"/>
        </w:numPr>
        <w:rPr/>
      </w:pPr>
      <w:bookmarkStart w:id="362" w:name="__RefHeading___Toc7189725_73709187"/>
      <w:bookmarkStart w:id="363" w:name="_Toc136"/>
      <w:bookmarkEnd w:id="361"/>
      <w:bookmarkEnd w:id="362"/>
      <w:r>
        <w:rPr>
          <w:rtl w:val="true"/>
        </w:rPr>
        <w:t>المسألة الرابعة</w:t>
      </w:r>
      <w:r>
        <w:rPr>
          <w:rtl w:val="true"/>
        </w:rPr>
        <w:t xml:space="preserve">: </w:t>
      </w:r>
      <w:r>
        <w:rPr>
          <w:rtl w:val="true"/>
        </w:rPr>
        <w:t>النذر للنبي والإمام</w:t>
      </w:r>
      <w:bookmarkEnd w:id="363"/>
    </w:p>
    <w:p>
      <w:pPr>
        <w:pStyle w:val="BookText"/>
        <w:rPr/>
      </w:pPr>
      <w:r>
        <w:rPr>
          <w:rFonts w:ascii="Amiri" w:hAnsi="Amiri" w:eastAsia="Amiri" w:cs="Amiri"/>
          <w:color w:val="111111"/>
          <w:sz w:val="28"/>
          <w:sz w:val="28"/>
          <w:szCs w:val="28"/>
          <w:rtl w:val="true"/>
          <w:lang w:bidi="ar-SA"/>
        </w:rPr>
        <w:t>النذر عبارة عن إلزام الإنسان نفسه بأداء شيء معيّن إذا تحقّق هدفه وقضيت حاجته،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أعطي مبلغاً معيّناً للفقراء إذا قضيت حاجتي، وقد مدح اللّه سبحانه عليّاً وفاطمة والحسن والحسين عليهم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فالنذر سنّة معروفة بين كافّة المسلمين، بل في العالم كلّه، وقد تعارف النذر للّه وإهداء ثوابه لأحد أولياءاللّه وعباده الصالحين، ولم يشكّ فيه أحد حتى جاء ابن تيمية فزعم حرمة ذلك وشنّ الهجوم على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شيئاً للنبي صلى الله عليه و آله و سلم أو غيره من الأنبياء والأولياء من أهل القبور، أو ذبح له ذبيحة، كان كالمشركين الذين يذبحون لأوثانهم وينذرون لها، فهو عابدٌ لغير اللّه، فيكون بذلك كافراً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والرجل نظر إلى ظاهر أعمال الناذرين ولم يقف على نيّاتهم فهم ينذرون للّه سبحانه ويقصدون إهداء ثوابه للنبي وغيره، فكلّ مَن ينذر لأحد من أولياء اللّه إنّما يقصد في قلبه النذر للّه وإهداء الثواب لذلك الولي الصالح ليس إلّا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استخبر حال مَن يفعل ذلك من المسلمين، وجدهم لا يقصدون بذبائحهم ونذورهم للأموات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إلّاالصدقة عنهم وجعل ثوابها إليهم، وقد علموا أنّ إجماع أهل السُّنّة منعقد على أنّ صدقة الأحياء نافعة للأموات، والصلة إليهم، والأحاديث في ذلك صحيحة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عن سعد أنّه سأل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أُمّي افتلتت</w:t>
      </w:r>
      <w:r>
        <w:rPr>
          <w:rStyle w:val="FootnoteAnchor"/>
          <w:rtl w:val="true"/>
        </w:rPr>
        <w:footnoteReference w:id="378"/>
      </w:r>
      <w:r>
        <w:rPr>
          <w:rFonts w:ascii="Amiri" w:hAnsi="Amiri" w:eastAsia="Amiri" w:cs="Amiri"/>
          <w:color w:val="111111"/>
          <w:sz w:val="28"/>
          <w:sz w:val="28"/>
          <w:szCs w:val="28"/>
          <w:rtl w:val="true"/>
          <w:lang w:bidi="ar-SA"/>
        </w:rPr>
        <w:t>وأعلم أنّها لو عاشت لتصدّقت، أفإن تصدَّقتُ عنها أينفعها ذلك‌؟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أنفع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فحفر بئراً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لقد أخطأ محمّد بن عبد الوهّاب فادّعى أنّ المسلم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الصدقة للنبيّ أو للوليّ‌، فاللّام فيها هي اللام الموجودة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اشتبه عليه الأمر فإنّما يُراد منها الغاية، فالعمل للّه،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يريد بها الجهة التي يُصرف فيها الصدقة من مصالح النبيّ صلى الله عليه و آله و سلم في حياته ومماته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العزامي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قصة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اللام الداخلة على الجهة الّتي وُجّهت إليها الصدقة، لا على المعبود المتقرّب إليه، وهي كذلك في كلام المسلمين، فهم سعديُّون لا وثنيّون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كاللام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أو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للّه ونَذَرْتُ للّه، فإذا ذَبح للنبيّ أو الوليّ أو نَذَر الشيء له فهو لا يقصد إلّاأن يتصدّق بذلك عنه، ويجعل ثوابه إليه، فيكون من هدايا الأحياء للأموات</w:t>
      </w:r>
      <w:bookmarkStart w:id="364" w:name="pg16780_177076"/>
    </w:p>
    <w:p>
      <w:pPr>
        <w:pStyle w:val="BookText"/>
        <w:rPr/>
      </w:pPr>
      <w:bookmarkEnd w:id="364"/>
      <w:r>
        <w:rPr>
          <w:rFonts w:ascii="Amiri" w:hAnsi="Amiri" w:eastAsia="Amiri" w:cs="Amiri"/>
          <w:color w:val="111111"/>
          <w:sz w:val="28"/>
          <w:sz w:val="28"/>
          <w:szCs w:val="28"/>
          <w:rtl w:val="true"/>
          <w:lang w:bidi="ar-SA"/>
        </w:rPr>
        <w:t>المشروعة المثاب على إهدائها، والمسألة مبسوطة في كتب الفقه وفي كتب الردّ على الرجل ومن شايعه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وهكذا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النذر للأنبياء والأولياء، من دون أن يكون فيه شائبة شرك، فيُثاب به الناذر إن كان للّه وذبح المنذور باسم اللّه،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ذبحتُ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أنّه ذبحه للنبي صلى الله عليه و آله و سلم بل يريد أنّ الثواب له،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للضيف، بمعنى أنّ النفع والفائدة له، فهو السبب في حصول الذبح</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189727_73709187"/>
      <w:bookmarkStart w:id="366" w:name="_Toc137"/>
      <w:bookmarkEnd w:id="365"/>
      <w:r>
        <w:rPr>
          <w:rtl w:val="true"/>
        </w:rPr>
        <w:t>المسألة الخامسة</w:t>
      </w:r>
      <w:r>
        <w:rPr>
          <w:rtl w:val="true"/>
        </w:rPr>
        <w:t xml:space="preserve">: </w:t>
      </w:r>
      <w:r>
        <w:rPr>
          <w:rtl w:val="true"/>
        </w:rPr>
        <w:t>التبرّك بآثار الأنبياء</w:t>
      </w:r>
      <w:bookmarkEnd w:id="36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تعلّقت المشيئة الإلهية على إفاضة نعمه ومواهبه من خلال الأسباب، فتارة يكون السبب سبباً طبيعياً كالشمس والقمر والماء والنار، وأُخرى سبباً غير طبيعي كما هو الحال في عمل الأنبياء؛ مثلاً كان المسيح يبرئ الأكمه والأبرص، فالمبرئ في الحقيقة هو اللّه سبحانه ولكن عن مجرى خاص وهو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الصحابة يتبرّكون بالنبي الخاتم صلى الله عليه و آله و سلم، ومن صور هذا التبرّك، أنّهم كانوا يأتونه بأطفالهم فيحنّكهم بالتمر، أو أن يمسح على رؤوسهم ويبارك لهم، كما أنّ صحابته كانوا يتبرّكون بماء وضوئه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هذا في حياته وأمّا بعد وفاته صلى الله عليه و آله و سلم فقد كان الصحابة يتبرّكون بقبره، ومن أمثلة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 المستدرك عن داود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مروان يوماً فوجد رجلاً واضعاً وجهه على القبر، فأخذ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فإذا هو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رسول اللّه ولم آت الحجر،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على الدين إذا وليه أهله، ولكن إبكوا على الدين إذا وليه غيرُ أهله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الظاهرة التي نقلها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أنّ سيرة صحابة النبي الأكرم صلى الله عليه و آله و سلم كانت قائمة على التبرّك بقبره الشريف بوضع الخد عليه، كما تحكي في الوقت نفسه عن عداء مروان وغيره من رجال البيت الأُموي وخصومتهم للرسول الأكرم صلى الله عليه و آله و سلم حتى بعد رحيله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الصحابي الكبير ومؤذّن الرسول الأكرم صلى الله عليه و آله و سلم بلال الحبشي في الشام في عهد عمر بن الخطاب، فرأى في منامه النبي صلى الله عليه و آله و سلم وهو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الجفوة يا بلال‌؟ أما آن لك أن تزورني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حزيناً وجلاً خائفاً، فركب راحلته وقصد المدينة فأتى قبر النبي صلى الله عليه و آله و سلم فجعل يبكي عنده ويمرّغ وجهه عليه، فأقبل الحسن والحسين عليهما السلام، فجعل يضمّهما ويقبلهما</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الزهراء عليها السلام سيدة نساء العالمين بنت رسول اللّه، حضرت عند قبر أبيها صلى الله عليه و آله و سلم وأخذت قبضة من تراب القبر تشمّه وتبكي، وهي تقول</w:t>
      </w:r>
      <w:r>
        <w:rPr>
          <w:rFonts w:eastAsia="Amiri" w:cs="Amiri" w:ascii="Amiri" w:hAnsi="Amiri"/>
          <w:color w:val="111111"/>
          <w:sz w:val="28"/>
          <w:szCs w:val="28"/>
          <w:rtl w:val="true"/>
          <w:lang w:bidi="ar-SA"/>
        </w:rPr>
        <w:t>:</w:t>
      </w:r>
      <w:bookmarkStart w:id="367" w:name="pg16780_177078"/>
    </w:p>
    <w:p>
      <w:pPr>
        <w:pStyle w:val="BookText"/>
        <w:rPr/>
      </w:pPr>
      <w:bookmarkEnd w:id="367"/>
      <w:r>
        <w:rPr>
          <w:rFonts w:ascii="Amiri" w:hAnsi="Amiri" w:eastAsia="Amiri" w:cs="Amiri"/>
          <w:color w:val="111111"/>
          <w:sz w:val="28"/>
          <w:sz w:val="28"/>
          <w:szCs w:val="28"/>
          <w:rtl w:val="true"/>
          <w:lang w:bidi="ar-SA"/>
        </w:rPr>
        <w:t>ماذا على من شمّ تربة أحمد ألّا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ومن الواضح إنّ هذا التصرّف من السيدة الزهراء عليها السلام يدلّ على جواز التبرّك بقبر رسول اللّه و تربته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هنا بذكر هذه المجموعة القليلة جداً من بين الكثير من الوقائع التي تحكي عن اتّفاق الصحابة على التبرّك بآثار النبيّ صلى الله عليه و آله و سلم، ومَن تتبّع كتب السير والحديث والتاريخ والصحاح والمسانيد يرى أنّ مسألة التبرّك بالنبي والصالحين قد بلغت حدّ التواتر بحيث يستحيل عند العقل أن تكون موضوعة ومجعولة</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7189729_73709187"/>
      <w:bookmarkStart w:id="369" w:name="_Toc138"/>
      <w:bookmarkEnd w:id="368"/>
      <w:r>
        <w:rPr>
          <w:rtl w:val="true"/>
        </w:rPr>
        <w:t>نتيجة البحث</w:t>
      </w:r>
      <w:bookmarkEnd w:id="369"/>
    </w:p>
    <w:p>
      <w:pPr>
        <w:pStyle w:val="BookText"/>
        <w:rPr/>
      </w:pPr>
      <w:r>
        <w:rPr>
          <w:rFonts w:ascii="Amiri" w:hAnsi="Amiri" w:eastAsia="Amiri" w:cs="Amiri"/>
          <w:color w:val="111111"/>
          <w:sz w:val="28"/>
          <w:sz w:val="28"/>
          <w:szCs w:val="28"/>
          <w:rtl w:val="true"/>
          <w:lang w:bidi="ar-SA"/>
        </w:rPr>
        <w:t>إنّ دراسة التاريخ الإسلامي وسيرة المسلمين في صدر الإسلام تكشف وبوضوح أنّ التبرّك بآثار النبي صلى الله عليه و آله و سلم وبكلّ ما يرتبط به صلى الله عليه و آله و سلم كقبره، وتربته، وعصاه، وملابسه، والصلاة في الأماكن التي صلّى فيها صلى الله عليه و آله و سلم، أو مشى فيها، وكلّ ذلك كان يمثّل في الواقع ثقافة إسلامية رائجة في ذلك الوقت، وكانوا يرومون من ورائه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بالآثار تيمّناً بها لغاية استنزال الفيض الإلهي من خلال ذلك الطريق، كما حدث ليعقوب عليه السلام عن طريق قميص ولده يوسف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الدافع والباعث لهم هو حبّهم ومودتهم للرسول الأكرم صلى الله عليه و آله و سلم، إذ يحثّانهم لتكريم كلّ ما ينتسب إليه صلى الله عليه و آله و سلم من درع، أو سيف، أو ملابس، أو قدح قد شرب بها، أو بئر، أو عصاً كان قد استعملها، أو خاتم،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تلك الآثار</w:t>
      </w:r>
    </w:p>
    <w:p>
      <w:pPr>
        <w:pStyle w:val="BookText"/>
        <w:rPr/>
      </w:pPr>
      <w:r>
        <w:rPr>
          <w:rFonts w:ascii="Amiri" w:hAnsi="Amiri" w:eastAsia="Amiri" w:cs="Amiri"/>
          <w:color w:val="111111"/>
          <w:sz w:val="28"/>
          <w:sz w:val="28"/>
          <w:szCs w:val="28"/>
          <w:rtl w:val="true"/>
          <w:lang w:bidi="ar-SA"/>
        </w:rPr>
        <w:t>كانت مورد اهتمام أصحابه وأنصاره صلى الله عليه و آله و سلم، بل كان الخلفاء يتوارثون ختمه وخاتمه صلى الله عليه و آله و سلم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دراسة الذرائع الباطلة التي يكفّر على أساسها المسلمون من وجهة نظر اتباع ابن عبد الوهاب، وبقي هنا بعض الذرائع الوهمية كتكريم مواليد أولياء اللّه ووفياتهم، أو الحلف على اللّه بحق الأولياء، أو البكاء على الميّت، فإنّ الجميع من الأُمور الواضحة وإن وقعت ذريعة لهؤلاء، فمن أراد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في الميزان</w:t>
      </w:r>
      <w:r>
        <w:rPr>
          <w:rFonts w:eastAsia="Amiri" w:cs="Amiri" w:ascii="Amiri" w:hAnsi="Amiri"/>
          <w:color w:val="111111"/>
          <w:sz w:val="28"/>
          <w:szCs w:val="28"/>
          <w:rtl w:val="true"/>
          <w:lang w:bidi="ar-SA"/>
        </w:rPr>
        <w:t>».</w:t>
      </w:r>
      <w:bookmarkStart w:id="370" w:name="pg16780_177080"/>
    </w:p>
    <w:p>
      <w:pPr>
        <w:pStyle w:val="Heading4"/>
        <w:numPr>
          <w:ilvl w:val="3"/>
          <w:numId w:val="1"/>
        </w:numPr>
        <w:rPr/>
      </w:pPr>
      <w:bookmarkStart w:id="371" w:name="__RefHeading___Toc7189731_73709187"/>
      <w:bookmarkStart w:id="372" w:name="_Toc139"/>
      <w:bookmarkEnd w:id="370"/>
      <w:bookmarkEnd w:id="371"/>
      <w:r>
        <w:rPr>
          <w:rtl w:val="true"/>
        </w:rPr>
        <w:t>الفصل السابع</w:t>
      </w:r>
      <w:r>
        <w:rPr>
          <w:rtl w:val="true"/>
        </w:rPr>
        <w:t xml:space="preserve">: </w:t>
      </w:r>
      <w:r>
        <w:rPr>
          <w:rtl w:val="true"/>
        </w:rPr>
        <w:t>الذرائع التي يكفّر بها الشيعة</w:t>
      </w:r>
      <w:bookmarkEnd w:id="372"/>
    </w:p>
    <w:p>
      <w:pPr>
        <w:pStyle w:val="Heading5"/>
        <w:numPr>
          <w:ilvl w:val="4"/>
          <w:numId w:val="1"/>
        </w:numPr>
        <w:rPr/>
      </w:pPr>
      <w:bookmarkStart w:id="373" w:name="__RefHeading___Toc7189733_73709187"/>
      <w:bookmarkStart w:id="374" w:name="_Toc140"/>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قد عرفت أنّ القوم يكفّرون عامّة المسلمين بالأُمور التي ذكرناها، وأشباهها، وهناك أُمور يكفّرون بها الشيعة الإمامية شيعة أهل بيت النبي صلى الله عليه و آله و سلم خاصّة، فقسم منها أُمور مكذوبة وافتراءات واضحة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تأليه الشيعة لعلي وأولاده وأنّهم يعبدونهم ويعتقدون بإلوهيّتهم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ختم النبوة برحيل سيدنا محمد صلى الله عليه و آله و سلم وأنّ الوحي لم يزل ينزل على علي وأولاده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النبوة كانت لعلي ولكن جبريل خان الأمانة وأعطاها لمحمد صلى الله عليه و آله و سلم، حتى أنّ بعضهم أفرغ ذلك في قالب الشعر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قلبهم بغضاً شنيعاً لخير الخلق ليس له دفاع</w:t>
      </w:r>
    </w:p>
    <w:p>
      <w:pPr>
        <w:pStyle w:val="BookText"/>
        <w:rPr/>
      </w:pPr>
      <w:r>
        <w:rPr>
          <w:rFonts w:ascii="Amiri" w:hAnsi="Amiri" w:eastAsia="Amiri" w:cs="Amiri"/>
          <w:color w:val="111111"/>
          <w:sz w:val="28"/>
          <w:sz w:val="28"/>
          <w:szCs w:val="28"/>
          <w:rtl w:val="true"/>
          <w:lang w:bidi="ar-SA"/>
        </w:rPr>
        <w:t>يقولون الأمين جنى بوحي وخان وما لهم عن ذا ارتداع</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أصحاب النبي صلى الله عليه و آله و سلم وسبّهم ولعنهم وأنّهم أعداء الصحابة من أوّلهم إلى آخرهم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القرآن الكريم وأنّه حُذف منه أكثر ممّا هو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المفتريات التي ليس لها حدّ في حقّ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شيئاً من كتب الشيعة أو عاش بين ظهرانيهم يقف على أنّ الجميع فرية وكأنّهم أُمروا بالكذب مكان الصدق</w:t>
      </w:r>
      <w:r>
        <w:rPr>
          <w:rFonts w:eastAsia="Amiri" w:cs="Amiri" w:ascii="Amiri" w:hAnsi="Amiri"/>
          <w:color w:val="111111"/>
          <w:sz w:val="28"/>
          <w:szCs w:val="28"/>
          <w:rtl w:val="true"/>
          <w:lang w:bidi="ar-SA"/>
        </w:rPr>
        <w:t>.</w:t>
      </w:r>
      <w:bookmarkStart w:id="375" w:name="pg16780_177081"/>
    </w:p>
    <w:p>
      <w:pPr>
        <w:pStyle w:val="BookText"/>
        <w:rPr/>
      </w:pPr>
      <w:bookmarkEnd w:id="375"/>
      <w:r>
        <w:rPr>
          <w:rFonts w:ascii="Amiri" w:hAnsi="Amiri" w:eastAsia="Amiri" w:cs="Amiri"/>
          <w:color w:val="111111"/>
          <w:sz w:val="28"/>
          <w:sz w:val="28"/>
          <w:szCs w:val="28"/>
          <w:rtl w:val="true"/>
          <w:lang w:bidi="ar-SA"/>
        </w:rPr>
        <w:t>نعم للشيعة مسائل كلامية يختلفون فيها مع بعض الفرق، نشير إلى بعضها</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7189735_73709187"/>
      <w:bookmarkStart w:id="377" w:name="_Toc141"/>
      <w:bookmarkEnd w:id="376"/>
      <w:r>
        <w:rPr/>
        <w:t>1</w:t>
      </w:r>
      <w:r>
        <w:rPr>
          <w:rtl w:val="true"/>
        </w:rPr>
        <w:t xml:space="preserve">. </w:t>
      </w:r>
      <w:r>
        <w:rPr>
          <w:rtl w:val="true"/>
        </w:rPr>
        <w:t>القول بالبداء</w:t>
      </w:r>
      <w:bookmarkEnd w:id="377"/>
    </w:p>
    <w:p>
      <w:pPr>
        <w:pStyle w:val="BookText"/>
        <w:rPr/>
      </w:pPr>
      <w:r>
        <w:rPr>
          <w:rFonts w:ascii="Amiri" w:hAnsi="Amiri" w:eastAsia="Amiri" w:cs="Amiri"/>
          <w:color w:val="111111"/>
          <w:sz w:val="28"/>
          <w:sz w:val="28"/>
          <w:szCs w:val="28"/>
          <w:rtl w:val="true"/>
          <w:lang w:bidi="ar-SA"/>
        </w:rPr>
        <w:t>إنّ البداء حقيقة قرآنية تضافرت الآيات عليها وحقيقتها أنّه ليس للإنسان تقدير واحد لا يتغيّر، بل يمكن أن يبدّل مصيره بعمل صالح أو طالح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روى القرطبي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يطوف بالبيت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كتبتني في أهل السعادة فأثبتني فيها، وإن كنت كتبتني في أهل الشقاوة والذنب فأمتني وأثبتني في أهل السعادة والمغفرة، فإنّك تمحو ما تشاء وتثبت، وعندك أُمّ الكتاب</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فعلى هذا فالبداء بهذا المعنى عقيدة 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عُبّر عنه بالبداء،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حيث 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للّه ما خفي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سبحانه لا يخفى عليه شيء في الأرض ولا في السماء، والجواب عن ذلك بوجهين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اقتباس من كلام النبي الخاتم صلى الله عليه و آله و سلم حيث روى البخاري في صحيحه عن أبي هريرة أنّه سمع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ثلاثة في</w:t>
      </w:r>
      <w:bookmarkStart w:id="378" w:name="pg16780_177082"/>
    </w:p>
    <w:p>
      <w:pPr>
        <w:pStyle w:val="BookText"/>
        <w:rPr/>
      </w:pPr>
      <w:bookmarkEnd w:id="378"/>
      <w:r>
        <w:rPr>
          <w:rFonts w:ascii="Amiri" w:hAnsi="Amiri" w:eastAsia="Amiri" w:cs="Amiri"/>
          <w:color w:val="111111"/>
          <w:sz w:val="28"/>
          <w:sz w:val="28"/>
          <w:szCs w:val="28"/>
          <w:rtl w:val="true"/>
          <w:lang w:bidi="ar-SA"/>
        </w:rPr>
        <w:t>بني إسرائيل أبرص وأقرع وأعمى بدا للّه أن يبتليهم فبعث إليهم ملكاً فأتى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التعبير من باب المشاكلة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وهذا من مظاهر البلاغة فإنّ الإنسان إذا ظهر ما خفي عليه يعبّر عنه بالبداء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كذلك فاللّه سبحانه يعبّر عمّا ظهر للناس بعد ما خفي عنهم بالبداء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وكأنّه ينطق بلسان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البداء في الكتاب العزيز فداء إسماعيل بعد أمر خليله إبراهيم عليه السلام بذبحه حيث ابتلاه اللّه وخرج من الابتلاء ناجحاً مرفوع الرأس ونسخ ما أمر به بالفداء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ولعلمائنا الأبرار رسائل في البداء تعرب عن أنّ النزاع بينهم وبين غيرهم لفظي بحت، وليس حقيقياً</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7189737_73709187"/>
      <w:bookmarkStart w:id="380" w:name="_Toc142"/>
      <w:bookmarkEnd w:id="379"/>
      <w:r>
        <w:rPr/>
        <w:t>2</w:t>
      </w:r>
      <w:r>
        <w:rPr>
          <w:rtl w:val="true"/>
        </w:rPr>
        <w:t xml:space="preserve">. </w:t>
      </w:r>
      <w:r>
        <w:rPr>
          <w:rtl w:val="true"/>
        </w:rPr>
        <w:t>الإيمان بخلافة الخلفاء</w:t>
      </w:r>
      <w:bookmarkEnd w:id="380"/>
    </w:p>
    <w:p>
      <w:pPr>
        <w:pStyle w:val="BookText"/>
        <w:rPr/>
      </w:pPr>
      <w:r>
        <w:rPr>
          <w:rFonts w:ascii="Amiri" w:hAnsi="Amiri" w:eastAsia="Amiri" w:cs="Amiri"/>
          <w:color w:val="111111"/>
          <w:sz w:val="28"/>
          <w:sz w:val="28"/>
          <w:szCs w:val="28"/>
          <w:rtl w:val="true"/>
          <w:lang w:bidi="ar-SA"/>
        </w:rPr>
        <w:t>هل الإيمان بخلافة الخلفاء من الأُصول، حتى يُكفَّر مَن يرفض خلافتهم من الرسول أو هو من الفروع الّتي لا يضر الاختلاف فيها كما هو الحقّ؟ ويشهد لِما قلناه كلمات أئمة أهل السنّة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أنّ مباحث الإمامة بعلم الفروع أليق، لرجوعها إلى أنّ القيام بالإمامة ونصب الإمام الموصوف بالصفات المخصوصة من</w:t>
      </w:r>
      <w:bookmarkStart w:id="381" w:name="pg16780_177083"/>
    </w:p>
    <w:p>
      <w:pPr>
        <w:pStyle w:val="BookText"/>
        <w:rPr/>
      </w:pPr>
      <w:bookmarkEnd w:id="381"/>
      <w:r>
        <w:rPr>
          <w:rFonts w:ascii="Amiri" w:hAnsi="Amiri" w:eastAsia="Amiri" w:cs="Amiri"/>
          <w:color w:val="111111"/>
          <w:sz w:val="28"/>
          <w:sz w:val="28"/>
          <w:szCs w:val="28"/>
          <w:rtl w:val="true"/>
          <w:lang w:bidi="ar-SA"/>
        </w:rPr>
        <w:t>فروض الكفايات، وهي أُمور كلّية تتعلّق بها مصالح دينية أو دنيوية، لا ينتظم الأمر إلّابحصولها فيقصد الشارع تحصيلها في الجملة من غير أن يقصد حصولها من كلّ أحد، ولا خفاء في أنّ ذلك من الأحكام العملية دون الاعتقادية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ومباحثها عندنا من الفروع وإنّما ذكرناها في علم الكلام تأسيّاً بمن قبلنا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ليست من أصول الديانات والعقائد، بل هي عندنا من الفروع المتعلّقة بأفعال المكلّفين، إذ نصب الإمام عندنا واجب على الأمة سمعا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الإمامة من الفروع فما أكثر الاختلاف في الفروع فكيف يكون الاختلاف موجباً للكفر؟</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7189739_73709187"/>
      <w:bookmarkStart w:id="383" w:name="_Toc143"/>
      <w:bookmarkEnd w:id="382"/>
      <w:r>
        <w:rPr/>
        <w:t>3</w:t>
      </w:r>
      <w:r>
        <w:rPr>
          <w:rtl w:val="true"/>
        </w:rPr>
        <w:t xml:space="preserve">. </w:t>
      </w:r>
      <w:r>
        <w:rPr>
          <w:rtl w:val="true"/>
        </w:rPr>
        <w:t>علم الأئمة عليهم السلام بالغيب</w:t>
      </w:r>
      <w:bookmarkEnd w:id="38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أنّ العلم بالغيب علماً ذاتياً غير مكتسب وغير محدّد بحدٍّ، يختصّ باللّه سبحانه، ولكن لا مانع من أن يُعلِّم سبحانه شيئاً من الغيب لبعض أوليائه فيخبر عن الملاحم لأجل كونهم محدَّثين، والمحدَّث يسمع صوت الملك ولا يراه، وهو ليس أمراً بدعيّاً في مجال العقيدة، فقد رواه البخاري في صحيحه عن أبي هريرة،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يُكلّمون من غير أن يكونوا أنبياء</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384" w:name="pg16780_177084"/>
    </w:p>
    <w:p>
      <w:pPr>
        <w:pStyle w:val="BookText"/>
        <w:rPr/>
      </w:pPr>
      <w:bookmarkEnd w:id="384"/>
      <w:r>
        <w:rPr>
          <w:rFonts w:ascii="Amiri" w:hAnsi="Amiri" w:eastAsia="Amiri" w:cs="Amiri"/>
          <w:color w:val="111111"/>
          <w:sz w:val="28"/>
          <w:sz w:val="28"/>
          <w:szCs w:val="28"/>
          <w:rtl w:val="true"/>
          <w:lang w:bidi="ar-SA"/>
        </w:rPr>
        <w:t>وقد تضافرت الروايات عن النبي صلى الله عليه و آله و سلم في حقّ المحدّثين، فأئمة أهل البيت عليهم السلام عند الشيعة من المحدَّثين، فأي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يوجب مشاركتهم اللّه في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العلم بالغيب مكتسباً من اللّه محدوداً بحدّ خاص، من علمه الواسع غير المكتسب ولا المحدود؟</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7189741_73709187"/>
      <w:bookmarkStart w:id="386" w:name="_Toc144"/>
      <w:bookmarkEnd w:id="385"/>
      <w:r>
        <w:rPr/>
        <w:t>4</w:t>
      </w:r>
      <w:r>
        <w:rPr>
          <w:rtl w:val="true"/>
        </w:rPr>
        <w:t xml:space="preserve">. </w:t>
      </w:r>
      <w:r>
        <w:rPr>
          <w:rtl w:val="true"/>
        </w:rPr>
        <w:t>التقيّة من المسلم</w:t>
      </w:r>
      <w:bookmarkEnd w:id="386"/>
    </w:p>
    <w:p>
      <w:pPr>
        <w:pStyle w:val="BookText"/>
        <w:rPr/>
      </w:pPr>
      <w:r>
        <w:rPr>
          <w:rFonts w:ascii="Amiri" w:hAnsi="Amiri" w:eastAsia="Amiri" w:cs="Amiri"/>
          <w:color w:val="111111"/>
          <w:sz w:val="28"/>
          <w:sz w:val="28"/>
          <w:szCs w:val="28"/>
          <w:rtl w:val="true"/>
          <w:lang w:bidi="ar-SA"/>
        </w:rPr>
        <w:t>وممّا يخطِّئون به الشيعة هو تقيّتهم من المخالف المسلم، بناءً على اختصاص التقية بالكافر مع أنّه أمر صرّح بجوازه غير واحد من أئمة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على أنّ التقية إنّما تحلّ مع الكفّار الغالبين، إلّاأنّ مذهب الشافعي أنّ الحالة بين المسلمين إذا شاكلت الحالة بين المسلمين والكافرين حلّت التقيّة محاماة عن النفس</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وقال ابن الوزير اليمانيّ‌</w:t>
      </w:r>
      <w:r>
        <w:rPr>
          <w:rStyle w:val="FootnoteAnchor"/>
          <w:rtl w:val="true"/>
        </w:rPr>
        <w:footnoteReference w:id="400"/>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الحقّ غموضاً وخفاءً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السوء وسلاطين الجور وشياطين الخلق مع جواز التقيّة عند ذلك بنصّ القرآن، وإجماع أهل الإسلام، وما زال الخوف مانعاً من إظهار الحقّ‌، ولا برح المحقّ عدوّاً لأكثر الخلق، وقد صحّ عن أبي هريرة أنّه قال، في ذلك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صلى الله عليه و آله و سلم وعاءين، أمّا أحدهما فبثثته في الناس، وأمّا</w:t>
      </w:r>
      <w:bookmarkStart w:id="387" w:name="pg16780_177085"/>
    </w:p>
    <w:p>
      <w:pPr>
        <w:pStyle w:val="BookText"/>
        <w:rPr/>
      </w:pPr>
      <w:bookmarkEnd w:id="387"/>
      <w:r>
        <w:rPr>
          <w:rFonts w:ascii="IRNazanin" w:hAnsi="IRNazanin" w:eastAsia="IRNazanin"/>
          <w:color w:val="111111"/>
          <w:sz w:val="28"/>
          <w:sz w:val="28"/>
          <w:szCs w:val="28"/>
          <w:rtl w:val="true"/>
          <w:lang w:bidi="fa-IR"/>
        </w:rPr>
        <w:t>الآخر فلو أبثّه لقطع هذا البلعوم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أمراً مبتدعاً، فقد عمل به أربعة وعشرون محدِّثاً في مقابل السلطان الجائر المسلم،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وقد نقل تفصيل القصة الطبري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رسالة المأمون إلى إسحاق بن إبراهيم فأحضر لفيفاً من المحدِّثين والذين يربو عددهم على ستة وعشرين محدّثاً فقرأ عليهم رسالة المأمون مرّتين حتّى فهموها، ثم سأل كلّ واحد منهم عن رأيه في خلق القرآن، وقد كانت عقيدة المحدّثين بأنّ القرآن غير مخلوق أو غير حادث، فلمّا شعروا بالخطر وقرئت عليهم رسالة المأمون ثانياً وأمره بالتضييق عليهم وأن توثق أيديهم ويرسلوا إليه، أجاب القوم الممتنعون كلّهم وقالوا بخلق القرآن إلّاأربعة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وسجّادة، والقواريري، ومحمد بن نوح؛ فلمّا كان من الغد أظهر سجّادة الموافقة وقال بأنّ القرآن مخلوق وخلّي سبيله، ثم تبعه بعد غد القواريري وقال بأن القرآن مخلوق، فخلّي سبيله، وبقي أحمد بن حنبل ومحمّد بن نوح، وللقصة تكملة ذكرناها بتفاصيلها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r>
        <w:rPr>
          <w:rStyle w:val="FootnoteAnchor"/>
          <w:rtl w:val="true"/>
        </w:rPr>
        <w:footnoteReference w:id="402"/>
      </w:r>
    </w:p>
    <w:p>
      <w:pPr>
        <w:pStyle w:val="Heading5"/>
        <w:numPr>
          <w:ilvl w:val="4"/>
          <w:numId w:val="1"/>
        </w:numPr>
        <w:rPr/>
      </w:pPr>
      <w:bookmarkStart w:id="388" w:name="__RefHeading___Toc7189743_73709187"/>
      <w:bookmarkStart w:id="389" w:name="_Toc145"/>
      <w:bookmarkEnd w:id="388"/>
      <w:r>
        <w:rPr/>
        <w:t>5</w:t>
      </w:r>
      <w:r>
        <w:rPr>
          <w:rtl w:val="true"/>
        </w:rPr>
        <w:t xml:space="preserve">. </w:t>
      </w:r>
      <w:r>
        <w:rPr>
          <w:rtl w:val="true"/>
        </w:rPr>
        <w:t>تكفير الصحابة</w:t>
      </w:r>
      <w:bookmarkEnd w:id="38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إنّ تكفير الصحابة من الافتراءات الّتي تشهد الضرورة ببطلانها، كيف‌؟ وثمّة طائفة من الصحابة هم من روّاد التشيّع، ثم كيف‌؟ وهذا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يقتدون به ويقتفون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إمام المسلمين عامّة،</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يقول في حق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 مَضَوْا عَلَى الْحَقِّ؟ أَيْنَ عَمَّارٌ؟ وَأَيْنَ ابْنُ التَّيِّهَانِ؟ وَأَيْنَ ذُو الشَّهَادَتَيْنِ؟ وَأَيْنَ نُظَرَاؤُهُمْ مِنْ إِخْوَانِهِمُ الَّذِينَ تَعَاقَدُوا عَلَى الْمَنِيَّةِ‌، وَأُبْرِدَ بِرُؤُوسِهِمْ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الإمام علي بن الحسين زين العابدين عليه السلام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وأصحابُ محمّد خاصّةً‌، الذين أحَسنوا الصحبة، والذين أبلَوُ البلاءَ الحسَن في نصرهِ‌، وكانَفُوه، وأسرعوا إلى وِفادتهِ‌، وسابقوا 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تركوا لك وفيك، وأَرضِهِم من رضوانك</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ثم إنّ لعضد الدين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وشارحه السيد الجرجاني في شرحها كلاماً في عدم جواز تكفير الشيعة بمعتقداتهم نأتي بنصّهما متناً وشرحاً، فقد ذكرا الوجوه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القدح في أكابر الصحابة الذين شهد لهم القرآن والأحاديث الصحيحة بالتزكية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حيث أثنى عليهم وعظّمهم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كفرا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ثناء عليهم خاصة، أي لا ثناء في القرآن على واحد من الصحابة بخصوصه، وهؤلاء قد اعتقدوا أنّ مَن قدحوا فيه ليس داخلاً في الثناء العام الوارد فيه وإليه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ولاهم داخلون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w:t>
      </w:r>
    </w:p>
    <w:p>
      <w:pPr>
        <w:pStyle w:val="BookText"/>
        <w:rPr/>
      </w:pPr>
      <w:r>
        <w:rPr>
          <w:rFonts w:ascii="Amiri" w:hAnsi="Amiri" w:eastAsia="Amiri" w:cs="Amiri"/>
          <w:color w:val="111111"/>
          <w:sz w:val="28"/>
          <w:sz w:val="28"/>
          <w:szCs w:val="28"/>
          <w:rtl w:val="true"/>
          <w:lang w:bidi="ar-SA"/>
        </w:rPr>
        <w:t xml:space="preserve">قدحهم تكذيباً للقرآن، وأمّا الأحاديث الواردة في تزكية بعض معيّن من الصحابة والشهادة لهم بالجنّة فمن قبيل الآحاد، فلا يكفَّر المسلم بإنكارها أو تقول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وتلك الشهادة لهم مقيّدان، بشرط سلامة العاقبة ولم توجد عندهم، فلا يلزم تكذيبهم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منعقد من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تكفير من كفّر عظماء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 من الفريقين يكفّر بعض هؤلاء العظماء فيكون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كفّر جماعة مخصوصة من الصحابة، لا يسلّمون كونهم من أكابر الصحابة وعظمائهم، فلا يلزم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لأخيه المسلم يا كافر، فقد باء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 اعتقاد أنّه مسلم، فإنّ مَن ظن بمسلم أنّه يهودي أو نصراني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ياكافر، لم يكن ذلك كفراً بالإجماع</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كلامهما ونحن نقول ليس هنا مَن يكفّر الصحابة بل الموجود هو دراسة حياة الصحابة بعد رحلة النبي الأكرم صلى الله عليه و آله و سلم وهو أمر درج عليه السلف من أصحاب السيرة والتاريخ والرجال كدراسة حال التابعين لهم، وأخذ الدين عنهم لا يصدّنا عن تلك الدراسة العلمية بل يدفعنا إلى أخذها من أُناس صادقين عادلين، فمَن زعم أنّ دراسة حياة الصحابي يورث الضعف في الدين أو يوجب الخلل في الإسلام فقد أتى بكلام غير مقبول ولا معقول، وهؤلاء هم علماء الرجال قد ألّفوا موسوعات في أحوال رجال الحديث مبتدئين من التابعين، ونحن نعطف الصحابة على التابعين أيضاً، ونكيل لكلّ من قال الحق وعمل به، المدح العظيم والثناء الجميل</w:t>
      </w:r>
      <w:r>
        <w:rPr>
          <w:rFonts w:eastAsia="Amiri" w:cs="Amiri" w:ascii="Amiri" w:hAnsi="Amiri"/>
          <w:color w:val="111111"/>
          <w:sz w:val="28"/>
          <w:szCs w:val="28"/>
          <w:rtl w:val="true"/>
          <w:lang w:bidi="ar-SA"/>
        </w:rPr>
        <w:t>.</w:t>
      </w:r>
      <w:bookmarkStart w:id="390" w:name="pg16780_177088"/>
    </w:p>
    <w:p>
      <w:pPr>
        <w:pStyle w:val="Heading5"/>
        <w:numPr>
          <w:ilvl w:val="4"/>
          <w:numId w:val="1"/>
        </w:numPr>
        <w:rPr/>
      </w:pPr>
      <w:bookmarkStart w:id="391" w:name="__RefHeading___Toc7189745_73709187"/>
      <w:bookmarkStart w:id="392" w:name="_Toc146"/>
      <w:bookmarkEnd w:id="390"/>
      <w:bookmarkEnd w:id="391"/>
      <w:r>
        <w:rPr>
          <w:rtl w:val="true"/>
        </w:rPr>
        <w:t>نتيجة الدراسة</w:t>
      </w:r>
      <w:bookmarkEnd w:id="392"/>
    </w:p>
    <w:p>
      <w:pPr>
        <w:pStyle w:val="BookText"/>
        <w:rPr/>
      </w:pPr>
      <w:r>
        <w:rPr>
          <w:rFonts w:ascii="Amiri" w:hAnsi="Amiri" w:eastAsia="Amiri" w:cs="Amiri"/>
          <w:color w:val="111111"/>
          <w:sz w:val="28"/>
          <w:sz w:val="28"/>
          <w:szCs w:val="28"/>
          <w:rtl w:val="true"/>
          <w:lang w:bidi="ar-SA"/>
        </w:rPr>
        <w:t xml:space="preserve">هذا هو حدّ الإيمان والكفر وحدّ الشرك والبدعة قد وقفت عليها عن كثب، وأنّ فِرَق الإسلام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الغلاة والنواصب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داخلون في حظيرة الإسلام، فيجب أن تُحقَن دماؤهم وتُصان أموالهم وأعراضهم وكل ما يمتّ إليهم بصلة، وأنّ مَن يقوم بتكفير أُمّة أو أُمم من المسلمين فإنّما يصدر عن عصبية وعناد، أو عن غرض خبيث يخدم به قوى الكفر والاستبداد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هو الهادي إلى الطريق الحقّ‌</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7189747_73709187"/>
      <w:bookmarkStart w:id="394" w:name="_Toc147"/>
      <w:bookmarkEnd w:id="393"/>
      <w:r>
        <w:rPr>
          <w:rtl w:val="true"/>
        </w:rPr>
        <w:t>هذا هو الداء وأمّا الدواء</w:t>
      </w:r>
      <w:bookmarkEnd w:id="394"/>
    </w:p>
    <w:p>
      <w:pPr>
        <w:pStyle w:val="Heading6"/>
        <w:numPr>
          <w:ilvl w:val="5"/>
          <w:numId w:val="1"/>
        </w:numPr>
        <w:rPr/>
      </w:pPr>
      <w:bookmarkStart w:id="395" w:name="__RefHeading___Toc7189749_73709187"/>
      <w:bookmarkStart w:id="396" w:name="_Toc148"/>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لا أظن أنّ ذا مسكة يرضى بما تمارسه الزمرة الداعشية من فتك وقتل وهدم وتخريب وأسر وزواج جهادي وبالتالي استئصال المسلمين الموحّدين تحت غطاء الشرك، غير أنّ هذا الداء أخذ يتفّشى في البلاد الإسلامية خصوصاً بين الشباب المتحمّسين الذين تنبض قلوبهم للجهاد من أجل نحر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قلع هذه الفكرة الشيطانية التي اكتست ثوب التوحيد من خلال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7189751_73709187"/>
      <w:bookmarkStart w:id="398" w:name="_Toc149"/>
      <w:bookmarkEnd w:id="397"/>
      <w:r>
        <w:rPr/>
        <w:t>1</w:t>
      </w:r>
      <w:r>
        <w:rPr>
          <w:rtl w:val="true"/>
        </w:rPr>
        <w:t xml:space="preserve">. </w:t>
      </w:r>
      <w:r>
        <w:rPr>
          <w:rtl w:val="true"/>
        </w:rPr>
        <w:t>نقد الأفكار الخاطئة التي تُشمّ منها رائحة تكفير الفرق الإسلامية</w:t>
      </w:r>
      <w:bookmarkEnd w:id="398"/>
    </w:p>
    <w:p>
      <w:pPr>
        <w:pStyle w:val="BookText"/>
        <w:rPr/>
      </w:pPr>
      <w:r>
        <w:rPr>
          <w:rFonts w:ascii="Amiri" w:hAnsi="Amiri" w:eastAsia="Amiri" w:cs="Amiri"/>
          <w:color w:val="111111"/>
          <w:sz w:val="28"/>
          <w:sz w:val="28"/>
          <w:szCs w:val="28"/>
          <w:rtl w:val="true"/>
          <w:lang w:bidi="ar-SA"/>
        </w:rPr>
        <w:t>نذكر هنا أسماء بعض من اتّخذ هذا المنهج</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تيمية لمّا كان مجسّماً في الواقع ومتظاهراً على الخلاف ولكنّه مصرّحاً بوجود الجهة للّه سبحانه وأنّه مستو على عرشه، يقول في نفي نظر جمهرة المسلمين في أنّه سبحانه ليس بجسم وليس في جهة ولا يشار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موجود قائم بنفسه لا يشار إليه ولا يكون داخل العالم ولا</w:t>
      </w:r>
    </w:p>
    <w:p>
      <w:pPr>
        <w:pStyle w:val="BookText"/>
        <w:rPr/>
      </w:pPr>
      <w:r>
        <w:rPr>
          <w:rFonts w:ascii="Amiri" w:hAnsi="Amiri" w:eastAsia="Amiri" w:cs="Amiri"/>
          <w:color w:val="111111"/>
          <w:sz w:val="28"/>
          <w:sz w:val="28"/>
          <w:szCs w:val="28"/>
          <w:rtl w:val="true"/>
          <w:lang w:bidi="ar-SA"/>
        </w:rPr>
        <w:t>خارجه، فهذا ممّا يعلم العقل استحالته، وبطلانه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ترى أنّه يستهدف بكلامه هذا، كافّة المسلمين المنزّهين للّه سبحانه، ويتّهمهم بالارتداد، فما ظنّك بمن يتّخذ ابن تيمية شيخاً للإسلام ويصدر عنه فيما يقضي ويبرم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كلامه الوحيد، بل له كلمات كثيرة يكفّر تلويحاً أو تصريحاً مَن يخالف فكرته،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أنا شافعي الشرع، أشعري الاعتقاد،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الأضداد لا بل من الارتداد</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أنا لا أدري أية ملازمة بين تقليد الشافعي في الفقه والرجوع في العقائد إلى الشيخ الأشعري الذي كان هو شافعياً في الفقه، فعلى ضوء هذه الفتوى فثلث أهل السنّة أو الأكثر مرتدّون، يحلّ دمهم وأموالهم وتفارق زوجاتهم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عبد الوهاب فحدّث عنه ولا حرج، فهو يقول في الرسالة الرابعة المعنونة أربع قواعد الدين تميّز بين المؤمنين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مشركي زماننا أعظم شركاً من الأوّلين، لأنّ الأولين كانوا يخلصون للّه في الشدّة ويشركون في الرخاء، ومشركو زماننا شركهم دائم في الرخاء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آتَيْناهُمْ وَ لِيَتَمَتَّعُوا فَسَوْفَ يَعْلَمُونَ‌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نموذج من كلماته وإلّا فهو في مواضع كثيرة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bookmarkStart w:id="399" w:name="pg16780_177090"/>
    </w:p>
    <w:p>
      <w:pPr>
        <w:pStyle w:val="BookText"/>
        <w:rPr/>
      </w:pPr>
      <w:bookmarkEnd w:id="399"/>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عامّة المسلمين،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تحقّقت أنّهم مقرّون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بأنّ اللّه هو الخالق الرازق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يدخلهم في التوحيد الذي دعا إليه رسول اللّه صلى الله عليه و آله و سلم، وعرفت أنّ التوحيد الذي جحدوه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يسمّيه المشركون في زماننا الاعتقاد</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وتعليقاً على هذه الفقرة يقول الشيخ حسن بن فرحان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 اللّه الشيخ محمداً، ففي هذا النص تكفير صريح لعلماء المسلمين في زمانه أو كثير منهم، فإن كان يقصد كلّ الذين يطلقون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كتب العقيدة، فقد كفّر كلّ العلماء في زمانه، وإن كان يقصد الاعتقاد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بعض العلماء دون نظر لتأويلهم فالتأويل مانع كبير من موانع التكفير، فإن كان قصده الأوّل فهذا من التكفير الخفيّ الذي لا يدركه كلّ قارئ، إذ يصبح مقصود الشيخ بالمشركين في زمانه هم الذين لهم كتب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في أُمّة سوى أُمّة المسلمين</w:t>
      </w:r>
      <w:r>
        <w:rPr>
          <w:rFonts w:eastAsia="Amiri" w:cs="Amiri" w:ascii="Amiri" w:hAnsi="Amiri"/>
          <w:color w:val="111111"/>
          <w:sz w:val="28"/>
          <w:szCs w:val="28"/>
          <w:rtl w:val="true"/>
          <w:lang w:bidi="ar-SA"/>
        </w:rPr>
        <w:t>.</w:t>
      </w:r>
      <w:r>
        <w:rPr>
          <w:rStyle w:val="FootnoteAnchor"/>
          <w:rtl w:val="true"/>
        </w:rPr>
        <w:footnoteReference w:id="412"/>
      </w:r>
    </w:p>
    <w:p>
      <w:pPr>
        <w:pStyle w:val="Heading6"/>
        <w:numPr>
          <w:ilvl w:val="5"/>
          <w:numId w:val="1"/>
        </w:numPr>
        <w:rPr/>
      </w:pPr>
      <w:bookmarkStart w:id="400" w:name="__RefHeading___Toc7189753_73709187"/>
      <w:bookmarkStart w:id="401" w:name="_Toc150"/>
      <w:bookmarkEnd w:id="400"/>
      <w:r>
        <w:rPr/>
        <w:t>2</w:t>
      </w:r>
      <w:r>
        <w:rPr>
          <w:rtl w:val="true"/>
        </w:rPr>
        <w:t xml:space="preserve">. </w:t>
      </w:r>
      <w:r>
        <w:rPr>
          <w:rtl w:val="true"/>
        </w:rPr>
        <w:t>تطهير البرامج الدراسية في بعض الدول</w:t>
      </w:r>
      <w:bookmarkEnd w:id="401"/>
    </w:p>
    <w:p>
      <w:pPr>
        <w:pStyle w:val="BookText"/>
        <w:rPr/>
      </w:pPr>
      <w:r>
        <w:rPr>
          <w:rFonts w:ascii="Amiri" w:hAnsi="Amiri" w:eastAsia="Amiri" w:cs="Amiri"/>
          <w:color w:val="111111"/>
          <w:sz w:val="28"/>
          <w:sz w:val="28"/>
          <w:szCs w:val="28"/>
          <w:rtl w:val="true"/>
          <w:lang w:bidi="ar-SA"/>
        </w:rPr>
        <w:t xml:space="preserve">إنّ وزارات التربية والتعليم في بعض الدول قد أدخلت في برامجها الدراسية الفكر الوهابي في تكفير المسلمين، وتدرّس هذه الأفكار لطلاب المدارس بمراحلها المختلفة، ونحن نذكر أُنموذجاً من منهج التربية الإسلامية للصف العاشر في دولة الكويت، فقد جاء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نوعان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صرف شيء من أنواع العبادة لغير اللّه سبحانه</w:t>
      </w:r>
    </w:p>
    <w:p>
      <w:pPr>
        <w:pStyle w:val="BookText"/>
        <w:rPr/>
      </w:pPr>
      <w:r>
        <w:rPr>
          <w:rFonts w:ascii="Amiri" w:hAnsi="Amiri" w:eastAsia="Amiri" w:cs="Amiri"/>
          <w:color w:val="111111"/>
          <w:sz w:val="28"/>
          <w:sz w:val="28"/>
          <w:szCs w:val="28"/>
          <w:rtl w:val="true"/>
          <w:lang w:bidi="ar-SA"/>
        </w:rPr>
        <w:t>وتعالى كالدعاء لغير اللّه عزّ وجلّ‌، أو التقرب بالذبائح والنذور لغير اللّه عزّ وجلّ من القبور والجن والشياطين، والخوف من الموتى أو غيرهم أن يضرّوه أو يمرضوه وعبادة غير اللّه كالذين عبدوا العجل والكواكب والأحجار والأصنام،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ثمّ إنّه يضع جدولاً يفرق فيه بين حكم الشرك الأكبر والشرك الأصغر، فيذكر أنّه من حيث العقيدة الشرك الأكبر يخرج من ملّة الإسلام، ومن حيث العقوبة فعقوبة الشرك الأكبر هي إباحة دم المشرك وماله وخلوده في النار</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وهنا أُمور أُخرى في علاج هذه المشكلة نذكرها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الموقف الشرعي الواضح والصريح بإدانة التكفير لأحد من أهل القبلة على أساس الاختلافات المذهبية والعقدية المعروفة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وتجريم ممارسات العنف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أبناء الأُمّة وتوعيتهم عبر مناهج التعليم، ووسائل الإعلام، ومنابر الخطاب الديني، من شر وخطر هذه الاتّجاهات التكفيريّة، فهي أعظم منكر يجب النهي عنه والوقوف أمامه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ثقافة الإسلام، وتعاليمه السامية، في التآخي والرحمة والمحبة والتسامح، بين المسلمين، بل بين أبناء البشرية جمعاء، فالناس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 كما قال أمير المؤمنين علي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الجدّية في الحوار والتقارب والتواصل بين قادة المذاهب الإسلامية،</w:t>
      </w:r>
    </w:p>
    <w:p>
      <w:pPr>
        <w:pStyle w:val="BookText"/>
        <w:rPr/>
      </w:pPr>
      <w:r>
        <w:rPr>
          <w:rFonts w:ascii="Amiri" w:hAnsi="Amiri" w:eastAsia="Amiri" w:cs="Amiri"/>
          <w:color w:val="111111"/>
          <w:sz w:val="28"/>
          <w:sz w:val="28"/>
          <w:szCs w:val="28"/>
          <w:rtl w:val="true"/>
          <w:lang w:bidi="ar-SA"/>
        </w:rPr>
        <w:t>وزعامات الأُمّة، ومؤسسات المجتمع المدني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استمرار بذل الجهود وتضافر القوى لمواجهة تيارات التكفير عبر انعقاد المؤتمرات، والنشاط العلمي والإعلامي، وتشكيل لجان المتابعة للقرارات والمقترحات</w:t>
      </w:r>
      <w:r>
        <w:rPr>
          <w:rFonts w:eastAsia="Amiri" w:cs="Amiri" w:ascii="Amiri" w:hAnsi="Amiri"/>
          <w:color w:val="111111"/>
          <w:sz w:val="28"/>
          <w:szCs w:val="28"/>
          <w:rtl w:val="true"/>
          <w:lang w:bidi="ar-SA"/>
        </w:rPr>
        <w:t>.</w:t>
      </w:r>
      <w:bookmarkStart w:id="402" w:name="pg16780_177093"/>
    </w:p>
    <w:p>
      <w:pPr>
        <w:pStyle w:val="Heading4"/>
        <w:numPr>
          <w:ilvl w:val="3"/>
          <w:numId w:val="1"/>
        </w:numPr>
        <w:rPr/>
      </w:pPr>
      <w:bookmarkStart w:id="403" w:name="__RefHeading___Toc7189755_73709187"/>
      <w:bookmarkStart w:id="404" w:name="_Toc151"/>
      <w:bookmarkEnd w:id="402"/>
      <w:bookmarkEnd w:id="403"/>
      <w:r>
        <w:rPr>
          <w:rtl w:val="true"/>
        </w:rPr>
        <w:t>الملاحق</w:t>
      </w:r>
      <w:bookmarkEnd w:id="404"/>
    </w:p>
    <w:p>
      <w:pPr>
        <w:pStyle w:val="Heading5"/>
        <w:numPr>
          <w:ilvl w:val="4"/>
          <w:numId w:val="1"/>
        </w:numPr>
        <w:rPr/>
      </w:pPr>
      <w:bookmarkStart w:id="405" w:name="__RefHeading___Toc7189757_73709187"/>
      <w:bookmarkStart w:id="406" w:name="_Toc152"/>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407" w:name="__RefHeading___Toc7189759_73709187"/>
      <w:bookmarkStart w:id="408" w:name="_Toc153"/>
      <w:bookmarkEnd w:id="407"/>
      <w:r>
        <w:rPr>
          <w:rtl w:val="true"/>
        </w:rPr>
        <w:t xml:space="preserve">الملحق </w:t>
      </w:r>
      <w:r>
        <w:rPr/>
        <w:t>1</w:t>
      </w:r>
      <w:bookmarkEnd w:id="408"/>
    </w:p>
    <w:p>
      <w:pPr>
        <w:pStyle w:val="Heading6"/>
        <w:numPr>
          <w:ilvl w:val="5"/>
          <w:numId w:val="1"/>
        </w:numPr>
        <w:rPr/>
      </w:pPr>
      <w:bookmarkStart w:id="409" w:name="__RefHeading___Toc7189761_73709187"/>
      <w:bookmarkStart w:id="410" w:name="_Toc154"/>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 ظاهرة التكفير ودوافع عقد المؤتمر</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الإيمان والكفر مفهومان متضايفان، فعندما نذكر أحدهما يتداعى الثاني إلى ذهننا، ويطلق على هذه الحالة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التصديق والاعتقاد،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الستر وأحياناً يفيد الإنكار، وبحسب ما اصطلح عليه المتكلّمون فإنّ المقصود بالإيمان هو التصديق بنبوة النبيّ وبرسالته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تجاهل دعوة هذا النبيّ وتكذيبه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دعوة معلّمي السماء تشي أنّه في كلّ عصر بُعث فيه الأنبياء وجاءُوا بالأدلّة والبراهين الّتي تؤكّد على صدق دعوتهم، انشطرت مجتمعاتهم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آمنت بالدعوة، وأُخرى كفرت بها؛ فالذي آمن بالدعوة وصدّقها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قلب ظهر المجن لها وكذّب بها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منهج جميع الأنبياء في الدعوة إلى الأُصول واحد، ولا يوجد أي اختلاف بينهم، ففي جميع الدعوات كان أفراد الفئة المؤمنة إنّما</w:t>
      </w:r>
    </w:p>
    <w:p>
      <w:pPr>
        <w:pStyle w:val="BookText"/>
        <w:rPr/>
      </w:pPr>
      <w:r>
        <w:rPr>
          <w:rFonts w:ascii="Amiri" w:hAnsi="Amiri" w:eastAsia="Amiri" w:cs="Amiri"/>
          <w:color w:val="111111"/>
          <w:sz w:val="28"/>
          <w:sz w:val="28"/>
          <w:szCs w:val="28"/>
          <w:rtl w:val="true"/>
          <w:lang w:bidi="ar-SA"/>
        </w:rPr>
        <w:t>يؤمنون باللّه الخالق المدبّر والحكيم الّذي لا معبود سواه، ويصدّقون رسالة نبيّ عصرهم بكلّ 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قضت إرادة اللّه تعالى ببعث النبيّ الخاتم صلى الله عليه و آله و سلم كانت علامة إيمان الناس بالدعوة النطق بعبارتين تفصحان عن الإيمان الّذي في مكنونهم،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كان ينطق بالشهادتين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أفراداً أو جماعات، كان يدخل في حظيرة الإسلام، وينفصل عن دائرة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فإنّ الإقرار بكلمة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تنطوي على سلب الإلوهية من كلّ موجود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الإقرار بثلاثة أنواع للتوحيد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الخالقية،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التدبير،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الأنواع الثلاثة هي من خصوصيات إله العالمين لا خلائقه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أنّ الأساس الّذي تقوم عليه أيّ دعوة إلهية هو الإيمان بالآخرة، طبعاً الإقرار بالحياة الأُخروية، كما أنّ التوحيد والرسالة، يعدّ من العناصر الإيجابية في الإيمان الّذي يستكنه أعماق كلمة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رجعنا إلى السيرة النبوية المعطّرة سوف نطالع صفحة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 الّذي تقاطرت فيه الوفود على المدينة المنورّة من كل حدب وصوب، زرافات ووحداناً، لتبايع الرسول الأكرم صلى الله عليه و آله و سلم، ولتستظل بخيمة الإسلام من خلال النطق بالعبارتين المذكورتين اللّتين تختزلان الإيمان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الشأن نزلت سورة النصر المباركة لتصدح بالآيات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مفتاح دخول هذه الأفواج في الإسلام كان النطق بالشهادتين فحسب، ولم تكن ثمّة مسائل كلامية أو فقهية تشترط قبول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يكن هؤلاء</w:t>
      </w:r>
    </w:p>
    <w:p>
      <w:pPr>
        <w:pStyle w:val="BookText"/>
        <w:rPr/>
      </w:pPr>
      <w:r>
        <w:rPr>
          <w:rFonts w:ascii="Amiri" w:hAnsi="Amiri" w:eastAsia="Amiri" w:cs="Amiri"/>
          <w:color w:val="111111"/>
          <w:sz w:val="28"/>
          <w:sz w:val="28"/>
          <w:szCs w:val="28"/>
          <w:rtl w:val="true"/>
          <w:lang w:bidi="ar-SA"/>
        </w:rPr>
        <w:t>يُساءَلوا عن مكان اللّه أو رؤيته في يوم البعث أو خلق القرآن وقدمه، وغير ذلك من الأسئلة، وإنّما إيمانهم الكلّي برسالة خاتم الأنبياء صلى الله عليه و آله و سلم كان يغنيهم عن كلّ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يُساءَلوا عن مسألة جواز التوسّل بالأنبياء والأولياء أو الصلاة إلى جانب القبور أو زيارة قبور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العصر الراهن، ثمّة فرقة متطرّفة وجاهلة بأُصول الشريعة المحمّدية وقواعدها، صارت تحتكر الإسلام والإيمان، فتعتبر فئة قليلة هي المؤمنة وسائر المسلمين كفّاراً ومهدوري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جذور هذا النمط من التكفير إلى عصر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والوهابيّين المتطرّفين من بعده، بل أنّ الوهابيين ذهبوا في تطرّفهم إلى مديات أبعد، ذلك أنّ ابن تيمية كان في أغلب الأحيان يستخدم كلمة البدعة، بينما الفرقة الوهابية استعاضت عنها بكلمة الكفر، فأصبح معيار التكفير عندها هو مخالفة أفكارها في المسائل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وتعارض هذه الفرقة بشدّة بناء أضرحة الأنبياء وأولياء اللّه وتعتبر ذلك من مظاهر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شهد الإسلام عبر تاريخه الطويل بناء أضرحة الأنبياء والمحافظة عليها في فلسطين والأردن والشام والعراق، وكان المسلمون يأتون إلى زيارتها أفواجاً أفواجاً، ولم يخرج علينا أحد ليصف هذا العمل بأنّه مخالف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عندما فتح الخليفة عمر بن الخطاب بيت المقدس لم يأمر أبداً بهدم تلك المزارات والمقامات المقدّسة، وإنّما واصل نهج الماضين في المحافظة عليها وتزيينها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وطيلة الفترة الّتي تلت رحلة النبيّ الأكرم صلى الله عليه و آله و سلم كان جميع الموحّدين يتوسّلون بمقام النبيّ الأعظم صلى الله عليه و آله و سلم ليشفع لهم في قضاء حوائجهم، غير أنّ هذه الفرقة تساوي بين هذا التوسّل وبين توسّل المشركين بالأصنام، في حين أنّ‌</w:t>
      </w:r>
      <w:bookmarkStart w:id="411" w:name="pg16780_177096"/>
    </w:p>
    <w:p>
      <w:pPr>
        <w:pStyle w:val="BookText"/>
        <w:rPr/>
      </w:pPr>
      <w:bookmarkEnd w:id="411"/>
      <w:r>
        <w:rPr>
          <w:rFonts w:ascii="Amiri" w:hAnsi="Amiri" w:eastAsia="Amiri" w:cs="Amiri"/>
          <w:color w:val="111111"/>
          <w:sz w:val="28"/>
          <w:sz w:val="28"/>
          <w:szCs w:val="28"/>
          <w:rtl w:val="true"/>
          <w:lang w:bidi="ar-SA"/>
        </w:rPr>
        <w:t>جوهر كلّ منهما متمايز عن الآخر والمسافة بينهما كالمسافة بين الأرض والسماء</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7189763_73709187"/>
      <w:bookmarkStart w:id="413" w:name="_Toc155"/>
      <w:bookmarkEnd w:id="412"/>
      <w:r>
        <w:rPr>
          <w:rtl w:val="true"/>
        </w:rPr>
        <w:t>التكفير العنيف</w:t>
      </w:r>
      <w:bookmarkEnd w:id="413"/>
    </w:p>
    <w:p>
      <w:pPr>
        <w:pStyle w:val="BookText"/>
        <w:rPr/>
      </w:pPr>
      <w:r>
        <w:rPr>
          <w:rFonts w:ascii="Amiri" w:hAnsi="Amiri" w:eastAsia="Amiri" w:cs="Amiri"/>
          <w:color w:val="111111"/>
          <w:sz w:val="28"/>
          <w:sz w:val="28"/>
          <w:szCs w:val="28"/>
          <w:rtl w:val="true"/>
          <w:lang w:bidi="ar-SA"/>
        </w:rPr>
        <w:t xml:space="preserve">كان التكفير عند أسلاف هذه الفرقة بالقلم واللسان، لكنّه أخذ طابعاً عنيفاً في عهد الوهابيّين المتطرّفين، حيث كان أتباعهم يغيرون على القرى والقصبات والقرى المحيطة بمنطقة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وينهبون ما أمكنهم، وبذلك أصبحت لديهم قوّة مالية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وللاطّلاع على الجرائم الّتي ارتكبها مؤسّسو هذه الفرقة ومن جاء بعدهم ننصح بمراجعة مصدرين معتبرين في تاريخ الوهابية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ابن 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صدرا منذ فترة وأصبحا موضع اهتمام العلماء والمفكّرين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نريد الإطالة في هذا المقام، لذا، سوف نختم كلمتنا بهذا البيت من الشعر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اين هجران و اين خون جگر اين زمان بگذار تا وقت دگر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سرد قصة هذا الهجران واترك مصائب هذا الزمان لوقت آخر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يشار إلى أنّه بعد احتلال أفغانستان من قبل الجيش الأحمر السوفيتي اتُّخذ قرار بتوظيف الروح الجهادية للشباب المسلم في المنطقة لدحر قوى الكفر وطرد الأعداء من الأراضي الإسلامية، فكان قراراً رائعاً وفيه مرضاة اللّه، بيد أنّ عدم وجود عالم ورع وقيادة واعية بأُصول الجهاد في أوساط هؤلاء الجهاديّين لتقودهم وفق النهج السليم، سبّب انحراف هؤلاء المقاتلين باتّجاه آخر، فتأثّر بعضهم بالأفكار الوهابية وراحوا يكفّرون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ولسوء الطالع، انطلقت هذه الحملة أوّلاً ضدّ دول المقاومة والممانعة الصامدة بوجه الصهاينة، وبدلاً من تحرير القدس، راح هؤلاء يدمّرون البنى التحتية في سورية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عنفهم وإرهابهم ضدّ الأطفال والنساء والشيوخ والعجزة والأبرياء مبلغاً شاهت معه صورة الإسلام في العالم، ولم يعد في الغرب من يتعاطف مع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الأعمال المروّعة لهذه الجماعات من كلمات الوحي الإلهي حيث يقول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ويقول النبيّ الأكرم صلى الله عليه و آله و سلم في حديث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يكونُ في شيء إلّا زانه، ولا يُنزَعُ مِن شيء إلّاشانه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 هذه الظروف المفجعة، قرّرت المرجعية الرشيدة في الحوزة العلمية بقم عقد مؤتمر عالمي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لتسليط الضوء على هذه الفرقة وما يترتّب على أعمالها من نتائج وعواقب وخيمة، وفي هذا الإطار تمّ توجيه نداء إلى العلماء والباحثين في العالم الإسلامي من أجل سبر جذور التكفير وتعرية جوهره الشرير، والسبل الكفيلة بالخلاص من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لاقى النداء استجابة طيّبة من لدن العلماء انعكس في إرسال العديد من الآثار إلى الأمانة العامة للمؤتمر، وكانت مضامين معظمها على درجة عالية من الجودة والقيمة، وبناءً عليه قرّرت الأمانة المذكورة أن تأخذ على عاتقها طبع ونشر هذه الآثار ووضعها في متناول أصحاب الرأي وضيوف المؤتمر الأعزّاء من داخل البلاد وخارجها، لتكون خطوة على طريق الحؤول دون استفحال خطر هذه الغدة السرطانية المدمّرة وانتشار هذا الفايروس المرعب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لا يسعني إلّاأن أُثني على الجهود المضنية لأعضاء الأمانة العامّة المحترمين الّذين واصلوا الليل بالنهار، وأقدّر عالياً ما بذلوه خلال الفترة الماضية، كما وأشكر جميع الّذين ساهموا في خلق هذه الأجواء الروحانية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bookmarkStart w:id="414" w:name="pg16780_177099"/>
    </w:p>
    <w:p>
      <w:pPr>
        <w:pStyle w:val="Heading5"/>
        <w:numPr>
          <w:ilvl w:val="4"/>
          <w:numId w:val="1"/>
        </w:numPr>
        <w:rPr/>
      </w:pPr>
      <w:bookmarkStart w:id="415" w:name="__RefHeading___Toc7189765_73709187"/>
      <w:bookmarkStart w:id="416" w:name="_Toc156"/>
      <w:bookmarkEnd w:id="414"/>
      <w:bookmarkEnd w:id="415"/>
      <w:r>
        <w:rPr>
          <w:rtl w:val="true"/>
        </w:rPr>
        <w:t xml:space="preserve">الملحق </w:t>
      </w:r>
      <w:r>
        <w:rPr/>
        <w:t>2</w:t>
      </w:r>
      <w:bookmarkEnd w:id="416"/>
    </w:p>
    <w:p>
      <w:pPr>
        <w:pStyle w:val="Heading6"/>
        <w:numPr>
          <w:ilvl w:val="5"/>
          <w:numId w:val="1"/>
        </w:numPr>
        <w:rPr/>
      </w:pPr>
      <w:bookmarkStart w:id="417" w:name="__RefHeading___Toc7189767_73709187"/>
      <w:bookmarkStart w:id="418" w:name="_Toc157"/>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أنبيائه ورسله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نرحّب بالإخوة العلماء والمفكّرين حضّار هذا المؤتمر المبارك الّذين شعروا بخطورة الموقف فلبّوا الدعوة وأتحفونا بأبحاثهم وأفكارهم القيّمة، شكر اللّه مساعيهم</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7189769_73709187"/>
      <w:bookmarkStart w:id="420" w:name="_Toc158"/>
      <w:bookmarkEnd w:id="419"/>
      <w:r>
        <w:rPr>
          <w:rtl w:val="true"/>
        </w:rPr>
        <w:t>كيف نواجه ظاهرة التكفير؟</w:t>
      </w:r>
      <w:bookmarkEnd w:id="420"/>
    </w:p>
    <w:p>
      <w:pPr>
        <w:pStyle w:val="BookText"/>
        <w:rPr/>
      </w:pPr>
      <w:r>
        <w:rPr>
          <w:rFonts w:ascii="Amiri" w:hAnsi="Amiri" w:eastAsia="Amiri" w:cs="Amiri"/>
          <w:color w:val="111111"/>
          <w:sz w:val="28"/>
          <w:sz w:val="28"/>
          <w:szCs w:val="28"/>
          <w:rtl w:val="true"/>
          <w:lang w:bidi="ar-SA"/>
        </w:rPr>
        <w:t>كيف نواجه ظاهرة التكفير؟</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إنّ هذه الكلمات الطيّبة الّتي سمعناها بارتياح غامر، من الأساتذة والعلماء بلغات مختلفة كلّها تُعرب عن أنّ الأعزّاء يستنكرون التكفير بكافة صوره، ويعتقدون بأنّه يضادّ تعاليم الإسلام ومبادئه، ويقف بوجه فتاوى فقهاء الإسلام الرافضين لتكفير أهل القبلة إلّاإذا ثبت كفر واحد منهم لدى المحكمة الشرعية العارفة بملاكات الكفر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لهذه المؤتمرات دوراً فعالاً في إبطال عقيدة التكفيريين، كما أنّ لفتاوى علماء الإسلام آثاراً مطلوبة في هذا الطريق، لاسيّما إذا أجمعوا على ذلك، إلّاأنّه من الواضح لا يمكن الاكتفاء بذلك بل الواجب هو وضع خطط وبرامج عملية لاستئصال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نوصي بما يلي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وتثقيف أبناء الأُمة الإسلامية عبر مناهج التعليم ووسائل</w:t>
      </w:r>
    </w:p>
    <w:p>
      <w:pPr>
        <w:pStyle w:val="BookText"/>
        <w:rPr/>
      </w:pPr>
      <w:r>
        <w:rPr>
          <w:rFonts w:ascii="Amiri" w:hAnsi="Amiri" w:eastAsia="Amiri" w:cs="Amiri"/>
          <w:color w:val="111111"/>
          <w:sz w:val="28"/>
          <w:sz w:val="28"/>
          <w:szCs w:val="28"/>
          <w:rtl w:val="true"/>
          <w:lang w:bidi="ar-SA"/>
        </w:rPr>
        <w:t>الإعلام ومنابر الخطاب الديني بخطورة هذه الاتّجاهات التكفيرية، وأنّها أعظم منكر يجب النهي عنه والوقوف أمامه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ثَمّة منكر في المجتمع يجب إنكاره والتنديدُ به، فتكفير أهل القبلة الّذين يصلّون ويصومون ويؤتون الزكاة ويحجّون أكبر منكر يتصوّر في العالم، حيث إنّ المسلم يقتل أخاه المسلم ويحقّق بذلك أهداف قوى الشرّ والطغيان الّتي تتربّص بأُمتنا الدوائر، وفي مقدّمتها الكيان الصهيوني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ثقافة الإسلام وتعاليمه الّتي تدعو إلى التآخي والمحبّة والتسامح بين المسلمين، بل بين أبناء البشرية جميعاً، فالناس كما 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إمّا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ولكلّ حقّ على الإنسان المسلم، ولكن فتنة التكفير وما رافقها من عمليات إجرامية بشعة نفّذها الإرهابيون قد شوّهت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الإسلام الحنيف لغير المسلمين بل حتّى في أذهان الضعفاء من المسلمين، فكأنّ الإسلام دين دموي قد جُرّد من الرحمة والرأفة، وكأنّه ليس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يبدأ به المسلم أعماله وأقواله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الجهود لأجل تعميق الحوار والتقارب والتواصل بين قادة المذاهب وزعامات الأُمة الإسلامية والحوزات العلمية والجامعات الإسلامية ومراكز الدراسات العليا، فإنّ ما يجمعهم أكثر ممّا يفرقهم كما قال شاعر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لتجمعنا العقيدة أُمّة ويضمّنا دين الهدى اتباعا</w:t>
      </w:r>
    </w:p>
    <w:p>
      <w:p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المؤتمر مفيد جداً حيث ضمّ عدداً كبيراً من علماء الإسلام ومفكّريهم، وقد أوضحوا الحال وبيّنوا خطورة الموقف، وسوف يحملون لبلادهم أفكار هذا المؤتمر، ومع ذلك فهذا المؤتمر غير كافٍ وحده، في تحقيق</w:t>
      </w:r>
    </w:p>
    <w:p>
      <w:pPr>
        <w:pStyle w:val="BookText"/>
        <w:rPr/>
      </w:pPr>
      <w:r>
        <w:rPr>
          <w:rFonts w:ascii="Amiri" w:hAnsi="Amiri" w:eastAsia="Amiri" w:cs="Amiri"/>
          <w:color w:val="111111"/>
          <w:sz w:val="28"/>
          <w:sz w:val="28"/>
          <w:szCs w:val="28"/>
          <w:rtl w:val="true"/>
          <w:lang w:bidi="ar-SA"/>
        </w:rPr>
        <w:t>أهدافه، ولذا نقترح أن يستمر هذا النوع من الاجتماعات حيناً بعد حين بعيداً عن النوازع الشخصية والميول الجانبية، بل نقترح فوق ذلك تشكيل هيئة علمية تتابع هذا الموضوع بين فترة وفترة، وتكون حلقة اتّصال بين المحقّقين والمفكّرين والقادة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الهيئة يجب أن تزوَّد بوسائل إعلام متطوّرة لكي تبيّن موقف الإسلام الصحيح إلى الشباب المسلم المتحمّس في كلّ مكان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واجبات هذه الهيئة الإجابة عن شبهات التكفيريّين الّتي ينشرونها في مجلاتهم ومواقعهم وقنواتهم الفضائية، حتّى يتبين الحقّ لمن يريد الحقّ‌، ويرجع المغرَّر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بين المسلمين فوارق في مسائل عقدية وفقهية، ولكلٍّ دليله على ما يعتقد أو يفتي به، ولكن الواجب عند التعرّف على مذهب ما، هو الرجوع إلى مصادره الأصلية المؤلَّفة بأقلام علمائه، وعدم الاتّكال على كلّ كتاب أُلِّف باسم المذهب، فإنّ الاعتماد على نقل الآخرين هو من الأسباب الرئيسية للابتعاد والافتراق، ونحن لا نريد أن نأتي بمثال أو نذكر مورداً، ولكنّي أعتقد أنّ الكثير من الفروق الموجودة في الأذهان أو في صفحات الكتب، تنشأ من التساهل في التعرّف على حقيقة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عجائب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نسمع بين فترة وأُخرى أنّ بعض وزراء الدول الغربية يستنكرون الإرهاب وعمل التكفيريّين، ويصفون عملهم هذا بأنّه بعيد عن روح الإسلام في الوقت الّذي يسكت بعض مَن يُترقَّب منه القيام بهذا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مناهج التعليم من بذور التكفير، حيث إنّ المناهج الدراسية لها تأثير خاص في نمو هذه الفكرة في أذهان الناشئة، وممّا يُؤسف له أنّ مناهج التعليم في عدد من الدول الإسلامية يتّجه نحو بذر هذا الانحراف في أذهان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يُتلى في المعاهد والمدارس الدينية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شرك الأوّلين أخف من شرك أهل زماننا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فالإرهاب يبقى سائداً ما دامت الدراسة مبنية على هذه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الإرهاب يبقى سائداً ما دامت المناهج الدراسية 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التوسّل بالأنبياء والأولياء هو الشرك الأكبر،</w:t>
      </w:r>
      <w:r>
        <w:rPr>
          <w:rStyle w:val="FootnoteAnchor"/>
          <w:rtl w:val="true"/>
        </w:rPr>
        <w:footnoteReference w:id="419"/>
      </w:r>
      <w:r>
        <w:rPr>
          <w:rFonts w:ascii="Amiri" w:hAnsi="Amiri" w:eastAsia="Amiri" w:cs="Amiri"/>
          <w:color w:val="111111"/>
          <w:sz w:val="28"/>
          <w:sz w:val="28"/>
          <w:szCs w:val="28"/>
          <w:rtl w:val="true"/>
          <w:lang w:bidi="ar-SA"/>
        </w:rPr>
        <w:t>أو ما دمنا نرى أنّ وزارات الإعلام تُجيز نشر الكتب الّتي تروّج للأفكار المتشدّدة الّتي تُذكي نار الخلاف، وتدعو إلى التفرقة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جذور ظاهرة التكفير تعود غالباً إلى الفهم الخاطئ عن مفهوم الإيمان والكفر أو التوحيد والشرك والبدعة، فنقترح تشكيل مؤتمر حول هذه المفاهيم تحديداً وتبييناً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يضفي الضرورة على ذلك أنّ كثيراً من قادة هذه العصابة يطبّقون كثيراً من الآيات النازلة بحقّ المشركين على أهل القبلة، بينما هم لا يفرّقون بين البدعة اللغوية والبدعة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أُطروحتنا لحضّار هذا المؤتمر حفظهم اللّه ووفقهم لكلّ خير وصلاح، عسى أن تكون مورد القبول والرضا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bookmarkStart w:id="421" w:name="pg16780_177103"/>
    </w:p>
    <w:p>
      <w:pPr>
        <w:pStyle w:val="Heading3"/>
        <w:numPr>
          <w:ilvl w:val="2"/>
          <w:numId w:val="1"/>
        </w:numPr>
        <w:rPr/>
      </w:pPr>
      <w:bookmarkStart w:id="422" w:name="__RefHeading___Toc7189771_73709187"/>
      <w:bookmarkStart w:id="423" w:name="_Toc159"/>
      <w:bookmarkEnd w:id="421"/>
      <w:bookmarkEnd w:id="422"/>
      <w:r>
        <w:rPr/>
        <w:t>3</w:t>
      </w:r>
      <w:r>
        <w:rPr>
          <w:rtl w:val="true"/>
        </w:rPr>
        <w:t xml:space="preserve"> </w:t>
      </w:r>
      <w:r>
        <w:rPr>
          <w:rtl w:val="true"/>
        </w:rPr>
        <w:t>آل البيت عليهم السلام وحقوقهم الشرعية</w:t>
      </w:r>
      <w:bookmarkEnd w:id="4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7189773_73709187"/>
      <w:bookmarkStart w:id="425" w:name="_Toc160"/>
      <w:bookmarkEnd w:id="424"/>
      <w:r>
        <w:rPr>
          <w:rtl w:val="true"/>
        </w:rPr>
        <w:t>اشارة</w:t>
      </w:r>
      <w:bookmarkStart w:id="426" w:name="pg16780_177105"/>
      <w:bookmarkEnd w:id="425"/>
    </w:p>
    <w:p>
      <w:pPr>
        <w:pStyle w:val="BookText"/>
        <w:rPr/>
      </w:pPr>
      <w:bookmarkEnd w:id="42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27" w:name="__RefHeading___Toc7189775_73709187"/>
      <w:bookmarkStart w:id="428" w:name="_Toc161"/>
      <w:bookmarkEnd w:id="427"/>
      <w:r>
        <w:rPr>
          <w:rtl w:val="true"/>
        </w:rPr>
        <w:t>تمهيد</w:t>
      </w:r>
      <w:bookmarkEnd w:id="428"/>
    </w:p>
    <w:p>
      <w:pPr>
        <w:pStyle w:val="BookText"/>
        <w:rPr/>
      </w:pPr>
      <w:r>
        <w:rPr>
          <w:rFonts w:ascii="Amiri" w:hAnsi="Amiri" w:eastAsia="Amiri" w:cs="Amiri"/>
          <w:color w:val="111111"/>
          <w:sz w:val="28"/>
          <w:sz w:val="28"/>
          <w:szCs w:val="28"/>
          <w:rtl w:val="true"/>
          <w:lang w:bidi="ar-SA"/>
        </w:rPr>
        <w:t>الحمد للّه رب العالمين، والصلاة والسلام على النبي الخاتم، وعلى أهل بيته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في يدي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صالح بن عبداللّه الدرويش القاضي بالمحكمة العامة بالقطيف، نشرته دار ابن الجوزي، فطالعته ووقفت على ما فيه، فوجدته قد جارى فيه ما كتبه ابن تيمية من قبل في كتابه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فارق بين الكتابين يتمثّل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تعرّفت على المؤلِّف من قبلُ من خلال رسائله إليَّ‌، والمكاتبات الّتي دارت بيننا وبينه</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 المؤلّف قد راعى أدب الكتابة ونزاهة القلم عمّا يشينه، إلّا أنّه لم يعط الموضوع حقّه في ما كتب، ولعلّ عذره في ذلك، ممارسته لمهمة القضاء الّتي تأخذ منه وقتاً كثيراً، وتعيقه عن الرجوع إلى المصادر والكتب الّتي تعالج الموضوع الّذي يمارس الكتابة فيه، ولذلك أخذت على عاتقي أن أكتب بعض التعاليق على الفصول التي رَتّب كتابه المذكور عليها، سالكاً طريق</w:t>
      </w:r>
    </w:p>
    <w:p>
      <w:pPr>
        <w:pStyle w:val="BookText"/>
        <w:rPr/>
      </w:pPr>
      <w:r>
        <w:rPr>
          <w:rFonts w:ascii="Amiri" w:hAnsi="Amiri" w:eastAsia="Amiri" w:cs="Amiri"/>
          <w:color w:val="111111"/>
          <w:sz w:val="28"/>
          <w:sz w:val="28"/>
          <w:szCs w:val="28"/>
          <w:rtl w:val="true"/>
          <w:lang w:bidi="ar-SA"/>
        </w:rPr>
        <w:t>الإيجاز، مشيراً إلى ما هو المهمّ من كلماته، راجياً من اللّه سبحانه أنّ يهدينا إلى سواء السبيل، وينقذنا من التعصّب لغير الحق، إنّه على 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bookmarkStart w:id="429" w:name="pg16780_177107"/>
    </w:p>
    <w:p>
      <w:pPr>
        <w:pStyle w:val="Heading4"/>
        <w:numPr>
          <w:ilvl w:val="3"/>
          <w:numId w:val="1"/>
        </w:numPr>
        <w:rPr/>
      </w:pPr>
      <w:bookmarkStart w:id="430" w:name="__RefHeading___Toc7189777_73709187"/>
      <w:bookmarkStart w:id="431" w:name="_Toc162"/>
      <w:bookmarkEnd w:id="429"/>
      <w:bookmarkEnd w:id="430"/>
      <w:r>
        <w:rPr>
          <w:rtl w:val="true"/>
        </w:rPr>
        <w:t xml:space="preserve">الفصل الأوّل في تفسير </w:t>
      </w:r>
      <w:r>
        <w:rPr>
          <w:rtl w:val="true"/>
        </w:rPr>
        <w:t>«</w:t>
      </w:r>
      <w:r>
        <w:rPr>
          <w:rtl w:val="true"/>
        </w:rPr>
        <w:t>أهل البيت</w:t>
      </w:r>
      <w:r>
        <w:rPr>
          <w:rtl w:val="true"/>
        </w:rPr>
        <w:t>»</w:t>
      </w:r>
      <w:bookmarkEnd w:id="431"/>
    </w:p>
    <w:p>
      <w:pPr>
        <w:pStyle w:val="Heading5"/>
        <w:numPr>
          <w:ilvl w:val="4"/>
          <w:numId w:val="1"/>
        </w:numPr>
        <w:rPr/>
      </w:pPr>
      <w:bookmarkStart w:id="432" w:name="__RefHeading___Toc7189779_73709187"/>
      <w:bookmarkStart w:id="433" w:name="_Toc163"/>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نقل المؤلّف في تحديد معنى آل البيت أقوالاً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حرمت عليهم الصدقة، وبه قال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ذريّة النبي صلى الله عليه و آله و سلم وأزواجه خاصّة، وهو مختار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النبي صلى الله عليه و آله و سلم إلى يوم القيامة، واختاره الإمام النووي من الشافعية والمرداوي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الاتقياء من أُمّته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استعرض الآراء أشار إلى المختار لديه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والراجح من هذه الأقوال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حُرِّمت عليهم الصدقة‌؟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 وبنو المطلب، هذا هو الراجح؛ لقول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بنو هاشم وبنو المطلب شيء واحد</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ومن العلماء مَنْ قصر التحريمَ على بني هاشم فقط دون بني المطلب</w:t>
      </w:r>
      <w:r>
        <w:rPr>
          <w:rFonts w:eastAsia="Amiri" w:cs="Amiri" w:ascii="Amiri" w:hAnsi="Amiri"/>
          <w:color w:val="111111"/>
          <w:sz w:val="28"/>
          <w:szCs w:val="28"/>
          <w:rtl w:val="true"/>
          <w:lang w:bidi="ar-SA"/>
        </w:rPr>
        <w:t>.</w:t>
      </w:r>
      <w:r>
        <w:rPr>
          <w:rStyle w:val="FootnoteAnchor"/>
          <w:rtl w:val="true"/>
        </w:rPr>
        <w:footnoteReference w:id="422"/>
      </w:r>
    </w:p>
    <w:p>
      <w:pPr>
        <w:pStyle w:val="Heading5"/>
        <w:numPr>
          <w:ilvl w:val="4"/>
          <w:numId w:val="1"/>
        </w:numPr>
        <w:rPr/>
      </w:pPr>
      <w:bookmarkStart w:id="434" w:name="__RefHeading___Toc7189781_73709187"/>
      <w:bookmarkStart w:id="435" w:name="_Toc164"/>
      <w:bookmarkEnd w:id="434"/>
      <w:r>
        <w:rPr>
          <w:rtl w:val="true"/>
        </w:rPr>
        <w:t>مَنْ حُرّمت عليهم الصدقة‌؟</w:t>
      </w:r>
      <w:bookmarkEnd w:id="43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لايهمنا تحديد مَنْ حُرّمت عليهم الصدقة، وهل هم بنو هاشم فقط، أو هم وبنو المطلب‌؟</w:t>
      </w:r>
    </w:p>
    <w:p>
      <w:pPr>
        <w:pStyle w:val="BookText"/>
        <w:rPr/>
      </w:pPr>
      <w:r>
        <w:rPr>
          <w:rFonts w:ascii="Amiri" w:hAnsi="Amiri" w:eastAsia="Amiri" w:cs="Amiri"/>
          <w:color w:val="111111"/>
          <w:sz w:val="28"/>
          <w:sz w:val="28"/>
          <w:szCs w:val="28"/>
          <w:rtl w:val="true"/>
          <w:lang w:bidi="ar-SA"/>
        </w:rPr>
        <w:t>وقد جنح الشيخ إلى التعميم، ولكنّه لو درس أدلّة المسألة بعمق ودون تقليد، لاختار المعنى الأوّل، وذلك لأنّ دليل حرمة الصدقة هو الحديثان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إنّ اللّه حرّم عليكم غُسالة أوساخهم وعوّضكم عنها بخمس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الصدقات إنّما هي أوساخ الناس، وإنّها لا تحلّ لمحمد ولا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الحديثين قاصران عن إثبات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فيه هو بنو هاشم، وهم ولد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وجعفر وعلي، وولد العباس بن عبدالمطلب، وولد أبي لهب، وولد الحارث بن عبدالمطلب فقط، إذ لا عقب لهاشم إلّامن هؤلاء، وعلى هذا فلا تحرم الصّدقة على ولد المطلب ونوفل وعبد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أضيق وهو آل محمد، وقد رواه مسلم في صحيحه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وذلك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ينتمي إلى النبي بالنسب، ومن المعلوم أنّ بني هاشم أقرب إلى النبي من بني المطلب؛ لأَنَّ النبي ينتمي في عمود النسب إلى هاشم لا إلى المطلب، فهو محمد بن عبداللّه بن عبدالمطلب بن هاشم، والمطلب كان أخا هاشم، فهو عمّ جدّ النبي، أي عبدالمطلب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استدلّ به على سعة الموضوع وشموله لأبناء المطلب بما روي من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هاشم وبنو المطلب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قاصر الدلالة على ما يتبنّاه، لأنّ المؤلّف نقل الحديث مبتوراً وهو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وبنو المطلب لم</w:t>
      </w:r>
      <w:bookmarkStart w:id="436" w:name="pg16780_177109"/>
    </w:p>
    <w:p>
      <w:pPr>
        <w:pStyle w:val="BookText"/>
        <w:rPr/>
      </w:pPr>
      <w:bookmarkEnd w:id="436"/>
      <w:r>
        <w:rPr>
          <w:rFonts w:ascii="Amiri" w:hAnsi="Amiri" w:eastAsia="Amiri" w:cs="Amiri"/>
          <w:color w:val="111111"/>
          <w:sz w:val="28"/>
          <w:sz w:val="28"/>
          <w:szCs w:val="28"/>
          <w:rtl w:val="true"/>
          <w:lang w:bidi="ar-SA"/>
        </w:rPr>
        <w:t>نفترق في جاهلية ولا في إسلام، وإنّما نحن وهم شيء واحد</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بنو هاشم وبنو المطلب شيء واحد، وشبك بين أصابعه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فحينئذ يقع الكلام في ما هو المراد من التوحيد بين القبيلتين‌؟</w:t>
      </w:r>
    </w:p>
    <w:p>
      <w:pPr>
        <w:pStyle w:val="BookText"/>
        <w:rPr/>
      </w:pPr>
      <w:r>
        <w:rPr>
          <w:rFonts w:ascii="Amiri" w:hAnsi="Amiri" w:eastAsia="Amiri" w:cs="Amiri"/>
          <w:color w:val="111111"/>
          <w:sz w:val="28"/>
          <w:sz w:val="28"/>
          <w:szCs w:val="28"/>
          <w:rtl w:val="true"/>
          <w:lang w:bidi="ar-SA"/>
        </w:rPr>
        <w:t>فهل المراد هو الوحدة النسبية‌؟ أو المراد التكاتف والوحدة في الكلمة في عصري الجاهلية والإسلام‌؟ أو المراد به اشتراكهما في أخذ الخمس أو حرمة الصدقة‌؟ ومع هذه الاحتمالات المتعدّدة كيف يمكن الاحتجاج بهذا الحديث على حرمة الصدقة عليهم‌؟</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توسيع مفهوم آل البيت بهذا النحو هو خفض لمقامهم بإدخال كثير من الناس الذين لم يسجّل التاريخ لهم طهارة نفسانية ولا مواقف محمودة تحت هذا المفهوم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موضوع تحريم الصدقة، وقد عرفت أنّ الحق هو خلاف ما اختاره المؤلّف</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7189783_73709187"/>
      <w:bookmarkStart w:id="438" w:name="_Toc165"/>
      <w:bookmarkEnd w:id="437"/>
      <w:r>
        <w:rPr>
          <w:rtl w:val="true"/>
        </w:rPr>
        <w:t>تفسير آل البيت بمَن تحرم عليه الصدقة</w:t>
      </w:r>
      <w:bookmarkEnd w:id="4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لم يذكر على تفسير آل البيت بمَن تحرم عليهم الصدقة دليلاً، ولا ملازمة بين كون عامّة بني هاشم أو بني المطلب أيضاً ممّن تحرم عليهم الصدقة وكونهم هم المقصودين من آل البيت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فكان عليه أن يدلّل على وحدة المفهومين مصداقاً وتطبيقاً؛ حتّى يتّضح أنّ مَنْ تحرم عليهم الصدقة</w:t>
      </w:r>
      <w:bookmarkStart w:id="439" w:name="pg16780_177110"/>
    </w:p>
    <w:p>
      <w:pPr>
        <w:pStyle w:val="BookText"/>
        <w:rPr/>
      </w:pPr>
      <w:bookmarkEnd w:id="439"/>
      <w:r>
        <w:rPr>
          <w:rFonts w:ascii="Amiri" w:hAnsi="Amiri" w:eastAsia="Amiri" w:cs="Amiri"/>
          <w:color w:val="111111"/>
          <w:sz w:val="28"/>
          <w:sz w:val="28"/>
          <w:szCs w:val="28"/>
          <w:rtl w:val="true"/>
          <w:lang w:bidi="ar-SA"/>
        </w:rPr>
        <w:t>هم أهل البيت، وأنّ أهل البيت هم الذين تحرم عليهم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دليل له على تساويهما مصداقاً وتطبيقاً؟</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وخصوصاً من وجه، فيجتمعان في مورد ويفترقان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فأولاده ذكوراً وإناثاً من أهل بيته وتحرم عليهم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ممّن لا تحرم عليهن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ولكنّهنّ من مصاديق أهل البيت في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يسكن في بيته صلى الله عليه و آله و سلم ويتولّى خدمته يُعدّ من أهل البيت ولا تحرم عليه الصدقة</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7189785_73709187"/>
      <w:bookmarkStart w:id="441" w:name="_Toc166"/>
      <w:bookmarkEnd w:id="440"/>
      <w:r>
        <w:rPr>
          <w:rtl w:val="true"/>
        </w:rPr>
        <w:t>أهل البيت في حديث زيد بن أرقم</w:t>
      </w:r>
      <w:bookmarkEnd w:id="441"/>
    </w:p>
    <w:p>
      <w:pPr>
        <w:pStyle w:val="BookText"/>
        <w:rPr/>
      </w:pPr>
      <w:r>
        <w:rPr>
          <w:rFonts w:ascii="Amiri" w:hAnsi="Amiri" w:eastAsia="Amiri" w:cs="Amiri"/>
          <w:color w:val="111111"/>
          <w:sz w:val="28"/>
          <w:sz w:val="28"/>
          <w:szCs w:val="28"/>
          <w:rtl w:val="true"/>
          <w:lang w:bidi="ar-SA"/>
        </w:rPr>
        <w:t>مَن فسّر أهل البيت بمن تحرم عليهم الصدقة يعتمد على حديث زيد بن أرقم الذي رواه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رسول اللّه صلى الله عليه و آله و 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إنّما أنا بشر، يوشك أن يأتيني رسول ربي فأُجيب، وأنا تارك فيكم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وفي حديث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وهو حبل اللّه، مَن اتّبعه كان على الهدى، ومَنْ تركه كان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 أهل بيته أصله وعصبته الذين حرموا الصدقة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صحّة هذا الحديث، خاصة إذا أخذنا بنظر الاعتبار أنّ الحديث يرويه الإمام مسلم ومنزلته لا تخفى على أحد، ومع ذلك نلفت نظر القارئ إلى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والسياق يقتضي أن يقول صلى الله عليه و آله و سلم وثانيهما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 سقط من الحديث سهواً أو عمداً، ومكانه في الحديث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وأهل بيتي، أي وثانيهما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الداعي لنزول النبي صلى الله عليه و آله و سلم في ماء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في رجوعه من حجّة الوداع‌؟ ولماذا خصّ هذا الموضع لإلقاء هذه الخطبة‌؟ أو ليس هذا الموضع مفترق طرق الحجيج حيث تتشعّب فيه طرق المدنيين والمصريين والعراقيّين‌؟ فقد حاول النبي صلى الله عليه و آله و سلم أن يُسمع كلامه عامّة مَنْ حج معه، لما في كلامه من أمر مهم به هداية الأُمّة وكمالها، كما أنّ في الإعراض عنه ضلالها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قرن في الحديث أهل بيته بكتاب اللّه تعالى وأوصى المسلمين بهم ثلاث مرات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بأهل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كلامه صلى الله عليه و آله و سلم في الثقل الآخر منحصراً بالوصاية بما ذُكر، أو أنّه تكلّم بكلام آخر لم يذكر في الحديث لعلّة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كون أهل بيته عدلاً لكتاب اللّه والثقل الآخر أن يذكر في شأنهم شيئاً يصحّح قرنهم بكتاب اللّه، وإلّا فسيكون كلامه بعيداً عن البلاغة حيث يجعل أهل بيته عدلاً لكتاب اللّه ولا يذكر في شأنهم إلّاأمراً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فات مسلم أن يذكر الحديث بتمامه، فلم يفت غيره أن يذكركلام الرسول صلى الله عليه و آله و سلم في ذلك المشهد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الإمام أحمد أخرج في مسنده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 لي حدّثني عنك بحديث في شأن علي يوم غدير خمّ‌، فأنّي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عليه و آله و سلم إلينا ظهراً وهو آخذٌ بعضد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 المسند عن سفيان، عن أبي عوانة، عن المغيرة، عن أبي عبيد، عن ميمون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 اللّه صلى الله عليه و آله و سلم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خُم، فأمر بالصلاة، فصلاها بهجير،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فخطبنا وظُلّل لرسول اللّه بثوب على شجرة سمرة من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فإنّ‌</w:t>
      </w:r>
    </w:p>
    <w:p>
      <w:pPr>
        <w:pStyle w:val="BookText"/>
        <w:rPr/>
      </w:pPr>
      <w:r>
        <w:rPr>
          <w:rFonts w:ascii="Amiri" w:hAnsi="Amiri" w:eastAsia="Amiri" w:cs="Amiri"/>
          <w:color w:val="111111"/>
          <w:sz w:val="28"/>
          <w:sz w:val="28"/>
          <w:szCs w:val="28"/>
          <w:rtl w:val="true"/>
          <w:lang w:bidi="ar-SA"/>
        </w:rPr>
        <w:t>عليّاً مولاه، اللّهم عاد من عاداه، ووال من والاه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أهل البيت بمَن تحرم عليهم الصدقة، إنّما هو رأي رآه الصحابي زيد بن أرقم، ولم ينسبه إلى النبي صلى الله عليه و آله و سلم كما هو صريح الحديث،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الصحابي حجّة في ما أسنده إلى النبي، وأمّا رأيه ونظريته، فلا يؤخذ بها إلّاإذا دعمها الدليل، وسيوافيك أنّ مفهوم أهلِ البيت في الآية الكريمة لا صلة له بهذا التفسير ولا بغيره، فانتظر</w:t>
      </w:r>
      <w:r>
        <w:rPr>
          <w:rFonts w:eastAsia="Amiri" w:cs="Amiri" w:ascii="Amiri" w:hAnsi="Amiri"/>
          <w:color w:val="111111"/>
          <w:sz w:val="28"/>
          <w:szCs w:val="28"/>
          <w:rtl w:val="true"/>
          <w:lang w:bidi="ar-SA"/>
        </w:rPr>
        <w:t>.</w:t>
      </w:r>
      <w:bookmarkStart w:id="442" w:name="pg16780_177114"/>
    </w:p>
    <w:p>
      <w:pPr>
        <w:pStyle w:val="Heading4"/>
        <w:numPr>
          <w:ilvl w:val="3"/>
          <w:numId w:val="1"/>
        </w:numPr>
        <w:rPr/>
      </w:pPr>
      <w:bookmarkStart w:id="443" w:name="__RefHeading___Toc7189787_73709187"/>
      <w:bookmarkStart w:id="444" w:name="_Toc167"/>
      <w:bookmarkEnd w:id="442"/>
      <w:bookmarkEnd w:id="443"/>
      <w:r>
        <w:rPr>
          <w:rtl w:val="true"/>
        </w:rPr>
        <w:t xml:space="preserve">الفصل الثاني مفهوم </w:t>
      </w:r>
      <w:r>
        <w:rPr>
          <w:rtl w:val="true"/>
        </w:rPr>
        <w:t>«</w:t>
      </w:r>
      <w:r>
        <w:rPr>
          <w:rtl w:val="true"/>
        </w:rPr>
        <w:t>آل البيت</w:t>
      </w:r>
      <w:r>
        <w:rPr>
          <w:rtl w:val="true"/>
        </w:rPr>
        <w:t xml:space="preserve">» </w:t>
      </w:r>
      <w:r>
        <w:rPr>
          <w:rtl w:val="true"/>
        </w:rPr>
        <w:t>عند الشيعة الاثني عشرية</w:t>
      </w:r>
      <w:bookmarkEnd w:id="444"/>
    </w:p>
    <w:p>
      <w:pPr>
        <w:pStyle w:val="Heading5"/>
        <w:numPr>
          <w:ilvl w:val="4"/>
          <w:numId w:val="1"/>
        </w:numPr>
        <w:rPr/>
      </w:pPr>
      <w:bookmarkStart w:id="445" w:name="__RefHeading___Toc7189789_73709187"/>
      <w:bookmarkStart w:id="446" w:name="_Toc168"/>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عقد الشيخ الدرويش هذا الفصل لبيان مفهوم آل البيت عند الشيعة الاثني عشرية، وقال فيه ما هذه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الشيعة يرون أنّ المراد بأهل البيت هم أصحاب الكساء الخمسة، وأنّهم هم الذين نزلت فيهم آية التطهير،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وعلي وفاطمة والحسن والحسين، وربّما أدخلوا فيهم بقية الأئمة الاثني عشر، فقد جاء في صحيح مسلم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صلى الله عليه و آله و سلم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43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يرون عدم دخول أُمّهات المؤمنين في مسمّى آل البيت،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تدخل زوجات الرسول فيه‌؟ فإنّ نص الآية وسياقها يدلّ لأوّل وهلة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بأهل البيت أزواج النبي صلى الله عليه و آله و سلم، لأنّ ما قبل آية التطهير وما بعدها خطاب لهن</w:t>
      </w:r>
      <w:r>
        <w:rPr>
          <w:rFonts w:eastAsia="Amiri" w:cs="Amiri" w:ascii="Amiri" w:hAnsi="Amiri"/>
          <w:color w:val="111111"/>
          <w:sz w:val="28"/>
          <w:szCs w:val="28"/>
          <w:rtl w:val="true"/>
          <w:lang w:bidi="ar-SA"/>
        </w:rPr>
        <w:t>.</w:t>
      </w:r>
      <w:bookmarkStart w:id="447" w:name="pg16780_177115"/>
    </w:p>
    <w:p>
      <w:pPr>
        <w:pStyle w:val="BookText"/>
        <w:rPr/>
      </w:pPr>
      <w:bookmarkEnd w:id="447"/>
      <w:r>
        <w:rPr>
          <w:rFonts w:ascii="Amiri" w:hAnsi="Amiri" w:eastAsia="Amiri" w:cs="Amiri"/>
          <w:color w:val="111111"/>
          <w:sz w:val="28"/>
          <w:sz w:val="28"/>
          <w:szCs w:val="28"/>
          <w:rtl w:val="true"/>
          <w:lang w:bidi="ar-SA"/>
        </w:rPr>
        <w:t>وكذلك تزعم الاثنا عشرية أنّ خطاب التذكير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دخول أُمّهات المؤمنين في جملة أهل البيت، وهذا مردود، وذلك لأنّه إذا اجتمع المذكر والمؤنث في جملة، غُلّب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آل الرسول في علي والحسن والحسين وفي تسعة من أبناء الحسين فقط؟ فهل هؤلاء فقط هم آل بيت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أين أعمام رسول اللّه كحمزة بن عبدالمطلب والعباس بن عبدالمطلب، وأبي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بقية ذرية الحسين كزيد بن علي بن الحسين‌؟ أين ذرية الحسن؛ وبأي دليل أخرجوهم من آل البيت‌؟</w:t>
      </w:r>
      <w:r>
        <w:rPr>
          <w:rFonts w:eastAsia="Amiri" w:cs="Amiri" w:ascii="Amiri" w:hAnsi="Amiri"/>
          <w:color w:val="111111"/>
          <w:sz w:val="28"/>
          <w:szCs w:val="28"/>
          <w:rtl w:val="true"/>
          <w:lang w:bidi="ar-SA"/>
        </w:rPr>
        <w:t>.</w:t>
      </w:r>
      <w:r>
        <w:rPr>
          <w:rStyle w:val="FootnoteAnchor"/>
          <w:rtl w:val="true"/>
        </w:rPr>
        <w:footnoteReference w:id="431"/>
      </w:r>
    </w:p>
    <w:p>
      <w:pPr>
        <w:pStyle w:val="Heading5"/>
        <w:numPr>
          <w:ilvl w:val="4"/>
          <w:numId w:val="1"/>
        </w:numPr>
        <w:rPr/>
      </w:pPr>
      <w:bookmarkStart w:id="448" w:name="__RefHeading___Toc7189791_73709187"/>
      <w:bookmarkStart w:id="449" w:name="_Toc169"/>
      <w:bookmarkEnd w:id="448"/>
      <w:r>
        <w:rPr>
          <w:rtl w:val="true"/>
        </w:rPr>
        <w:t>دليل الحصر عند الشيعة</w:t>
      </w:r>
      <w:bookmarkEnd w:id="449"/>
    </w:p>
    <w:p>
      <w:pPr>
        <w:pStyle w:val="Heading6"/>
        <w:numPr>
          <w:ilvl w:val="5"/>
          <w:numId w:val="1"/>
        </w:numPr>
        <w:rPr/>
      </w:pPr>
      <w:bookmarkStart w:id="450" w:name="__RefHeading___Toc7189793_73709187"/>
      <w:bookmarkStart w:id="451" w:name="_Toc170"/>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لقد ذكرنا في مقدمة هذه الرسالة أنّ الشيخ الدرويش لم يعط الموضوع حقّه من الدراسة والتتبّع، ومن ثَمَّ لم يرجع في تبيين دليل الشيعة على الحصر إلى المصادر الّتي تطرقت إلى تفسير الآية بشكل واضح، كمجمع البيان للشيخ الطبرسي والميزان للعلّامة الطباطبائي إلى غير ذلك من المصادر الّتي تبنت تفسير الآية بوجه واضح، ولذلك نلفت نظر الشيخ إلى دليل الشيعة على الحصر حتّى يلاحظه بدقّة</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7189795_73709187"/>
      <w:bookmarkStart w:id="453" w:name="_Toc171"/>
      <w:bookmarkEnd w:id="452"/>
      <w:r>
        <w:rPr>
          <w:rtl w:val="true"/>
        </w:rPr>
        <w:t>أوّلاً</w:t>
      </w:r>
      <w:r>
        <w:rPr>
          <w:rtl w:val="true"/>
        </w:rPr>
        <w:t xml:space="preserve">: </w:t>
      </w:r>
      <w:r>
        <w:rPr>
          <w:rtl w:val="true"/>
        </w:rPr>
        <w:t>اللام في أهل البيت للعهد</w:t>
      </w:r>
      <w:bookmarkEnd w:id="4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اللام‌؟ هناك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للجنس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الاحتمال قطعي الانتفاء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وهذا كالاحتمال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ليست الآية بصدد بيان جميع البيوت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الثالث، فلابدّ أن تكون اللام مشيرة إلى بيت واحد معهود بين المتكلّم والمخاطب، وعندئذ يجب تحديد هذا البيت الواحد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بيوت أزواجه، أو هو بيت فاطمة‌؟</w:t>
      </w:r>
    </w:p>
    <w:p>
      <w:pPr>
        <w:pStyle w:val="BookText"/>
        <w:rPr/>
      </w:pPr>
      <w:r>
        <w:rPr>
          <w:rFonts w:ascii="Amiri" w:hAnsi="Amiri" w:eastAsia="Amiri" w:cs="Amiri"/>
          <w:color w:val="111111"/>
          <w:sz w:val="28"/>
          <w:sz w:val="28"/>
          <w:szCs w:val="28"/>
          <w:rtl w:val="true"/>
          <w:lang w:bidi="ar-SA"/>
        </w:rPr>
        <w:t>لا سبيل إلى الأوّل، لأنّه لم يكن لنسائه بيت واحد، بل كانت كل واحدة تسكن في بيت، ولو أُريد واحد من بيوتهنّ لاختصت الآية بواحدة منهن، وهذا ما اتفقت الأُمّة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دليل على نفي هذا الاحتمال أنّه سبحانه عندما يذكرهنَّ‌، يجمع البيت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فتعيّن أنّ المراد بالآية بيت فاطمة وزوجها والحسن والحسين، فتكون الآية ناظرة إلى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بيت النبي فهو أيضاً غير صحيح، إذ لم يكن للنبي بيت واحد، بل كان بيته بيوت أزواجه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تتكلّم عن بيت واحد معهود، فما هذا البيت الواحد المعهود؟ هل المراد بيت أزواجه، أو بيت فاطمة‌؟</w:t>
      </w:r>
      <w:bookmarkStart w:id="454" w:name="pg16780_177117"/>
    </w:p>
    <w:p>
      <w:pPr>
        <w:pStyle w:val="BookText"/>
        <w:rPr/>
      </w:pPr>
      <w:bookmarkEnd w:id="454"/>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إذ لم يكن هناك بيت واحد، بل بيوت متعدّدة بحكم نصّ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المتعيّن، فقد كان لفاطمة عليها السلام بيت واحد تسكنه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العالمين بحكم صحيح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وولداها وزوجها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بيت ثالث حتّى تكون اللام مشيرةً إليه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7189797_73709187"/>
      <w:bookmarkStart w:id="456" w:name="_Toc172"/>
      <w:bookmarkEnd w:id="455"/>
      <w:r>
        <w:rPr>
          <w:rtl w:val="true"/>
        </w:rPr>
        <w:t>ثانياً</w:t>
      </w:r>
      <w:r>
        <w:rPr>
          <w:rtl w:val="true"/>
        </w:rPr>
        <w:t xml:space="preserve">: </w:t>
      </w:r>
      <w:r>
        <w:rPr>
          <w:rtl w:val="true"/>
        </w:rPr>
        <w:t>تذكير الضمائر</w:t>
      </w:r>
      <w:bookmarkEnd w:id="456"/>
    </w:p>
    <w:p>
      <w:pPr>
        <w:pStyle w:val="BookText"/>
        <w:rPr/>
      </w:pPr>
      <w:r>
        <w:rPr>
          <w:rFonts w:ascii="Amiri" w:hAnsi="Amiri" w:eastAsia="Amiri" w:cs="Amiri"/>
          <w:color w:val="111111"/>
          <w:sz w:val="28"/>
          <w:sz w:val="28"/>
          <w:szCs w:val="28"/>
          <w:rtl w:val="true"/>
          <w:lang w:bidi="ar-SA"/>
        </w:rPr>
        <w:t>إنّ تذكير الضمائر في الآية دليل واضح على عدم نزول الآية في أزواج النبي ونسائه، وإلّا كان مقتضى السياق أن يؤنث الضمير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عنكن الرجس ويطهركن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بشهادة أنّه سبحانه خاطب في نفس الآيات نساء النبي بصيغة ضمير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الأُولى يخاطبهن بهذه الخطابات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اتقيتن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الثانية يخاطبهن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الثالثة يخاطبهن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يتّخذ في ثنايا الآية الثانية، موقفاً خاصّاً في الخطاب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فماوجه هذا العدول إذا كان المراد نساء النبي‌؟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هذا دليلاً على أنّ المراد غيرهن</w:t>
      </w:r>
      <w:r>
        <w:rPr>
          <w:rFonts w:eastAsia="Amiri" w:cs="Amiri" w:ascii="Amiri" w:hAnsi="Amiri"/>
          <w:color w:val="111111"/>
          <w:sz w:val="28"/>
          <w:szCs w:val="28"/>
          <w:rtl w:val="true"/>
          <w:lang w:bidi="ar-SA"/>
        </w:rPr>
        <w:t>.</w:t>
      </w:r>
      <w:bookmarkStart w:id="457" w:name="pg16780_177118"/>
    </w:p>
    <w:p>
      <w:pPr>
        <w:pStyle w:val="BookText"/>
        <w:rPr/>
      </w:pPr>
      <w:bookmarkEnd w:id="457"/>
      <w:r>
        <w:rPr>
          <w:rFonts w:ascii="Amiri" w:hAnsi="Amiri" w:eastAsia="Amiri" w:cs="Amiri"/>
          <w:color w:val="111111"/>
          <w:sz w:val="28"/>
          <w:sz w:val="28"/>
          <w:szCs w:val="28"/>
          <w:rtl w:val="true"/>
          <w:lang w:bidi="ar-SA"/>
        </w:rPr>
        <w:t>وأمّا ما اعتذر به الشيخ عن إبدال الضمير المؤنث بالمذكر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اجتمع المذكّر والمؤنث في جملة غُلّب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أعجب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الشيخ في هذا المقام بصدد بيان اختصاص الآية بنساء النبي بشهادة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نص الآية وسياقها يدلّ ولأوّل وهلة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بأهل البيت أزواج النبي صلى الله عليه و آله و سلم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الآية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يرتئيه، فليس هناك أيُّ مذكر حتّى يغلّب على المؤنث بل الجميع أُناث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ما ذكره في الهامش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 دخول فاطمة عليها السلام وهي مؤنث في الآية، فلم لا يصح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بيّنّا من أنّ المراد بالبيت هو بيت فاطمة عليها السلام، فصحّ فيه التغليب لأنّ المذكر أكثر من المؤنث، وأمّا على هذا الرأي الّذي عدّه الشيخ نصَّ الآية وسياقها، فليس هناك أي مذكّر يغلب على المؤنث</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189799_73709187"/>
      <w:bookmarkStart w:id="459" w:name="_Toc173"/>
      <w:bookmarkEnd w:id="458"/>
      <w:r>
        <w:rPr>
          <w:rtl w:val="true"/>
        </w:rPr>
        <w:t>سؤال وإجابة</w:t>
      </w:r>
      <w:bookmarkEnd w:id="459"/>
    </w:p>
    <w:p>
      <w:pPr>
        <w:pStyle w:val="BookText"/>
        <w:rPr/>
      </w:pPr>
      <w:r>
        <w:rPr>
          <w:rFonts w:ascii="Amiri" w:hAnsi="Amiri" w:eastAsia="Amiri" w:cs="Amiri"/>
          <w:color w:val="111111"/>
          <w:sz w:val="28"/>
          <w:sz w:val="28"/>
          <w:szCs w:val="28"/>
          <w:rtl w:val="true"/>
          <w:lang w:bidi="ar-SA"/>
        </w:rPr>
        <w:t>يمكن للشيخ أن يتخلّص من هذا المأزق بأنّ المراد من الضميرين المذكّرين مطلق من حرمت عليهم الصدقة الّذي اختاره في الفصل الأوّل خلافاً لما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المذكّر والمؤنث إذا اجتمعا في جملة غُلّب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والإجابة عن هذا السؤال واضحة، إذ يجب على الشيخ أن يلتزم بتفكيك الضمائر في الآيات فيخصّ الضميرين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تحرم عليه الصدقة، وسائر الضمائر الّتي تناهز اثني عشر ضميراً بنساء النبي وزوجاته اللاتي لا تحرم عليهنّ الصدقة، لأنهنّ لسن هاشميات ولا مطّلبيات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القرطبي التفصّي عن الإشكال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تذكير الضمير يحتمل</w:t>
      </w:r>
      <w:bookmarkStart w:id="460" w:name="pg16780_177119"/>
    </w:p>
    <w:p>
      <w:pPr>
        <w:pStyle w:val="BookText"/>
        <w:rPr/>
      </w:pPr>
      <w:bookmarkEnd w:id="460"/>
      <w:r>
        <w:rPr>
          <w:rFonts w:ascii="Amiri" w:hAnsi="Amiri" w:eastAsia="Amiri" w:cs="Amiri"/>
          <w:color w:val="111111"/>
          <w:sz w:val="28"/>
          <w:sz w:val="28"/>
          <w:szCs w:val="28"/>
          <w:rtl w:val="true"/>
          <w:lang w:bidi="ar-SA"/>
        </w:rPr>
        <w:t xml:space="preserve">لأن يكون خرج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أهلك، أي امرأتك ونساؤك‌؟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بخير،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تَعْجَبِينَ مِنْ أَمْرِ اللّهِ رَحْمَتُ اللّهِ وَ بَرَكاتُهُ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ولكن المحاولة فاشلة، فإنّ ما ذكره من المثال على فرض سماعه من العرب إنّما إذا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الضمير، دون العكس كما في الآية، فإنّ أحد الضميرين مقدّم على الأهل في الآية،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 الرِّجْسَ أَهْلَ الْبَيْتِ‌</w:t>
      </w:r>
      <w:r>
        <w:rPr>
          <w:rFonts w:eastAsia="Amiri" w:cs="Amiri" w:ascii="Amiri" w:hAnsi="Amiri"/>
          <w:color w:val="111111"/>
          <w:sz w:val="28"/>
          <w:szCs w:val="28"/>
          <w:rtl w:val="true"/>
          <w:lang w:bidi="ar-SA"/>
        </w:rPr>
        <w:t>) .</w:t>
      </w:r>
    </w:p>
    <w:p>
      <w:pPr>
        <w:pStyle w:val="Heading6"/>
        <w:numPr>
          <w:ilvl w:val="5"/>
          <w:numId w:val="1"/>
        </w:numPr>
        <w:rPr/>
      </w:pPr>
      <w:bookmarkStart w:id="461" w:name="__RefHeading___Toc7189801_73709187"/>
      <w:bookmarkStart w:id="462" w:name="_Toc174"/>
      <w:bookmarkEnd w:id="461"/>
      <w:r>
        <w:rPr>
          <w:rtl w:val="true"/>
        </w:rPr>
        <w:t>ثالثاً</w:t>
      </w:r>
      <w:r>
        <w:rPr>
          <w:rtl w:val="true"/>
        </w:rPr>
        <w:t xml:space="preserve">: </w:t>
      </w:r>
      <w:r>
        <w:rPr>
          <w:rtl w:val="true"/>
        </w:rPr>
        <w:t>ممارسة الحصر في فعل الرسول صلى الله عليه و آله و سلم</w:t>
      </w:r>
      <w:bookmarkEnd w:id="462"/>
    </w:p>
    <w:p>
      <w:pPr>
        <w:pStyle w:val="BookText"/>
        <w:rPr/>
      </w:pPr>
      <w:r>
        <w:rPr>
          <w:rFonts w:ascii="Amiri" w:hAnsi="Amiri" w:eastAsia="Amiri" w:cs="Amiri"/>
          <w:color w:val="111111"/>
          <w:sz w:val="28"/>
          <w:sz w:val="28"/>
          <w:szCs w:val="28"/>
          <w:rtl w:val="true"/>
          <w:lang w:bidi="ar-SA"/>
        </w:rPr>
        <w:t>وقد تكرر في كلام الشيخ في ذلك الفصل أنّه لا دليل على حصر الآية في فاطمة وبعلها وبنيها، ولكنّه لو أمعن النظر في ما ذكرنا من الوجهين وما مارسه النبي صلى الله عليه و آله و سلم طيلة حياته، إذ طبق الآية على المذكورين غير مرّة، لوقف على أنّ القول بالحصر هو عين الصواب لا بعيداً عن الصواب، وها نحن نذكر شيئاً من ممارسة النبي لتطبيق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نقله المؤلّف عن صحيح مسلم عن عائشة خرج النبي صلى الله عليه و آله و سلم غداة وعليه مَرْط مُرحّل من شعر أسود، فأدخل الحسن والحسين وفاطمة وعلياً تحته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فماذا كان النبي يقصد بذلك العمل‌؟ فلو كان المراد كل من يحرم عليهم الصدقة أو نساءه وزوجاته، فما هو الوجه لإدخالهم تحت الكساء، فإنّ عمله هذا نوع تحديد لمفهوم الآية، حتّى يسد الطريق أمام كلّ مَن يريد تفسير الآية بغير هؤلاء الأربعة أو جعل شركاء آخرين لهم في المراد</w:t>
      </w:r>
      <w:r>
        <w:rPr>
          <w:rFonts w:eastAsia="Amiri" w:cs="Amiri" w:ascii="Amiri" w:hAnsi="Amiri"/>
          <w:color w:val="111111"/>
          <w:sz w:val="28"/>
          <w:szCs w:val="28"/>
          <w:rtl w:val="true"/>
          <w:lang w:bidi="ar-SA"/>
        </w:rPr>
        <w:t>.</w:t>
      </w:r>
      <w:bookmarkStart w:id="463" w:name="pg16780_177120"/>
    </w:p>
    <w:p>
      <w:pPr>
        <w:pStyle w:val="Heading5"/>
        <w:numPr>
          <w:ilvl w:val="4"/>
          <w:numId w:val="1"/>
        </w:numPr>
        <w:rPr/>
      </w:pPr>
      <w:bookmarkStart w:id="464" w:name="__RefHeading___Toc7189803_73709187"/>
      <w:bookmarkStart w:id="465" w:name="_Toc175"/>
      <w:bookmarkEnd w:id="463"/>
      <w:bookmarkEnd w:id="464"/>
      <w:r>
        <w:rPr/>
        <w:t>2</w:t>
      </w:r>
      <w:r>
        <w:rPr>
          <w:rtl w:val="true"/>
        </w:rPr>
        <w:t xml:space="preserve">. </w:t>
      </w:r>
      <w:r>
        <w:rPr>
          <w:rtl w:val="true"/>
        </w:rPr>
        <w:t>تلاوة الآية على باب بيت فاطمة عليها السلام</w:t>
      </w:r>
      <w:bookmarkEnd w:id="465"/>
    </w:p>
    <w:p>
      <w:pPr>
        <w:pStyle w:val="BookText"/>
        <w:rPr/>
      </w:pPr>
      <w:r>
        <w:rPr>
          <w:rFonts w:ascii="Amiri" w:hAnsi="Amiri" w:eastAsia="Amiri" w:cs="Amiri"/>
          <w:color w:val="111111"/>
          <w:sz w:val="28"/>
          <w:sz w:val="28"/>
          <w:szCs w:val="28"/>
          <w:rtl w:val="true"/>
          <w:lang w:bidi="ar-SA"/>
        </w:rPr>
        <w:t>حفلت كتب التفاسير لأهل السنّة عند تفسير آية التطهير بذكر روايات عديدة تشير إلى أنّ النبي صلى الله عليه و آله و سلم كان يتلو هذه الآية على باب بيت فاطمة عندما كان يمر عليها، وهي كثيرة نذكر هنا القليل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أنّ النبي صلى الله عليه و آله و سلم كان يمر ببيت فاطمة ستة أشهر كلّما خرج إلى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على عهد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إذا طلع الفجر جاء إلى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رضى الله عنه بفاطمة عليها السلام جاء النبيّ صلى الله عليه و آله و سلم أربعين صباحاً إلى بابها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أهل البيت ورحمة اللّه وبركاته،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حرب لمن حاربتم، أنا سلم لمن سالمتم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والروايات الواردة في تفسير الآية بفاطمة عليها السلام ومن يسكن بيتها تناهز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تنتهي أسانيدها إلى أقطاب الحديث من الصحابة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الحمراء،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بعد هذا لمناقش أن يشك في صحّة نزولها في حق العترة الطاهرة‌؟</w:t>
      </w:r>
    </w:p>
    <w:p>
      <w:pPr>
        <w:pStyle w:val="BookText"/>
        <w:rPr/>
      </w:pPr>
      <w:r>
        <w:rPr>
          <w:rFonts w:ascii="Amiri" w:hAnsi="Amiri" w:eastAsia="Amiri" w:cs="Amiri"/>
          <w:color w:val="111111"/>
          <w:sz w:val="28"/>
          <w:sz w:val="28"/>
          <w:szCs w:val="28"/>
          <w:rtl w:val="true"/>
          <w:lang w:bidi="ar-SA"/>
        </w:rPr>
        <w:t>وليس الطبري ولا السيوطي متفردين في نقل تلك المأثورات، بل سبقهما أصحاب الصحاح والمسانيد، فنقلوا نزول الآية في حقّهم صريحاً أو كناية،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نقله الترمذي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جالسة عند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أنت من أزواج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 آله و سلَّم وعلي وفاطمة وحسن وحسين، فجلّلهم بكسائه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وفي رواية أنّ النبي صلى الله عليه و آله و سلم جلّل على الحسن والحسين وعلي وفاطمة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وحامَّتي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تركنا نقل ما وقفنا عليه من النصوص الصريحة في نزول الآية</w:t>
      </w:r>
    </w:p>
    <w:p>
      <w:pPr>
        <w:pStyle w:val="BookText"/>
        <w:rPr/>
      </w:pPr>
      <w:r>
        <w:rPr>
          <w:rFonts w:ascii="Amiri" w:hAnsi="Amiri" w:eastAsia="Amiri" w:cs="Amiri"/>
          <w:color w:val="111111"/>
          <w:sz w:val="28"/>
          <w:sz w:val="28"/>
          <w:szCs w:val="28"/>
          <w:rtl w:val="true"/>
          <w:lang w:bidi="ar-SA"/>
        </w:rPr>
        <w:t>واختصاصها بأصحاب الكساء روماً للاختصار، فعلى الشيخ ومَن على منهجه أن يرجع إلى المصادر الحديثية المتوفّرة بين يديه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وإذا كان الوحي هو الّذي خصّص الآية ببيت خاص،</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وهذا البيت منها؟ وأشار إلى بيت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تباكي الشيخ على أعمام الرسول وأبناء أعمامه أو بقية ذرية الحسن والحسين،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أعمام الرسول، وأبناء أعمامه 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إطاحة بالوحي وتقدّماً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مسلم في صحيحه عن سعد بن أبي وقاص في حديث 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دعا رسول اللّه صلى الله عليه و آله و 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أظن أنّ الشيخ الدرويش يناقش في صحّة هذين الحديثين اللّذيْن رواهما مسلم في صحيحه</w:t>
      </w:r>
      <w:r>
        <w:rPr>
          <w:rFonts w:eastAsia="Amiri" w:cs="Amiri" w:ascii="Amiri" w:hAnsi="Amiri"/>
          <w:color w:val="111111"/>
          <w:sz w:val="28"/>
          <w:szCs w:val="28"/>
          <w:rtl w:val="true"/>
          <w:lang w:bidi="ar-SA"/>
        </w:rPr>
        <w:t>.</w:t>
      </w:r>
      <w:bookmarkStart w:id="466" w:name="pg16780_177123"/>
    </w:p>
    <w:p>
      <w:pPr>
        <w:pStyle w:val="Heading4"/>
        <w:numPr>
          <w:ilvl w:val="3"/>
          <w:numId w:val="1"/>
        </w:numPr>
        <w:rPr/>
      </w:pPr>
      <w:bookmarkStart w:id="467" w:name="__RefHeading___Toc7189805_73709187"/>
      <w:bookmarkStart w:id="468" w:name="_Toc176"/>
      <w:bookmarkEnd w:id="466"/>
      <w:bookmarkEnd w:id="467"/>
      <w:r>
        <w:rPr>
          <w:rtl w:val="true"/>
        </w:rPr>
        <w:t>الفصل الثالث فضائل آل البيت عند أهل السنّة</w:t>
      </w:r>
      <w:bookmarkEnd w:id="468"/>
    </w:p>
    <w:p>
      <w:pPr>
        <w:pStyle w:val="Heading5"/>
        <w:numPr>
          <w:ilvl w:val="4"/>
          <w:numId w:val="1"/>
        </w:numPr>
        <w:rPr/>
      </w:pPr>
      <w:bookmarkStart w:id="469" w:name="__RefHeading___Toc7189807_73709187"/>
      <w:bookmarkStart w:id="470" w:name="_Toc177"/>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عقد الشيخ الدرويش فصلاً تحت هذا العنوان وذكر فضائلهم في القرآن وعدّ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الاصطفاء، يعني ما رواه مسلم في صحيحه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الصلاة الإبراهيمية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في مسنده عن رجل من أصحاب النبي صلى الله عليه و آله و سلم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وعلى أهل بيته، وعلى أزواجه وذريته، كما صليت على آل إبراهيم إنّك حميد مجيد، وبارك على محمد، وعلى أهل بيته، وعلى أزواجه وذريته كما باركت على آل إبراهيم إنّك حميد مجيد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عن ابن القيّم أنّه قال حول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الأزواج والذرية والأهل، وإنّما نصّ عليهم بتعيينهم، ليبيّن أنّهم حقيقون بالدخول في الآل وأنّهم ليسوا بخارجين منها، بل هم أحقّ من دخل فيه، وهذا كنظائره من عطف الخاص على العام</w:t>
      </w:r>
      <w:r>
        <w:rPr>
          <w:rFonts w:eastAsia="Amiri" w:cs="Amiri" w:ascii="Amiri" w:hAnsi="Amiri"/>
          <w:color w:val="111111"/>
          <w:sz w:val="28"/>
          <w:szCs w:val="28"/>
          <w:rtl w:val="true"/>
          <w:lang w:bidi="ar-SA"/>
        </w:rPr>
        <w:t>.</w:t>
      </w:r>
      <w:bookmarkStart w:id="471" w:name="pg16780_177124"/>
    </w:p>
    <w:p>
      <w:pPr>
        <w:pStyle w:val="BookText"/>
        <w:rPr/>
      </w:pPr>
      <w:bookmarkEnd w:id="471"/>
      <w:r>
        <w:rPr>
          <w:rFonts w:ascii="Amiri" w:hAnsi="Amiri" w:eastAsia="Amiri" w:cs="Amiri"/>
          <w:color w:val="111111"/>
          <w:sz w:val="28"/>
          <w:sz w:val="28"/>
          <w:szCs w:val="28"/>
          <w:rtl w:val="true"/>
          <w:lang w:bidi="ar-SA"/>
        </w:rPr>
        <w:t xml:space="preserve">وأمّا ما ورد عن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آل البيت فأكثر من أن يُحصر فمن ذلك،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ارقبوا محمداً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لقرابة رسول اللّه أحبّ إلي أن أصل قرابتي؛ وبعد أن ذكر بعض الأحاديث والآثار في فضائل آل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وطلباً للاختصار لم نتوسع في ذكر ما ورد عن علماء السنة وأئمتهم في الثناء على آل البيت وهي كثيرة جدّاً لو جمعت لامتلأت بها مجلدات</w:t>
      </w:r>
      <w:r>
        <w:rPr>
          <w:rFonts w:eastAsia="Amiri" w:cs="Amiri" w:ascii="Amiri" w:hAnsi="Amiri"/>
          <w:color w:val="111111"/>
          <w:sz w:val="28"/>
          <w:szCs w:val="28"/>
          <w:rtl w:val="true"/>
          <w:lang w:bidi="ar-SA"/>
        </w:rPr>
        <w:t>.</w:t>
      </w:r>
      <w:r>
        <w:rPr>
          <w:rStyle w:val="FootnoteAnchor"/>
          <w:rtl w:val="true"/>
        </w:rPr>
        <w:footnoteReference w:id="443"/>
      </w:r>
    </w:p>
    <w:p>
      <w:pPr>
        <w:pStyle w:val="Heading5"/>
        <w:numPr>
          <w:ilvl w:val="4"/>
          <w:numId w:val="1"/>
        </w:numPr>
        <w:rPr/>
      </w:pPr>
      <w:bookmarkStart w:id="472" w:name="__RefHeading___Toc7189809_73709187"/>
      <w:bookmarkStart w:id="473" w:name="_Toc178"/>
      <w:bookmarkEnd w:id="472"/>
      <w:r>
        <w:rPr>
          <w:rtl w:val="true"/>
        </w:rPr>
        <w:t>تحليل ومناقشة</w:t>
      </w:r>
      <w:bookmarkEnd w:id="473"/>
    </w:p>
    <w:p>
      <w:pPr>
        <w:pStyle w:val="BookText"/>
        <w:rPr/>
      </w:pPr>
      <w:r>
        <w:rPr>
          <w:rFonts w:ascii="Amiri" w:hAnsi="Amiri" w:eastAsia="Amiri" w:cs="Amiri"/>
          <w:color w:val="111111"/>
          <w:sz w:val="28"/>
          <w:sz w:val="28"/>
          <w:szCs w:val="28"/>
          <w:rtl w:val="true"/>
          <w:lang w:bidi="ar-SA"/>
        </w:rPr>
        <w:t>لا شك أنّ ما ذكره من فضائل أهل البيت صحيح لا ريب فيه ولا شبهة تعتريه، غير أنّا نسأل المؤلّف أن يجيب عن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المبرِّر والداعي لذكر هذه الفضائل في الذكر الحكيم والسنّة النبوية‌؟</w:t>
      </w:r>
    </w:p>
    <w:p>
      <w:pPr>
        <w:pStyle w:val="BookText"/>
        <w:rPr/>
      </w:pPr>
      <w:r>
        <w:rPr>
          <w:rFonts w:ascii="Amiri" w:hAnsi="Amiri" w:eastAsia="Amiri" w:cs="Amiri"/>
          <w:color w:val="111111"/>
          <w:sz w:val="28"/>
          <w:sz w:val="28"/>
          <w:szCs w:val="28"/>
          <w:rtl w:val="true"/>
          <w:lang w:bidi="ar-SA"/>
        </w:rPr>
        <w:t>فهل أنّ الغرض من ذلك فقط هو دعوة المسلمين إلى تكريمهم حتّى يحتلّوا مكانة مرموقة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هناك أمراً آخر وراء ذلك أيضاً؟</w:t>
      </w:r>
    </w:p>
    <w:p>
      <w:pPr>
        <w:pStyle w:val="BookText"/>
        <w:rPr/>
      </w:pPr>
      <w:r>
        <w:rPr>
          <w:rFonts w:ascii="Amiri" w:hAnsi="Amiri" w:eastAsia="Amiri" w:cs="Amiri"/>
          <w:color w:val="111111"/>
          <w:sz w:val="28"/>
          <w:sz w:val="28"/>
          <w:szCs w:val="28"/>
          <w:rtl w:val="true"/>
          <w:lang w:bidi="ar-SA"/>
        </w:rPr>
        <w:t>إذ لو كان الغرض مجرد الدعوة إلى التكريم وإظهار الحب لكفى في ذلك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هناك حاجة إلى إشراكهم في المباهلة، أو التعريف بعلي في غدير خمّ في ذلك المحتشد العظيم في الجو اللاهب حيث لا يظلهم فيه إلّا الشمس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يبعثنا لئن نتحسّس الدافع الحقيقي الّذي صار سبباً لئن يهتم</w:t>
      </w:r>
      <w:bookmarkStart w:id="474" w:name="pg16780_177125"/>
    </w:p>
    <w:p>
      <w:pPr>
        <w:pStyle w:val="BookText"/>
        <w:rPr/>
      </w:pPr>
      <w:bookmarkEnd w:id="474"/>
      <w:r>
        <w:rPr>
          <w:rFonts w:ascii="Amiri" w:hAnsi="Amiri" w:eastAsia="Amiri" w:cs="Amiri"/>
          <w:color w:val="111111"/>
          <w:sz w:val="28"/>
          <w:sz w:val="28"/>
          <w:szCs w:val="28"/>
          <w:rtl w:val="true"/>
          <w:lang w:bidi="ar-SA"/>
        </w:rPr>
        <w:t>الوحي الإلهي ببيان مكانتهم ومقاماتهم في شتّى المواقف والحالات، وما ذلك الهدف إلّادعوة الناس إلى مرجعية أهل البيت في ما يهمّ المسلمين في دينهم ودنياهم، وقد صرّح بذلك في حديث الثقلين الّذي قد رواه أعلام أهل السنّة، ونقتصر على ذكر القليل من الكثير</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7189811_73709187"/>
      <w:bookmarkStart w:id="476" w:name="_Toc179"/>
      <w:bookmarkEnd w:id="475"/>
      <w:r>
        <w:rPr/>
        <w:t>1</w:t>
      </w:r>
      <w:r>
        <w:rPr>
          <w:rtl w:val="true"/>
        </w:rPr>
        <w:t xml:space="preserve">. </w:t>
      </w:r>
      <w:r>
        <w:rPr>
          <w:rtl w:val="true"/>
        </w:rPr>
        <w:t>حديث الثقلين</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من حديث جابر وزيد بن أرقم قول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بطريق صحيح من حديث زيد بن ثابت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وعترتي أهل بيتي وانّهما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الحاكم في الجزء الثالث من المستدرك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على شرط الشيخين، ولم يخرجاه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 الذهبي في تلخيص المستدرك بصحّته على شرط الشيخين في هامش الكتاب</w:t>
      </w:r>
      <w:r>
        <w:rPr>
          <w:rFonts w:eastAsia="Amiri" w:cs="Amiri" w:ascii="Amiri" w:hAnsi="Amiri"/>
          <w:color w:val="111111"/>
          <w:sz w:val="28"/>
          <w:szCs w:val="28"/>
          <w:rtl w:val="true"/>
          <w:lang w:bidi="ar-SA"/>
        </w:rPr>
        <w:t>.</w:t>
      </w:r>
      <w:bookmarkStart w:id="477" w:name="pg16780_177126"/>
    </w:p>
    <w:p>
      <w:pPr>
        <w:pStyle w:val="BookText"/>
        <w:rPr/>
      </w:pPr>
      <w:bookmarkEnd w:id="477"/>
      <w:r>
        <w:rPr>
          <w:rFonts w:ascii="Amiri" w:hAnsi="Amiri" w:eastAsia="Amiri" w:cs="Amiri"/>
          <w:color w:val="111111"/>
          <w:sz w:val="28"/>
          <w:sz w:val="28"/>
          <w:szCs w:val="28"/>
          <w:rtl w:val="true"/>
          <w:lang w:bidi="ar-SA"/>
        </w:rPr>
        <w:t>وللحديث طرق ومصادر كثيرة لا يسع المقام لنقلها، ومن أراد فليرجع إلى ما أُلّف حول الحديث من موسوعات وكتب ورسائل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كلمة قيّمة لابن حجر؛ إذ بعدما نقل حديث الثقلين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لحديث التمسّك بهما طرقاً كثيرة وردت عن نيف وعشرين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 بحجة الوداع بعرفة،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بالمدينة في مرضه، وقد امتلأت الحجرة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 بغدير خم،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ذلك لمّا قام خطيباً بعد انصرافه من الطائف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448"/>
      </w:r>
    </w:p>
    <w:p>
      <w:pPr>
        <w:pStyle w:val="Heading5"/>
        <w:numPr>
          <w:ilvl w:val="4"/>
          <w:numId w:val="1"/>
        </w:numPr>
        <w:rPr/>
      </w:pPr>
      <w:bookmarkStart w:id="478" w:name="__RefHeading___Toc7189813_73709187"/>
      <w:bookmarkStart w:id="479" w:name="_Toc180"/>
      <w:bookmarkEnd w:id="478"/>
      <w:r>
        <w:rPr/>
        <w:t>2</w:t>
      </w:r>
      <w:r>
        <w:rPr>
          <w:rtl w:val="true"/>
        </w:rPr>
        <w:t xml:space="preserve">. </w:t>
      </w:r>
      <w:r>
        <w:rPr>
          <w:rtl w:val="true"/>
        </w:rPr>
        <w:t>حديث السفينة</w:t>
      </w:r>
      <w:bookmarkEnd w:id="479"/>
    </w:p>
    <w:p>
      <w:pPr>
        <w:pStyle w:val="BookText"/>
        <w:rPr/>
      </w:pPr>
      <w:r>
        <w:rPr>
          <w:rFonts w:ascii="Amiri" w:hAnsi="Amiri" w:eastAsia="Amiri" w:cs="Amiri"/>
          <w:color w:val="111111"/>
          <w:sz w:val="28"/>
          <w:sz w:val="28"/>
          <w:szCs w:val="28"/>
          <w:rtl w:val="true"/>
          <w:lang w:bidi="ar-SA"/>
        </w:rPr>
        <w:t>وليس حديث الثقلين فريداً في الإشارة إلى أنّ أهل بيته صلى الله عليه و آله و سلم هم المعنيّون بوجوب الرجوع إليهم في أُمور الدين والدنيا، بل تتلوه أحاديث أُخرى نذكر حديثاً واحداً منها وهو حديث السفينة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في قومه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وللحديث طرق ومصادر أُخرى، صفحنا عن ذكرها للاختصار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يدلّ على أنّ الغرض الأهم والمقصد الأسنى من الإشارة إلى</w:t>
      </w:r>
    </w:p>
    <w:p>
      <w:pPr>
        <w:pStyle w:val="BookText"/>
        <w:rPr/>
      </w:pPr>
      <w:r>
        <w:rPr>
          <w:rFonts w:ascii="Amiri" w:hAnsi="Amiri" w:eastAsia="Amiri" w:cs="Amiri"/>
          <w:color w:val="111111"/>
          <w:sz w:val="28"/>
          <w:sz w:val="28"/>
          <w:szCs w:val="28"/>
          <w:rtl w:val="true"/>
          <w:lang w:bidi="ar-SA"/>
        </w:rPr>
        <w:t>فضائلهم ومناقبهم الّتي ذكر الشيخ المؤلف قسماً منها وترك القسم الآخر، هو بيان أنّهم هم المفزع والمرجع في مهام الأُمور ممّا يمت إلى العقيدة والشريعة وإدارة الأُمور وتدبيرها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فعندئذ نسأل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الشيخ صالح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رجع إليهم في جانبي 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أنّ أساتذته ومشايخه قد رجعوا إليهم في الأُصول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أنّهم أعرضوا عن العترة الطاهرة في هذين المجالين وأناخوا ركائبهم على أبواب غيرهم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في معرض كلامه عن الحديث المروي في مسند أحمد عن رجل من أصحاب النبي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أهل بيته وعلى أزواجه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غير صحيح على مختاره في تفسير أهل البيت، لأنّه فسّر أهل البيت بمن تحرم عليهم الصدقة،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أزواج النبي لا تحرم عليهنّ الصدقة؛ لأنهنّ لسن هاشميات ولا مطّلبيّات،</w:t>
      </w:r>
      <w:r>
        <w:rPr>
          <w:rStyle w:val="FootnoteAnchor"/>
          <w:rtl w:val="true"/>
        </w:rPr>
        <w:footnoteReference w:id="450"/>
      </w:r>
      <w:r>
        <w:rPr>
          <w:rFonts w:ascii="Amiri" w:hAnsi="Amiri" w:eastAsia="Amiri" w:cs="Amiri"/>
          <w:color w:val="111111"/>
          <w:sz w:val="28"/>
          <w:sz w:val="28"/>
          <w:szCs w:val="28"/>
          <w:rtl w:val="true"/>
          <w:lang w:bidi="ar-SA"/>
        </w:rPr>
        <w:t>ولو صحّ الحديث فهو في مورد الأزواج من عطف المغاير على المغاير، وسوف نعطي الموضوع حقّه في فصل خاص عند ذكر الصلوات على النبي صلى الله عليه و آله و سلم</w:t>
      </w:r>
      <w:r>
        <w:rPr>
          <w:rFonts w:eastAsia="Amiri" w:cs="Amiri" w:ascii="Amiri" w:hAnsi="Amiri"/>
          <w:color w:val="111111"/>
          <w:sz w:val="28"/>
          <w:szCs w:val="28"/>
          <w:rtl w:val="true"/>
          <w:lang w:bidi="ar-SA"/>
        </w:rPr>
        <w:t>.</w:t>
      </w:r>
      <w:bookmarkStart w:id="480" w:name="pg16780_177128"/>
    </w:p>
    <w:p>
      <w:pPr>
        <w:pStyle w:val="Heading4"/>
        <w:numPr>
          <w:ilvl w:val="3"/>
          <w:numId w:val="1"/>
        </w:numPr>
        <w:rPr/>
      </w:pPr>
      <w:bookmarkStart w:id="481" w:name="__RefHeading___Toc7189815_73709187"/>
      <w:bookmarkStart w:id="482" w:name="_Toc181"/>
      <w:bookmarkEnd w:id="480"/>
      <w:bookmarkEnd w:id="481"/>
      <w:r>
        <w:rPr>
          <w:rtl w:val="true"/>
        </w:rPr>
        <w:t>الفصل الرابع عقيدة أهل السنّة والجماعة في آل البيت عليهم السلام</w:t>
      </w:r>
      <w:bookmarkEnd w:id="482"/>
    </w:p>
    <w:p>
      <w:pPr>
        <w:pStyle w:val="Heading5"/>
        <w:numPr>
          <w:ilvl w:val="4"/>
          <w:numId w:val="1"/>
        </w:numPr>
        <w:rPr/>
      </w:pPr>
      <w:bookmarkStart w:id="483" w:name="__RefHeading___Toc7189817_73709187"/>
      <w:bookmarkStart w:id="484" w:name="_Toc182"/>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عقد الشيخ الدرويش هذا الفصل لبيان عقيدة أهل السنّة في آل البيت عليهم السلام، وكان اللائق به أن يلتزم بتوضيح ما يحكي عنه العنوان ولا يخرج عنه، في ثنايا البحث إلّاأنّنا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العنوان غطاءً للرد على ما حسبه عقيدة للشيعة في آل البيت عليهم السلام، فخلط الغث بالسمين والزائف بالصحيح، ونحن نذكر خلاصة ما ذكره في ذلك الفصل ضمن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الاثنا عشرية أهل السنّة بأنّهم يبغضون آل البيت، لذا يسمّونهم بالنواصب والخوارج، ولكنّ الحق أنّ مذهب أهل السنّة مذهب مستقل ومذهب النواصب والخوارج مذهب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السنّة وسط في حب آل البيت بين المذاهب</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يلاحظ على ما ذكر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تُميِّزُ أهل السنّة عن الخوارج والنواصب في كتب العقيدة والشريعة، ومَن كان له أدنى إلمام بكتبهم يعرف أنّ لكلّ من هؤلاء تعريفاً في كتبهم وأحكاماً خاصّة، فكان على الشيخ أن يذكر مصدراً من كتب الشيعة بأنّهم يتّهمون أهل السنّة عامّة بكونهم من النواصب والخوارج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للشيعة أن يَعدّوا أهل السنّة من النواصب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تبعاً لفقهائهم يكفّرون طوائف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والخوارج، والنواصب فقط، ولا يكفّرون أحداً من أهل السنّة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كيف يتّهمون أهل السنّة وهم يترنّمون بأبيات الإمام الشافعي في حق آل البيت،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الفخر انّكمُ من لم يصلِّ عليكم لا صلاة لهُ‌</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 واهتف بقاعد خِيفها والناهضِ</w:t>
      </w:r>
    </w:p>
    <w:p>
      <w:pPr>
        <w:pStyle w:val="BookText"/>
        <w:rPr/>
      </w:pPr>
      <w:r>
        <w:rPr>
          <w:rFonts w:ascii="Amiri" w:hAnsi="Amiri" w:eastAsia="Amiri" w:cs="Amiri"/>
          <w:color w:val="111111"/>
          <w:sz w:val="28"/>
          <w:sz w:val="28"/>
          <w:szCs w:val="28"/>
          <w:rtl w:val="true"/>
          <w:lang w:bidi="ar-SA"/>
        </w:rPr>
        <w:t>سَحَراً إذا فاض الحجيج إلى منىً 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 فليشهدِ الثقلانِ أنّي رافضي</w:t>
      </w:r>
    </w:p>
    <w:p>
      <w:pPr>
        <w:pStyle w:val="BookText"/>
        <w:rPr/>
      </w:pPr>
      <w:r>
        <w:rPr>
          <w:rFonts w:ascii="Amiri" w:hAnsi="Amiri" w:eastAsia="Amiri" w:cs="Amiri"/>
          <w:color w:val="111111"/>
          <w:sz w:val="28"/>
          <w:sz w:val="28"/>
          <w:szCs w:val="28"/>
          <w:rtl w:val="true"/>
          <w:lang w:bidi="ar-SA"/>
        </w:rPr>
        <w:t>ومن أشعاره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 مجلسٍ ذكروا علياً وسبطيه وفاطمة الزكيّة</w:t>
      </w:r>
    </w:p>
    <w:p>
      <w:pPr>
        <w:pStyle w:val="BookText"/>
        <w:rPr/>
      </w:pPr>
      <w:r>
        <w:rPr>
          <w:rFonts w:ascii="Amiri" w:hAnsi="Amiri" w:eastAsia="Amiri" w:cs="Amiri"/>
          <w:color w:val="111111"/>
          <w:sz w:val="28"/>
          <w:sz w:val="28"/>
          <w:szCs w:val="28"/>
          <w:rtl w:val="true"/>
          <w:lang w:bidi="ar-SA"/>
        </w:rPr>
        <w:t>يقال تجاوزوا يا قوم هذا فهذا من حديث الرافضيّة</w:t>
      </w:r>
    </w:p>
    <w:p>
      <w:pPr>
        <w:pStyle w:val="BookText"/>
        <w:rPr/>
      </w:pPr>
      <w:r>
        <w:rPr>
          <w:rFonts w:ascii="Amiri" w:hAnsi="Amiri" w:eastAsia="Amiri" w:cs="Amiri"/>
          <w:color w:val="111111"/>
          <w:sz w:val="28"/>
          <w:sz w:val="28"/>
          <w:szCs w:val="28"/>
          <w:rtl w:val="true"/>
          <w:lang w:bidi="ar-SA"/>
        </w:rPr>
        <w:t>برئتُ إلى المهيمن من أُناسٍ يرون الرفض حبَّ الفاطمية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غنية عن البيان لا تحتاج إلى نقل كلمات فقهائنا في حق أهل</w:t>
      </w:r>
    </w:p>
    <w:p>
      <w:pPr>
        <w:pStyle w:val="BookText"/>
        <w:rPr/>
      </w:pPr>
      <w:r>
        <w:rPr>
          <w:rFonts w:ascii="Amiri" w:hAnsi="Amiri" w:eastAsia="Amiri" w:cs="Amiri"/>
          <w:color w:val="111111"/>
          <w:sz w:val="28"/>
          <w:sz w:val="28"/>
          <w:szCs w:val="28"/>
          <w:rtl w:val="true"/>
          <w:lang w:bidi="ar-SA"/>
        </w:rPr>
        <w:t>السنّة، بل يكفينا أن نشير إلى أنّ جميع فقهاء الشيعة يعتمدون في ذكر فضائل الأئمة ومناقبهم على المصادر الحديثية الّتي كتبها العلماء الأعلام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راجعت يا سماحة الشيخ ماكتبه أقطاب أهل الحديث من أهل السنّة في مناقب أئمة أهل البيت، نظراء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فضائل علي الّذي طبع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أبي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مصر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الخطيب أبي الحسن علي بن محمد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المكّي المعروف بالخوارزمّي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قمنا بطبع هذا الكتاب مقدّمين له مقدّمة بقلمنا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الحافظ شمس الدين محمد بن محمد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أسنى المطالب في مناقب سيدنا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كتب ورسائل ألّفها إخواننا أهل السنّة، فكيف يمكن لنا أن نتّهمهم بالنصب والخروج‌؟</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قمنا تبعاً لأسلافنا بإلقاء محاضرات في الفرق الإسلامية وطبعت في عدة أجزاء</w:t>
      </w:r>
      <w:r>
        <w:rPr>
          <w:rStyle w:val="FootnoteAnchor"/>
          <w:rtl w:val="true"/>
        </w:rPr>
        <w:footnoteReference w:id="453"/>
      </w:r>
      <w:r>
        <w:rPr>
          <w:rFonts w:ascii="Amiri" w:hAnsi="Amiri" w:eastAsia="Amiri" w:cs="Amiri"/>
          <w:color w:val="111111"/>
          <w:sz w:val="28"/>
          <w:sz w:val="28"/>
          <w:szCs w:val="28"/>
          <w:rtl w:val="true"/>
          <w:lang w:bidi="ar-SA"/>
        </w:rPr>
        <w:t>فخصصنا الجزء الأوّل لبيان عقيدة أهل الحديث، والثاني لبيان</w:t>
      </w:r>
    </w:p>
    <w:p>
      <w:pPr>
        <w:pStyle w:val="BookText"/>
        <w:rPr/>
      </w:pPr>
      <w:r>
        <w:rPr>
          <w:rFonts w:ascii="Amiri" w:hAnsi="Amiri" w:eastAsia="Amiri" w:cs="Amiri"/>
          <w:color w:val="111111"/>
          <w:sz w:val="28"/>
          <w:sz w:val="28"/>
          <w:szCs w:val="28"/>
          <w:rtl w:val="true"/>
          <w:lang w:bidi="ar-SA"/>
        </w:rPr>
        <w:t>عقيدة الأشاعرة، والثالث لبيان عقيدة المعتزلة، والرابع لبيان عقيدة الوهابية، والخامس لبيان عقيدة الخوارج والاباضية، والسادس لبيان عقيدة الشيعة الإمامية، والسابع لبيان عقيدة الزيدية، والثامن لبيان عقيدة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ويحق لنا أن نعاتبه بأنّ بعض مشايخ أهل السنّة هم الذين يتّهمون الشيعة بالكفر، وهذا هو مسلسل التكفير الّذي يصدره مشايخ الوهابية حيناً بعد حين ويرأسهم عبداللّه بن عبدالرحمن بن جبرين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هيئة كبار العلماء في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والّذي يقول في أحد بياناته المؤرخ </w:t>
      </w:r>
      <w:r>
        <w:rPr>
          <w:rFonts w:eastAsia="Amiri" w:cs="Amiri" w:ascii="Amiri" w:hAnsi="Amiri"/>
          <w:color w:val="111111"/>
          <w:sz w:val="28"/>
          <w:szCs w:val="28"/>
          <w:lang w:bidi="ar-SA"/>
        </w:rPr>
        <w:t>22/2/1412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غالباً مشركون حيث يدعون علي بن أبي طالب دائماً في الشدة والرخاء، حتّى في عرفات والطواف والسعي، ويدعون أبناءه وأئمتهم كما سمعناهم مراراً، وهذا شرك أكبر، وردّة عن الإسلام يستحقون القتل عليها، كما أنّهم يغالون في وصف علي رضى الله عنه ويصفونه بأوصاف لا تصلح إلّاللّه، كما سمعناهم في عرفات، وهم بذلك مرتدون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هذا المفرّق بذلك، بل له جواب مشابه عن سؤال آخر أدلى به بتاريخ </w:t>
      </w:r>
      <w:r>
        <w:rPr>
          <w:rFonts w:eastAsia="Amiri" w:cs="Amiri" w:ascii="Amiri" w:hAnsi="Amiri"/>
          <w:color w:val="111111"/>
          <w:sz w:val="28"/>
          <w:szCs w:val="28"/>
          <w:lang w:bidi="ar-SA"/>
        </w:rPr>
        <w:t>23/8/1421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مسجد الراجحي في إحدى حلقات درسه ولم يأت فيه بشيء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تتوقّف بياناته المغرضة حتّى أنّه أصدر في هذه الأيام</w:t>
      </w:r>
      <w:r>
        <w:rPr>
          <w:rStyle w:val="FootnoteAnchor"/>
          <w:rtl w:val="true"/>
        </w:rPr>
        <w:footnoteReference w:id="454"/>
      </w:r>
      <w:r>
        <w:rPr>
          <w:rFonts w:ascii="Amiri" w:hAnsi="Amiri" w:eastAsia="Amiri" w:cs="Amiri"/>
          <w:color w:val="111111"/>
          <w:sz w:val="28"/>
          <w:sz w:val="28"/>
          <w:szCs w:val="28"/>
          <w:rtl w:val="true"/>
          <w:lang w:bidi="ar-SA"/>
        </w:rPr>
        <w:t>بياناً يدعو فيه إلى تكفير الشيعة وجواز قتلهم، وقد صدّر بيانه في وقت كانت الحرب ضارية بين مجاهدي شيعة لبنان والعدو الصهيوني، وقد بلغت الجرأة بابن جبرين ومن لفّ لفَّه إلى حدّ حرّم هو وأمثاله حتّى الدعاء لأجل طلب النصر للشيعة في حربهم على الاسرائيليين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أفبعد هذه الوثائق الصارخة يصحّ للشيخ الدرويش أن يعتب على الشيعة</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يتّهمون السنّة بأنّهم خوارج ونواصب‌؟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وحاشاه أن يكون مصداق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عمل ابن جبرين ذريعة لعدّة ممّن لا يخافون اللّه، فأصدروا بياناً يكفّرون فيه الشيعة، ويدعون إلى نصرة الإرهابيّين الذين يقتلون المسلمين في العراق وغيره بلا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والاثنا عشرية يغالون في حب آل البيت، ومنهم من يطوف على قبورهم ويدعوهم بكشف الضر وجلب النفع، ومنهم من يزعم أنّهم يعلمون الغيب، وأمّا أهل السنّة فهم لا يغلون</w:t>
      </w:r>
      <w:r>
        <w:rPr>
          <w:rStyle w:val="FootnoteAnchor"/>
          <w:rtl w:val="true"/>
        </w:rPr>
        <w:footnoteReference w:id="455"/>
      </w:r>
      <w:r>
        <w:rPr>
          <w:rFonts w:ascii="Amiri" w:hAnsi="Amiri" w:eastAsia="Amiri" w:cs="Amiri"/>
          <w:color w:val="111111"/>
          <w:sz w:val="28"/>
          <w:sz w:val="28"/>
          <w:szCs w:val="28"/>
          <w:rtl w:val="true"/>
          <w:lang w:bidi="ar-SA"/>
        </w:rPr>
        <w:t>، ولا يطوفون حول قبورهم، لأنّ اللّه أمر بالطواف حول الكعبة فقط، ولأنّ الطواف عبادة والعبادة لا تكون إلّاللّه، وكذلك لا يدّعون فيهم أنّهم يعلمون الغيب،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المؤلّف استدلّ على عدم علمهم بالغيب بخروج الإمام الحسين عليه السلام مع أولاده الصغار من مكة متوجهاً إلى كربلاء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الخروج بالأولاد الصغار إلى مصارعهم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فكيف يخرج الحسين رضى الله عنه بأولاده الصغار وهو يعلم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رسول اللّه صلى الله عليه و آله و سلم وهو أفضل خلق اللّه وأكرمهم عليه يقول كما أمره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أَعْلَمُ الْغَيْبَ لاَسْتَكْثَرْتُ مِنَ الْخَيْرِ وَ ما مَسَّنِيَ السُّوءُ‌</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النقطة هي الّتي أشرنا إليها من قبل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قد خرج فيها</w:t>
      </w:r>
    </w:p>
    <w:p>
      <w:pPr>
        <w:pStyle w:val="BookText"/>
        <w:rPr/>
      </w:pPr>
      <w:r>
        <w:rPr>
          <w:rFonts w:ascii="Amiri" w:hAnsi="Amiri" w:eastAsia="Amiri" w:cs="Amiri"/>
          <w:color w:val="111111"/>
          <w:sz w:val="28"/>
          <w:sz w:val="28"/>
          <w:szCs w:val="28"/>
          <w:rtl w:val="true"/>
          <w:lang w:bidi="ar-SA"/>
        </w:rPr>
        <w:t>عن العنوان الّذي اختاره لهذا الفصل، وصار يتّهم الشيعة ويردّ عليهم ونسب إليهم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يطوفون على قبور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يدعونهم لكشف الضر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يزعم أنّهم يعلمون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خرج الحسين وهويعلم قتله وقتل أولاده الصغار؟</w:t>
      </w:r>
    </w:p>
    <w:p>
      <w:pPr>
        <w:pStyle w:val="BookText"/>
        <w:rPr/>
      </w:pPr>
      <w:r>
        <w:rPr>
          <w:rFonts w:ascii="Amiri" w:hAnsi="Amiri" w:eastAsia="Amiri" w:cs="Amiri"/>
          <w:color w:val="111111"/>
          <w:sz w:val="28"/>
          <w:sz w:val="28"/>
          <w:szCs w:val="28"/>
          <w:rtl w:val="true"/>
          <w:lang w:bidi="ar-SA"/>
        </w:rPr>
        <w:t>وإليك دراسة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لامسحة عليه من الحق ولا لمسة له من الصدق، وكان على الشيخ أن يذكر مصدراً لذلك، وشهيدي اللّه إنّي لم أر في كتاب ولا رسالة ولا في كتيب منسوب إلى أحد الشيعة أن يذكر فيه استحباب الطواف على القبور، وقد تواترت الروايات على زيارة القبور، بالأخّص زيارة قبر النبي الأكرم صلى الله عليه و آله و سلم وأهل بيته عليهم السلام، وأمّا الطواف فلم يذكره أحد، ولو صدر شيء يشبه الطواف من شخص، فيجب أن يُرشد إلى الحق، لا أن يتّخذ دليلاً ضد الشيعة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دعاء الأئمة لكشف الضر وقضاء الحوائج، فهو أيضاً نسبة مفتعلة تضاد عقائد الشيعة، فإنّ التوحيد في الربوبية</w:t>
      </w:r>
      <w:r>
        <w:rPr>
          <w:rStyle w:val="FootnoteAnchor"/>
          <w:rtl w:val="true"/>
        </w:rPr>
        <w:footnoteReference w:id="459"/>
      </w:r>
      <w:r>
        <w:rPr>
          <w:rFonts w:ascii="Amiri" w:hAnsi="Amiri" w:eastAsia="Amiri" w:cs="Amiri"/>
          <w:color w:val="111111"/>
          <w:sz w:val="28"/>
          <w:sz w:val="28"/>
          <w:szCs w:val="28"/>
          <w:rtl w:val="true"/>
          <w:lang w:bidi="ar-SA"/>
        </w:rPr>
        <w:t>من مراتب التوحيد، وأنّه لا يقضي الحوائج ويكشف الكرب سوى اللّه سبحانه، كما أنّه لا خالق غيره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هم الشيعة يقرأون لقضاء حوائجهم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بعد ذلك يذكرون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وهاهم أيضاً يقرأون صباح كلّ جمعة الدعاء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كشّافُ الكُرَبِ والبلْوى، وإليك أسْتَعدي فعندك العَدْوى، وأنتَ ربُّ الآخرةِ والدنيا، فأغثِ يا غياثَ المستغيثين عُبيدَك المبتلى‌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نجد في الدعاء الّذي علمه الإمام علي عليه السلام لحواريّه كميل بن زياد والشيعة يدعون بهذا الدعاء الّذي يتضمن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يا غايةَ آمالِ العارفِين يا حبيبَ قلوب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الأدعية الّتي يردّدها الشيعة كلّ يوم وليلة، ولا يرون رباً ولا كاشفاً للكرب ولا قاضياً للحوائج سوى اللّه سبحانه، ولسان حالهم هو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التوسّل بالنبي والأئمة غير دعائهم لكشف الضر وجلب النفع، ومعنى التوسّل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الدعاء منهم، لأنّهم ممّن تُستجاب دعوتُهم، وليس طلبُ الدعاء منهم بعد رحلتهم إلّاكطلب الدعاء منهم حال حياتهم، فلو كان الأوّل شركاً كان الثاني أيضاً مِثلَه، وكون المدعو حيّاً أو ميتاً لا يؤثر في حقيقة الدعاء، وإنّما يؤثر في كون الدعاء نافعاً أو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سيرة الصحابة على طلب الدعاء من النبي بعد رحيله كما هو الحال في حال حياته، وها نحن نذكر أُنموذجاً لذلك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عن أبي أمامة بن سهل بن حنيف عن عمه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إلى عثمان بن عفان في حاجة له، فكان عثمان لا يلتفت إليه ولا ينظر في حاجته، فلقي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ائت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بنبينا محمد صلى الله عليه و آله و سلم نبي الرحمة، يا محمد إنّي أتوجّه بك</w:t>
      </w:r>
    </w:p>
    <w:p>
      <w:pPr>
        <w:pStyle w:val="BookText"/>
        <w:rPr/>
      </w:pPr>
      <w:r>
        <w:rPr>
          <w:rFonts w:ascii="Amiri" w:hAnsi="Amiri" w:eastAsia="Amiri" w:cs="Amiri"/>
          <w:color w:val="111111"/>
          <w:sz w:val="28"/>
          <w:sz w:val="28"/>
          <w:szCs w:val="28"/>
          <w:rtl w:val="true"/>
          <w:lang w:bidi="ar-SA"/>
        </w:rPr>
        <w:t>إلى ربّي فتقضي لي حاجتي، فتذكر حاجتك ورح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فصنع ما قال له، ثم أتى باب عثمان بن عفان رضى الله عنه فجاء البوّاب حتّى أخذ بيده فأدخله على عثمان بن عفان رضى الله عنه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فذكر حاجته، فقضاها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 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 صلى الله عليه و آله و سلم وقد أتاه ضرير فشكا إليه ذهاب بصره 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قائد، فقد شق عليّ‌،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 الميضأة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وما طال بنا الحديث حتّى دخل علينا الرجل كأنّه لم يكن به ضرّ قط</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إنّ هذه الرواية ونظائرها تكشف عن أنّ الصحابة كانوا يدعون رسول اللّه صلى الله عليه و آله و سلم ويتوسّلون به حتّى بعد وفاته صلى الله عليه و آله و سلم من دون أن يعتبروا ذلك محرّماً، بل ولا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الإمام شمس الدين أبو الفرج عبدالرحمن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 مؤلف الشرح الكبير على مذهب الإمام أحمد بن حنبل، ينقل عند الكلام في استحباب زيارة قبر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العتبي أنّه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قبر النبي صلى الله عليه و آله و سلم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w:t>
      </w:r>
    </w:p>
    <w:p>
      <w:pPr>
        <w:pStyle w:val="BookText"/>
        <w:rPr/>
      </w:pPr>
      <w:r>
        <w:rPr>
          <w:rFonts w:ascii="Amiri" w:hAnsi="Amiri" w:eastAsia="Amiri" w:cs="Amiri"/>
          <w:color w:val="111111"/>
          <w:sz w:val="28"/>
          <w:sz w:val="28"/>
          <w:szCs w:val="28"/>
          <w:rtl w:val="true"/>
          <w:lang w:bidi="ar-SA"/>
        </w:rPr>
        <w:t>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وقد جئتك مستغفراً من ذنبي، مستشفعاً بك إلى ربي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البان والأكم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pStyle w:val="BookText"/>
        <w:rPr/>
      </w:pPr>
      <w:r>
        <w:rPr>
          <w:rFonts w:ascii="Amiri" w:hAnsi="Amiri" w:eastAsia="Amiri" w:cs="Amiri"/>
          <w:color w:val="111111"/>
          <w:sz w:val="28"/>
          <w:sz w:val="28"/>
          <w:szCs w:val="28"/>
          <w:rtl w:val="true"/>
          <w:lang w:bidi="ar-SA"/>
        </w:rPr>
        <w:t>ثم انصرف الأعرابي، فحملتني عيني، فرأيت النبي صلى الله عليه و آله و سلم فقال ياعتبي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الأعرابي فبشّره أنّ اللّه قد غفر 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لاشك أنّ دعاء النبي أو أحد الأئمة من أهل بيته ونداءه والتوسّل به باعتقاد أنّه إله أو ربّ أو مستقلّ في التأثير أو مالك للشفاعة والمغفرة شرك وكفر، ولكنّه لا يقوم به أيّ مسلم في أقطار الأرض، بل ولا يخطر ببال أحد وهو يقرأ آيات الكتاب العزيز آناء الليل وأطراف النهار، ويتلو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إِلهٌ مَعَ اللّهِ تَعالَى اللّهُ عَمّا يُشْرِكُونَ‌</w:t>
      </w:r>
      <w:r>
        <w:rPr>
          <w:rFonts w:eastAsia="Amiri" w:cs="Amiri" w:ascii="Amiri" w:hAnsi="Amiri"/>
          <w:color w:val="111111"/>
          <w:sz w:val="28"/>
          <w:szCs w:val="28"/>
          <w:rtl w:val="true"/>
          <w:lang w:bidi="ar-SA"/>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أَبْغِي رَبًّا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 لا نَفْعاً إِلاّ ما شاءَ اللّهُ‌</w:t>
      </w:r>
      <w:r>
        <w:rPr>
          <w:rFonts w:eastAsia="Amiri" w:cs="Amiri" w:ascii="Amiri" w:hAnsi="Amiri"/>
          <w:color w:val="111111"/>
          <w:sz w:val="28"/>
          <w:szCs w:val="28"/>
          <w:rtl w:val="true"/>
          <w:lang w:bidi="ar-SA"/>
        </w:rPr>
        <w:t>) .</w:t>
      </w:r>
      <w:r>
        <w:rPr>
          <w:rStyle w:val="FootnoteAnchor"/>
          <w:rtl w:val="true"/>
        </w:rPr>
        <w:footnoteReference w:id="46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لا يعتقدون في النبي وأهل بيته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وعلي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إلّاكونهم عباداً صالحين مقرَّبين عند اللّه مستجابة</w:t>
      </w:r>
    </w:p>
    <w:p>
      <w:pPr>
        <w:pStyle w:val="BookText"/>
        <w:rPr/>
      </w:pPr>
      <w:r>
        <w:rPr>
          <w:rFonts w:ascii="Amiri" w:hAnsi="Amiri" w:eastAsia="Amiri" w:cs="Amiri"/>
          <w:color w:val="111111"/>
          <w:sz w:val="28"/>
          <w:sz w:val="28"/>
          <w:szCs w:val="28"/>
          <w:rtl w:val="true"/>
          <w:lang w:bidi="ar-SA"/>
        </w:rPr>
        <w:t>دعوتُهم، ولا يعتقدون بغير ذلك من ربوبية أو إلوهية أو مالكية للشفاعة والمغفرة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القوم الذين عمدوا إلى تكفير الشيعة وغيرهم من المسلمين لم يفرّقوا بين الدعاءين والنداءين، فرموهما بسهم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الشيخ إلى الشيعة أنّهم يعتقدون بأنّ أئمتهم يعلمون الغيب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بالغيب يراد به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الذاتي الّذي ينبع من ذات العالم غير المكتسب من آخر، وهذا هو ما يختصّ باللّه الواحد الأحد، وإليه تشير الآية المباركة الّتي استدلّ بها الشيخ الدرويش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بالغيب بتعليم من اللّه العزيز أحداً من عباده الصالحين في مورد واحد أو في موارد كثيرة أو قليلة، فعلم الغيب بهذا المعنى يزخر به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سورة يوسف عليه السلام تخبرنا بأنّ يعقوب وابنه يوسف عليهما السلام قد أخبرا عن حوادث غيبية مستقبلية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أخبر يوسف والده بأنّه رأى أحد عشر كوكباً والشمس والقمر ساجدين له، قال يعقوب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تَقْصُصْ رُؤْياكَ عَلى إِخْوَتِكَ فَيَكِيدُوا لَكَ كَيْداً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وبذلك أخبر ضمناً عن مستقبله المشرق الّذي لو عرف به إخوته لثارت عليه حفائظهم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أخبر صاحبا يوسف في السجن يوسفَ برؤياهما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اَلْآخَرُ فَيُصْلَبُ فَتَأْكُلُ الطَّيْرُ مِنْ رَأْسِهِ‌</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فصلت العير قال 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هو النبي عيسى عليه السلام يقول لقومه في معرض بيان معاجزه وبيّناته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كلّ هذه إخبارات بالغيب، ومغيبات أنبأ بها الرسل‌؟ وإذا هي ثبتت لنبيّ‌، جاز نسبتها إلى العترة الطاهرة؛ لما لهم من المنزلة والمكانة العليا، وهل عليٍّ عليه السلام أقلّ شأناً من هارون عليه السلام وقد قال النبي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ياعلى أمّا ترضى أن تكون منّي بمنزلة هارون من موسى إلّا أنّه لا نبي بعدي‌؟</w:t>
      </w:r>
      <w:r>
        <w:rPr>
          <w:rStyle w:val="FootnoteAnchor"/>
          <w:rtl w:val="true"/>
        </w:rPr>
        <w:footnoteReference w:id="471"/>
      </w:r>
      <w:r>
        <w:rPr>
          <w:rFonts w:ascii="Amiri" w:hAnsi="Amiri" w:eastAsia="Amiri" w:cs="Amiri"/>
          <w:color w:val="111111"/>
          <w:sz w:val="28"/>
          <w:sz w:val="28"/>
          <w:szCs w:val="28"/>
          <w:rtl w:val="true"/>
          <w:lang w:bidi="ar-SA"/>
        </w:rPr>
        <w:t>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ما للرسول إلّاأنّه ليس نبياً، لختم النبوة برسول اللّه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وعلي عليه السلام وارث علم رسول اللّه بإجماع الأُمة الإسلامية، وهل عليٌّ عليه السلام أقل من كعب الأحبار الّذي أخبر الخليفة الثاني بأنّه سيموت بعد ثلاثة أيام وتحقّقت هذه النبوءة فعلاً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وكان على الشيخ الدرويش دراسة ما أخرجه قومه في أئمتهم من العلم بالغيب، ففي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أخبر بموته بسبب رؤيا رآها وكان بين رؤياه وبين يوم مصرعه أُسبوع واحد</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غفل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الأُمة الإسلامية، الّذي لا يرى الملك ولكن يسمع كلامه فيخبر عن ملاحم ومغيبات بإذن اللّه، وانّ عمر بن</w:t>
      </w:r>
      <w:bookmarkStart w:id="485" w:name="pg16780_177139"/>
    </w:p>
    <w:p>
      <w:pPr>
        <w:pStyle w:val="BookText"/>
        <w:rPr/>
      </w:pPr>
      <w:bookmarkEnd w:id="485"/>
      <w:r>
        <w:rPr>
          <w:rFonts w:ascii="Amiri" w:hAnsi="Amiri" w:eastAsia="Amiri" w:cs="Amiri"/>
          <w:color w:val="111111"/>
          <w:sz w:val="28"/>
          <w:sz w:val="28"/>
          <w:szCs w:val="28"/>
          <w:rtl w:val="true"/>
          <w:lang w:bidi="ar-SA"/>
        </w:rPr>
        <w:t>الخطاب أحد هؤلاء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شكّ منه، فليقرأ الصحيحين</w:t>
      </w:r>
      <w:r>
        <w:rPr>
          <w:rFonts w:eastAsia="Amiri" w:cs="Amiri" w:ascii="Amiri" w:hAnsi="Amiri"/>
          <w:color w:val="111111"/>
          <w:sz w:val="28"/>
          <w:szCs w:val="28"/>
          <w:rtl w:val="true"/>
          <w:lang w:bidi="ar-SA"/>
        </w:rPr>
        <w:t>.</w:t>
      </w:r>
      <w:r>
        <w:rPr>
          <w:rStyle w:val="FootnoteAnchor"/>
          <w:rtl w:val="true"/>
        </w:rPr>
        <w:footnoteReference w:id="474"/>
      </w:r>
    </w:p>
    <w:p>
      <w:pPr>
        <w:pStyle w:val="Heading5"/>
        <w:numPr>
          <w:ilvl w:val="4"/>
          <w:numId w:val="1"/>
        </w:numPr>
        <w:rPr/>
      </w:pPr>
      <w:bookmarkStart w:id="486" w:name="__RefHeading___Toc7189819_73709187"/>
      <w:bookmarkStart w:id="487" w:name="_Toc183"/>
      <w:bookmarkEnd w:id="486"/>
      <w:r>
        <w:rPr>
          <w:rtl w:val="true"/>
        </w:rPr>
        <w:t>الاستدلال بخروج الإمام الحسين عليه السلام</w:t>
      </w:r>
      <w:bookmarkEnd w:id="487"/>
    </w:p>
    <w:p>
      <w:pPr>
        <w:pStyle w:val="BookText"/>
        <w:rPr/>
      </w:pPr>
      <w:r>
        <w:rPr>
          <w:rFonts w:ascii="Amiri" w:hAnsi="Amiri" w:eastAsia="Amiri" w:cs="Amiri"/>
          <w:color w:val="111111"/>
          <w:sz w:val="28"/>
          <w:sz w:val="28"/>
          <w:szCs w:val="28"/>
          <w:rtl w:val="true"/>
          <w:lang w:bidi="ar-SA"/>
        </w:rPr>
        <w:t>استدلّ الشيخ المؤلّف على عدم علم الإمام بالغيب حتّى بالمعنى الّذي بيّناه بخروج الإمام الحسين بأولاده الصغار إلى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يخرج الحسين عليه السلام بأولاده الصغار وهو يعلم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الشيخ ليس أمراً جديداً، وإنّما طرحه المخالفون قبل أكثر من ألف عام، وقام علماء الشيعة آنذاك بتوضيح جوابهم على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الإمام بشهادته وشهادة أبنائه لا يمنعه من الخروج على الظالمين والوقوف بوجه طغاة عصره، إذ لم ينهض ريحانة المصطفى إلّابواجبه الديني حيث أحس بالخطر المحدق بالإسلام والمسلمين المتمثّل بحكومة يزيد والّذي يصفه الإمام لأبيه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توهم الناس في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تصف محجوباً، أو تنعت غائباً، أو تخبر عمّاكان ممّا احتويته بعلم خاص، وقد دلّ يزيد من نفسه على موقع رأيه، فخذ ليزيد فيما أخذ فيه من استقرائه الكلاب المهارشة عند التهارش، والحمام السبّق لاترابهن، والقينات ذوات المعازف وضرب الملاهي، تجده باصراً، ودع عنك ما تُحاول، فما أغناك أن تلقى اللّه من وزر هذا الخلق بأكثر ممّا أنت لاقيه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يسكت ويُسلم أزمّة الأُمور لمن يطالب بثارات من قتل في بدر</w:t>
      </w:r>
    </w:p>
    <w:p>
      <w:pPr>
        <w:pStyle w:val="BookText"/>
        <w:rPr/>
      </w:pPr>
      <w:r>
        <w:rPr>
          <w:rFonts w:ascii="Amiri" w:hAnsi="Amiri" w:eastAsia="Amiri" w:cs="Amiri"/>
          <w:color w:val="111111"/>
          <w:sz w:val="28"/>
          <w:sz w:val="28"/>
          <w:szCs w:val="28"/>
          <w:rtl w:val="true"/>
          <w:lang w:bidi="ar-SA"/>
        </w:rPr>
        <w:t>وأُحد، فلمّا بلغ مناه جاهر بكفره وأظهر شركه بالشعر الّذي تغنى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IRNazanin" w:hAnsi="IRNazanin" w:eastAsia="IRNazanin"/>
          <w:color w:val="111111"/>
          <w:sz w:val="28"/>
          <w:sz w:val="28"/>
          <w:szCs w:val="28"/>
          <w:rtl w:val="true"/>
          <w:lang w:bidi="fa-IR"/>
        </w:rPr>
        <w:t>قد قتلنا القرم من ساداتهم وعدلناه ببدرٍ فاعتدل</w:t>
      </w:r>
    </w:p>
    <w:p>
      <w:pPr>
        <w:pStyle w:val="BookText"/>
        <w:rPr/>
      </w:pPr>
      <w:r>
        <w:rPr>
          <w:rFonts w:ascii="Amiri" w:hAnsi="Amiri" w:eastAsia="Amiri" w:cs="Amiri"/>
          <w:color w:val="111111"/>
          <w:sz w:val="28"/>
          <w:sz w:val="28"/>
          <w:szCs w:val="28"/>
          <w:rtl w:val="true"/>
          <w:lang w:bidi="ar-SA"/>
        </w:rPr>
        <w:t>لأهلّوا واستهلوا فرحاً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لست من خندفَ إن لم انتقم من بني أحمد ما كان فعل</w:t>
      </w:r>
    </w:p>
    <w:p>
      <w:pPr>
        <w:pStyle w:val="BookText"/>
        <w:rPr/>
      </w:pPr>
      <w:r>
        <w:rPr>
          <w:rFonts w:ascii="Amiri" w:hAnsi="Amiri" w:eastAsia="Amiri" w:cs="Amiri"/>
          <w:color w:val="111111"/>
          <w:sz w:val="28"/>
          <w:sz w:val="28"/>
          <w:szCs w:val="28"/>
          <w:rtl w:val="true"/>
          <w:lang w:bidi="ar-SA"/>
        </w:rPr>
        <w:t>لعبت هاشم بالملك فلا خبر جاء ولاوحي نزل</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فقد عرف سيد العظمة وريحانة الرسول صلى الله عليه و آله و سلم أنّ من واجبه إنهاض المسلمين ضد الحكومة الأُموية وإيقاظ ضمائرهم لمقابلة الخطر، وذلك الأمر لا يتحقق إلّابخروجه واستشهاده في ذلك الطريق حتّى تتحرك الدماء في عروق الأُمة الإسلامية، وقد تحققت أُمنيّته حيث توالت النهضات واحدة بعد الأُخرى حتّى انقلعت الشجرة الخبيثة من أُصولها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غير واحد من المحقّقين بتحقيق أهداف ثورة الإمام الحسين عليه السلام وانّه خاض هذه المعركة مع علمه بأنّه سيقتل، إذ لم تكن غايته من الثورة هي مجرد السيطرة على مقاليد الخلافة، حتّى يعوقه العلم بالشهادة عن خوض هذه المعركة، بل كان غرضه من هذه التضحيات إعلام الأُمّة بفضاضة الأُمويين وقسوة سياستهم وابتعادهم عن الدين وتوغّلهم في الجاهلية، وأنّهم هم الذين لا يوقرون كبيراً ولا يرحمون صغيراً، فلذلك قدّم إلى ساحة التضحية أغصان الرسالة وأوراد النبوة وأنوار الخلافة، حتّى يعرف الملأ بما يكنّه يزيد من حقد على الإسلام وعلى نبيه ونواميسه وطقوسه، وهذا شيء يعرفه كلّ من درس نهضة الإمام الحسين عليه السلام، وإليك بعض الكلمات من محقّقي التاريخ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الشيخ شمس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فلسفة قيام الإمام الحسين عليه السلام بهذه الثورة العظيمة وبتلك التضحيات الجسام،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أعتقده هو أنّ وضع المجتمع الإسلامي إذ ذاك كان يتطلّب القيام بعمل انتحاريّ فاجع يُلهب الروح النضالية في هذا المجتمع، ويتضمّن أسمى مراتب التضحية ونكران الذات في سبيل المبدأ، لكي يكون مناراً لجميع الثائرين حين تلوح لهم وعورة الطريق، وتضمحل عندهم احتمالات الفوز، وترجح عندهم إمارات الفشل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قادة المجتمع وعامة أفراده إذ ذاك يقعدون عن أيّ عمل إيجابي لتطوير واقعهم السيء بمجرد أن يلوح لهم ما قد يعانون في سبيل ذلك من عذاب، وما قد يضطرون إلى بذله من تضحيات، وكانوا يقعدون عن القيام بأي عمل إيجابي بمجرد أن تحقّق لهم السلطة الحاكمة بعض المنافع القريبة</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وقال عبداللّه العلايلي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الحسين نقد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فصل خاص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في سبيل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وازن الحسين عليه السلام بين الرغبة في البقاء، وبين الواجب، فرأى طريق الواجب أفسح الطريقين وأرضاهما عند اللّه والناس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بقلّته المؤمنة وثبت في معركة الحق والباطل، وجعل بين ناظريه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في الآية ليست بمعنى الاختلاف والتنازع، بل بمعنى شيوع الفساد والفسوق، فخروج الحسين عليه السلام ليس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لمكافحة الفتنة، فأيّة محاولة وثورة على الفساد في سبيل أن يكون الدين كلّه للّه، نحن مأمورون بها، فالحسين بخروجه لم يجاوز برهان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الحسين عليه السلام كيف نعتنق المبادئ وكيف نحرسها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وعلّمنا كيف نقدّس العقيدة، وكيف ندافع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وعلّمنا كيف نموت، كما علّمنا كيف نحيا كراماً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 طريق الخلود الأبدي من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عليه يوم يموت ويوم يبعث حياً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وقال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الحد في عهد يزيد إلى حدّ لا يعالج بغير الاستشهاد وما نحا منحاه، وهذا هو الاستشهاد ومنحاه، وهو بالبداهة الّتي لا تحتاج إلى مقابلة طويلة منحى غير منحى الحساب والجمع والطرح في دفاتر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يدع المؤرخ طريق الشهادة تمضي إلى نهاية مطافها، ثم يتناول دفتر التجار كما يشاء، فإنّه لواجد في نهاية المطاف أنّ دفتر التجار لن يكتب الربح آخراً إلّافي صفحة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فالدعاة المستشهدون يخسرون حياتهم وحياة ذويهم، ولكنّهم يرسلون دعوتهم من بعدهم ناجحة متفاقمة فتطفو في نهاية مطافها بكلّ شيء حتّى المظاهر العرضية والمنافع الأرضية</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السيد الجميلي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أرى أنّ الحسين انتصر على المدى البعيد، فهو وإن لم يظفر بمراده في معركة حربية ومواجهة عسكرية، إلّاأنّ نيله الشهادة في حدّ ذاته كان انتصاراً له، ثم إنّه زرع بذور الحسيكة والحقد والسخيمة في قلوب الناس جميعاً نحو بني أُمية، ولا يخامرني شك في أنّ‌</w:t>
      </w:r>
    </w:p>
    <w:p>
      <w:pPr>
        <w:pStyle w:val="BookText"/>
        <w:rPr/>
      </w:pPr>
      <w:r>
        <w:rPr>
          <w:rFonts w:ascii="Amiri" w:hAnsi="Amiri" w:eastAsia="Amiri" w:cs="Amiri"/>
          <w:color w:val="111111"/>
          <w:sz w:val="28"/>
          <w:sz w:val="28"/>
          <w:szCs w:val="28"/>
          <w:rtl w:val="true"/>
          <w:lang w:bidi="ar-SA"/>
        </w:rPr>
        <w:t>الحسين انتصر على المدى البعيد وكان استشهاده سبباً مباشراً في زلزلة عروش دولة الأُمويين، مع انصباب جام اللعنات والسخطات عليهم من جراء هذه الجريمة البشعة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هذا وكم لمحقّقي التاريخ من السنّة و الشيعة، بل من غيرهم من أعلام الكتّاب من غير المسلمين كلمات زاهية حول صلابة الحسين وتضحياته، لا يسعنا نقلها فمن أراد فليرجع إلى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مرافقة صبيانه وعياله ونسائه له، فكان ذلك يصب في ذات الهدف؛ حيث إنّ استشهاده وحده في طف كربلاء ربّما لا يصل خبره إلى أسماع كافة أبناء الأُمّة الإسلامية، بل أنّ هذا العمل العسكري بحاجة إلى دعم إعلامي لبيان حقيقته وكشف أهدافه، ولا يتحقّق ذلك إلّامن خلال مرافقة أُسرته له، ولذلك نرى الأثر الكبير الّذي خلّفته خطب عقيلة بني هاشم زينب الكبرى في الكوفة والشام، وكذلك ما سببته خطب ولده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كان لهذه الكلمات والخطب من تأثير في نفوس العراقيين والشاميين، الأمر الذي دعا يزيد أن يلقي اللائمة على عبيد اللّه بن زياد بعد أن شعر بخطورة الموقف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نعزز ما قلناه، نذكر نتفاً من خطب السيدة زينب بنت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يا أهل الختل والغدر،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رقأت الدمعة، ولا هدأت الرنّة، 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ياأهل الكوفة، أتدرون أيّ كبدٍ لرسول اللّه فريتم‌؟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حرمة له انتهكتم‌؟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بها صلعاء عنقاء سوداء فقماء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يبكون، وقد وضعوا أيديهم في أفواههم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وليست هذه الخطبة هي الوحيدة لبطلة كربلاء، بل لها خطب أُخر نذكر منها ما ألقته في مجلس يزيد عندما تمثّل بأبيات ابن الزبعرى شاعر قريش في الجاهلية الّذي كان شديداً على المسلمين، ولمّا فتحت مكة هرب إلى نجران ومات هناك، وقد سَبق منّا نقل أشعاره، فلمّا سمعت زينب هذه الأشعار الّتي تعرب عن كفر يزيد قامت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أجمعين، صدق اللّه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أظننتَ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علينا أقطار الأرض وآفاق السماء فأصبحنا نساق كما تُساق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على اللّه هواناً،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لعظيم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ونظرت في عطفك، جَذِلاً مسروراً، حين رأيت الدنيا لك مستوسقة، والأُمور متسقة، وحين صفا لك ملكنا وسلطاننا، فمهلاً مهلاً، أنسيت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يابن الطلقاء تخديرك إماءك ونساءك وسوقك بنات رسول اللّه</w:t>
      </w:r>
    </w:p>
    <w:p>
      <w:pPr>
        <w:pStyle w:val="BookText"/>
        <w:rPr/>
      </w:pPr>
      <w:r>
        <w:rPr>
          <w:rFonts w:ascii="Amiri" w:hAnsi="Amiri" w:eastAsia="Amiri" w:cs="Amiri"/>
          <w:color w:val="111111"/>
          <w:sz w:val="28"/>
          <w:sz w:val="28"/>
          <w:szCs w:val="28"/>
          <w:rtl w:val="true"/>
          <w:lang w:bidi="ar-SA"/>
        </w:rPr>
        <w:t>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هتكت ستورهنّ‌، وأبديت وجوههنّ‌، تحدو بهن الأعداء من بلدٍ إلى بلدٍ، ويستشرفهن أهل المنازل والمناهل، ويتصفّح وجوههنّ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اكتفينا في المقام بهذا المقدار، ولم نذكر ما قام به بقية أفراد عائلة الحسين خلال الطريق وفي الكوفة والشام من خطب بليغة ومواقف صلبة وعمليات بطولية، أتمّوا بها رسالة أبي الشهداء الحسين بن علي عليهما السلام موضحين للعالم حقيقة الثورة وأهدافها السامية وشموخ رجالاتها وخطر الإنجرار مع المؤامرات الأموية والانصياع للخط الجاهلي الّذي تزيّى بزي الدين، ليضرب الدين بالصميم وليعيدها جاهلية تحكمها شريعة أبي سفيان وهند</w:t>
      </w:r>
      <w:r>
        <w:rPr>
          <w:rFonts w:eastAsia="Amiri" w:cs="Amiri" w:ascii="Amiri" w:hAnsi="Amiri"/>
          <w:color w:val="111111"/>
          <w:sz w:val="28"/>
          <w:szCs w:val="28"/>
          <w:rtl w:val="true"/>
          <w:lang w:bidi="ar-SA"/>
        </w:rPr>
        <w:t>.</w:t>
      </w:r>
      <w:bookmarkStart w:id="488" w:name="pg16780_177146"/>
    </w:p>
    <w:p>
      <w:pPr>
        <w:pStyle w:val="Heading4"/>
        <w:numPr>
          <w:ilvl w:val="3"/>
          <w:numId w:val="1"/>
        </w:numPr>
        <w:rPr/>
      </w:pPr>
      <w:bookmarkStart w:id="489" w:name="__RefHeading___Toc7189821_73709187"/>
      <w:bookmarkStart w:id="490" w:name="_Toc184"/>
      <w:bookmarkEnd w:id="488"/>
      <w:bookmarkEnd w:id="489"/>
      <w:r>
        <w:rPr>
          <w:rtl w:val="true"/>
        </w:rPr>
        <w:t>الفصل الخامس حقوق آل البيت عليهم السلام</w:t>
      </w:r>
      <w:bookmarkEnd w:id="490"/>
    </w:p>
    <w:p>
      <w:pPr>
        <w:pStyle w:val="Heading5"/>
        <w:numPr>
          <w:ilvl w:val="4"/>
          <w:numId w:val="1"/>
        </w:numPr>
        <w:rPr/>
      </w:pPr>
      <w:bookmarkStart w:id="491" w:name="__RefHeading___Toc7189823_73709187"/>
      <w:bookmarkStart w:id="492" w:name="_Toc185"/>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عقد المؤلّف هذا الفصل لبيان حقوق آل البيت عليهم السلام وذكر منها الحقوق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الموالاة والمحبة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الدفاع والذبّ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تبرئة ساحتهم ممّا ينسب إليهم كذباً وزوراً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الصلاة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حقّهم من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الجازم بأنّ نسب رسول اللّه صلى الله عليه و آله و سلم وذريته هو أشرف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الزكاة والصدقة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المؤلّف هذه الحقوق وبدلاً من أن يخوض في تفسيرها على وجه يليق بها ويشرحها معتمداً على الكتاب والسنّة، اتّخذها ذريعة للرد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للشيعة حول آل البيت عليهم السلام، فكأنّ هذا الفصل صنو الفصل السابق، حيث إنّ العنوان لا يحكي عمّا يحتويه الفصل، ولذلك نعطف عنان الكلام إلى ما حسبه عقيدة للشيعة ثم نرد عليه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7189825_73709187"/>
      <w:bookmarkStart w:id="494" w:name="_Toc186"/>
      <w:bookmarkEnd w:id="493"/>
      <w:r>
        <w:rPr/>
        <w:t>1</w:t>
      </w:r>
      <w:r>
        <w:rPr>
          <w:rtl w:val="true"/>
        </w:rPr>
        <w:t xml:space="preserve">. </w:t>
      </w:r>
      <w:r>
        <w:rPr>
          <w:rtl w:val="true"/>
        </w:rPr>
        <w:t>رمي الشيعة بالغلو</w:t>
      </w:r>
      <w:bookmarkEnd w:id="494"/>
    </w:p>
    <w:p>
      <w:pPr>
        <w:pStyle w:val="BookText"/>
        <w:rPr/>
      </w:pPr>
      <w:r>
        <w:rPr>
          <w:rFonts w:ascii="Amiri" w:hAnsi="Amiri" w:eastAsia="Amiri" w:cs="Amiri"/>
          <w:color w:val="111111"/>
          <w:sz w:val="28"/>
          <w:sz w:val="28"/>
          <w:szCs w:val="28"/>
          <w:rtl w:val="true"/>
          <w:lang w:bidi="ar-SA"/>
        </w:rPr>
        <w:t>إنّ اتّهام الشيعة الإمامية وعلمائهم بالغلو هو بيت القصيد في هذا الفصل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الدفاع عنهم يشمل الرد على من غلا فيهم وأنزلهم فوق منزلتهم،</w:t>
      </w:r>
    </w:p>
    <w:p>
      <w:pPr>
        <w:pStyle w:val="BookText"/>
        <w:rPr/>
      </w:pPr>
      <w:r>
        <w:rPr>
          <w:rFonts w:ascii="Amiri" w:hAnsi="Amiri" w:eastAsia="Amiri" w:cs="Amiri"/>
          <w:color w:val="111111"/>
          <w:sz w:val="28"/>
          <w:sz w:val="28"/>
          <w:szCs w:val="28"/>
          <w:rtl w:val="true"/>
          <w:lang w:bidi="ar-SA"/>
        </w:rPr>
        <w:t xml:space="preserve">فإنّ ذلك يؤذيهم، وقد ألّف شيخ الإسلام ابن تيمية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غلا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رواية عن رجال الكشي عن الإمام زين العابدين علي بن الحسين عليهما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أحبّوا عزيراً حتّى قالوا فيه ما قالوا فلا عزير منهم ولا هم من عزير،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شيعتنا سيحبونا حتّى يقولوا فينا ما قالت اليهود في عزير وما قالت النصارى في عيسى بن مريم فلا هم منّا ولا نحن منهم</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الّذي ذكره راجع إلى الغلاة المتسمّين بالتشيّع الذين هم ليسوا من الشيعة ولا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روايات أئمة أهل البيت في ردّ الغلاة وطردهم كثيرة يقف عليها من له إلمام بكتب الحديث عند الشيعة، فلو صحّ الحديث فإنّما المقصود به هم الذين ألّهوا علياً وبعض أولاده، وأين هم من الشيعة الذين لا يعتقدون في نبي الإسلام وخلفائه من أهل بيته إلّاأنّهم عباد صالحون معصومون بنص الكتاب العزيز، تستجاب دعوتهم فلا يملكون لأنفسهم ولا لغيرهم شيئاً إلّاما شاء اللّه وأقدرهم عليه‌؟</w:t>
      </w:r>
    </w:p>
    <w:p>
      <w:pPr>
        <w:pStyle w:val="BookText"/>
        <w:rPr/>
      </w:pPr>
      <w:r>
        <w:rPr>
          <w:rFonts w:ascii="Amiri" w:hAnsi="Amiri" w:eastAsia="Amiri" w:cs="Amiri"/>
          <w:color w:val="111111"/>
          <w:sz w:val="28"/>
          <w:sz w:val="28"/>
          <w:szCs w:val="28"/>
          <w:rtl w:val="true"/>
          <w:lang w:bidi="ar-SA"/>
        </w:rPr>
        <w:t>وهذه الرواية ونظائرها يُراد بها الفرقة الخطابية الذين لعنهم الإمام الصادق عليه السلام، والفرقة المغيرية أتباع المغيرة بن سعيد العجلي وأضرابهم الذين أكل عليهم الدهر وشرب فانقرضوا، ولو بقي منهم مَنْ يُعدُّ من الغلاة فالشيعة الإمامية منه برآء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 غير واحد من أعلام الشيعة ردوداً على الغلاة وكفّروهم وحكموا بنجاستهم، وهذا هو العلّامة المجلسي عقد في موسوعته الحديثية فصلاً حول الغلاة والرد عليهم</w:t>
      </w:r>
      <w:r>
        <w:rPr>
          <w:rFonts w:eastAsia="Amiri" w:cs="Amiri" w:ascii="Amiri" w:hAnsi="Amiri"/>
          <w:color w:val="111111"/>
          <w:sz w:val="28"/>
          <w:szCs w:val="28"/>
          <w:rtl w:val="true"/>
          <w:lang w:bidi="ar-SA"/>
        </w:rPr>
        <w:t>.</w:t>
      </w:r>
      <w:r>
        <w:rPr>
          <w:rStyle w:val="FootnoteAnchor"/>
          <w:rtl w:val="true"/>
        </w:rPr>
        <w:footnoteReference w:id="485"/>
      </w:r>
      <w:bookmarkStart w:id="495" w:name="pg16780_177148"/>
    </w:p>
    <w:p>
      <w:pPr>
        <w:pStyle w:val="BookText"/>
        <w:rPr/>
      </w:pPr>
      <w:bookmarkEnd w:id="495"/>
      <w:r>
        <w:rPr>
          <w:rFonts w:ascii="Amiri" w:hAnsi="Amiri" w:eastAsia="Amiri" w:cs="Amiri"/>
          <w:color w:val="111111"/>
          <w:sz w:val="28"/>
          <w:sz w:val="28"/>
          <w:szCs w:val="28"/>
          <w:rtl w:val="true"/>
          <w:lang w:bidi="ar-SA"/>
        </w:rPr>
        <w:t xml:space="preserve">كما أنّنا اقتفينا أثر العلّامة المجلسي فعقدنا فصلاً حول الغلاة والرد عليهم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الشيخ الدرويش نقل عن العلّامة المامقاني الكلمة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يعدّون ما نعده اليوم من ضروريات مذهب الشيعة غلوّاً وارتفاعاً، وكانوا يرمون بذلك أوثق الرجال كما لا يخفى على من أحاط خبراً بكلماتهم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وقد استغلّ المؤلّف هذه الكلمة لرمي شيعة اليوم بالغلو، مع أنّ كلمة المامقاني تتعلّق بمسألة نفي السهو عن النبي والأئمة عليهم السلام، فقد كان كثيرٌ من القدماء يجوّزون السهو على النبي والأئمة، ولكن الثابت عن المتأخّرين أنّهم لم يجوّزوا وقوعه منهم، لأنّه يورث الشك والترديد في ما يصدر عنهم في مجالي العقيدة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ونظيرها كصدور الكرامات وعدمه مسائل كلامية لم تزل تختلف فيها الأنظار بين بعض القدماء والمتأخّرين، فليس نفي السهو عنهم إذا ساعده الدليل موجباً للغلو، كما أنّ اثبات الكرامات لهم لا يُعدّ غلواً، وهاهي مريم العذراء ليست بنبيّة ولا وصيّة، ولكن أثبت سبحانه لها كرامات تبهر العقول لا تؤتى إلّالنبي أو وصي، ومع ذلك لا يعدّ القول بها ونسبتها إليها غلواً</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7189827_73709187"/>
      <w:bookmarkStart w:id="497" w:name="_Toc187"/>
      <w:bookmarkEnd w:id="496"/>
      <w:r>
        <w:rPr/>
        <w:t>2</w:t>
      </w:r>
      <w:r>
        <w:rPr>
          <w:rtl w:val="true"/>
        </w:rPr>
        <w:t xml:space="preserve">. </w:t>
      </w:r>
      <w:r>
        <w:rPr>
          <w:rtl w:val="true"/>
        </w:rPr>
        <w:t>مشروعية الصلاة عليهم</w:t>
      </w:r>
      <w:bookmarkEnd w:id="497"/>
    </w:p>
    <w:p>
      <w:pPr>
        <w:pStyle w:val="BookText"/>
        <w:rPr/>
      </w:pPr>
      <w:r>
        <w:rPr>
          <w:rFonts w:ascii="Amiri" w:hAnsi="Amiri" w:eastAsia="Amiri" w:cs="Amiri"/>
          <w:color w:val="111111"/>
          <w:sz w:val="28"/>
          <w:sz w:val="28"/>
          <w:szCs w:val="28"/>
          <w:rtl w:val="true"/>
          <w:lang w:bidi="ar-SA"/>
        </w:rPr>
        <w:t>ذكر الشيخ تحت هذا العنوان الكلام التالي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تشرع الصلاة عليهم وذلك عقب الأذان، وفي التشهد آخر الصلاة، وعند الصلاة على النبي صلى الله عليه و آله و سلم فقد جاء في هذا عدة نصوص،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كما جاء في الحديث لمّا سئل النبي صلى الله عليه و آله و سلم عن كيفية الصلاة عليه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وبارك على محمد وآل محمد كما باركت على إبراهيم في العالمين إنك حميد مجيد، والسلام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على آله من تمام الصلاة عليه وتوابعها؛ لأنّ ذلك ممّا تقرُّ به عينه ويزيده اللّه به شرفاً وعلواً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ولمّا كان هذا الحديث ردّاً عنيفاً لما تداول بين أهل السنّة عبر قرون من حذف الآل عند الصلاة على النبي وعطف الأصحاب على الآل عند ضمهم إلى اسمه صلى الله عليه و آله و سلم حاول الشيخ الدرويش أن يجيب عن هذا الإشكال،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حذف الآل فالأمر في ذلك واسع؛ فقد أمر اللّه في القرآن بالصلاة على النبي صلى الله عليه و آله و سلم ولم يذكر الآل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 الصحابة إليهم، فإن اللّه أمر نبيّه بالصلاة على أصحابه،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ونحن مأمورون بالاقتداء به، فذكرهم في الصلاة مع النبي فيه سعة وهو من الاقتداء بالنبي</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يلاحظ على الجواب الأوّل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استدلّ به موهون جدّاً، فمعنى ذلك هو الاكتفاء بالقرآن ورفض السنّة، وما هذا إلّاقول من 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يطابق ذات الكتاب ولا السنّة النبوية ولا إجماع المسلمين، كيف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إلى غير ذلك من الآيات الّتي</w:t>
      </w:r>
    </w:p>
    <w:p>
      <w:pPr>
        <w:pStyle w:val="BookText"/>
        <w:rPr/>
      </w:pPr>
      <w:r>
        <w:rPr>
          <w:rFonts w:ascii="Amiri" w:hAnsi="Amiri" w:eastAsia="Amiri" w:cs="Amiri"/>
          <w:color w:val="111111"/>
          <w:sz w:val="28"/>
          <w:sz w:val="28"/>
          <w:szCs w:val="28"/>
          <w:rtl w:val="true"/>
          <w:lang w:bidi="ar-SA"/>
        </w:rPr>
        <w:t>تعرّف النبي بأنّه قدوة وأُسوة،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ملأ الخافقين قول 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هو الاتّباع لا الابتداع، فما هو الوجه لمخالفة النبي، مع أنّه بصدد بيان كيفية الصلاة عليهم، وهل انّ حذف الآل فيه إقرار لعين الرسول الأكرم صلى الله عليه و آله و سلم‌؟ وكيف جاز حذف ما تقرّ به عينه ويزيده اللّه به شرفاً 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تفضّل به الشيخ الدرويش نفسه، وأين أدب التعامل الّذي أُمرنا بالالتزام به أمام أعظم شخصية عرفها تاريخ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يتعامل مع رسول أعطى للإنسانية كلّ شيء ولم يطلب منها أجراً إلّاالمودة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تعامل القربى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جوابه الثاني فهو أعجب من الأوّل فإنّه سبحانه لم يأمر بالصلاة على الصحابة، بل أمر بالصلاة على كلّ من يؤدّي الصدقات والزكوات، وقد ذكر الشيخ الآية مبتورة،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فالآية وما بعدها ناظرتان للصلاة على مَنْ يؤدّي زكاة ماله، من غير فرق بين الصحابي وغيره، ولذلك أفتى الفقهاء باستحباب الصلاة على المؤدّين للزكاة حين أدائها، وأي صلة له بالصلاة على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إنّما نزلت لأجل تثبيت حكم شرعي، من عصر النبي إلى يوم القيامة، فالاستدلال بها على جواز الصلاة على الصحابة أمر عجيب نابع عن موقف مسبق، فلم يجد دليلاً على الطريقة الرائجة في خطبهم وكتبهم،</w:t>
      </w:r>
    </w:p>
    <w:p>
      <w:pPr>
        <w:pStyle w:val="BookText"/>
        <w:rPr/>
      </w:pPr>
      <w:r>
        <w:rPr>
          <w:rFonts w:ascii="Amiri" w:hAnsi="Amiri" w:eastAsia="Amiri" w:cs="Amiri"/>
          <w:color w:val="111111"/>
          <w:sz w:val="28"/>
          <w:sz w:val="28"/>
          <w:szCs w:val="28"/>
          <w:rtl w:val="true"/>
          <w:lang w:bidi="ar-SA"/>
        </w:rPr>
        <w:t>فصار يتمسك بالحشيش والطحلب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من اللازم على الشيخ الدرويش التتبّع في الروايات الّتي ورد فيها الأمر بالصلاة على الآل، وانّ الصلاة على النبي وحده مجردة عن الصلاة على الآل تُعدّ صلاةً بتراء نهى عنها النبي صلى الله عليه و آله و سلم، وبودي أن أذكر ما نقله ابن حجر في هذا المقام، فإنّه بعدما ذكر الآية الشريفة وروى جملة من الأخبار الصحيحة الواردة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قرن الصلاة على آله بالصلاة عليه، لمّا سئل عن كيفية الصلاة والسلام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ظاهر على أنّ الأمر بالصلاة على أهل بيته، وبقية آله مراد من هذه الآية، وإلّا لم يسألوا عن الصلاة على أهل بيته وآله عقب نزولها، ولم يجابوا بما ذكر، فلمّا أُجيبوا به دلّ‌على أنّ الصلاة عليهم من جملة المأمور به، وانّه صلى الله عليه و آله و سلم أقامهم في ذلك مقام نفسه، لأنّ القصد من الصلاة عليه مزيد تعظيمه، ومنه تعظيمهم، ومن ثمّ لمّا أدخل مَن مرّ في الكساء،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منّي وأنا منهم، فاجعل صلاتك ورحمتك ومغفرتك ورضوانك عليّ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وقضية استجابة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صلّى عليهم معه، فحينئذٍ طلب من المؤمنين صلاتهم عليهم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الصلاة البتراء؟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الإمام الشافعي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إنّكمُ من لم يصلِّ عليكم لا صلاة 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لا صلاة له صحيحة، فيكون موافقاً لقوله بوجوب الصلاة على الآل، ويحتمل لا صلاة كاملة، فيوافق أظهر قوليه</w:t>
      </w:r>
      <w:r>
        <w:rPr>
          <w:rFonts w:eastAsia="Amiri" w:cs="Amiri" w:ascii="Amiri" w:hAnsi="Amiri"/>
          <w:color w:val="111111"/>
          <w:sz w:val="28"/>
          <w:szCs w:val="28"/>
          <w:rtl w:val="true"/>
          <w:lang w:bidi="ar-SA"/>
        </w:rPr>
        <w:t>.</w:t>
      </w:r>
      <w:r>
        <w:rPr>
          <w:rStyle w:val="FootnoteAnchor"/>
          <w:rtl w:val="true"/>
        </w:rPr>
        <w:footnoteReference w:id="495"/>
      </w:r>
      <w:bookmarkStart w:id="498" w:name="pg16780_177152"/>
    </w:p>
    <w:p>
      <w:pPr>
        <w:pStyle w:val="Heading5"/>
        <w:numPr>
          <w:ilvl w:val="4"/>
          <w:numId w:val="1"/>
        </w:numPr>
        <w:rPr/>
      </w:pPr>
      <w:bookmarkStart w:id="499" w:name="__RefHeading___Toc7189829_73709187"/>
      <w:bookmarkStart w:id="500" w:name="_Toc188"/>
      <w:bookmarkEnd w:id="498"/>
      <w:bookmarkEnd w:id="499"/>
      <w:r>
        <w:rPr/>
        <w:t>3</w:t>
      </w:r>
      <w:r>
        <w:rPr>
          <w:rtl w:val="true"/>
        </w:rPr>
        <w:t xml:space="preserve">. </w:t>
      </w:r>
      <w:r>
        <w:rPr>
          <w:rtl w:val="true"/>
        </w:rPr>
        <w:t>حقّهم في الخمس</w:t>
      </w:r>
      <w:bookmarkEnd w:id="500"/>
    </w:p>
    <w:p>
      <w:pPr>
        <w:pStyle w:val="BookText"/>
        <w:rPr/>
      </w:pPr>
      <w:r>
        <w:rPr>
          <w:rFonts w:ascii="Amiri" w:hAnsi="Amiri" w:eastAsia="Amiri" w:cs="Amiri"/>
          <w:color w:val="111111"/>
          <w:sz w:val="28"/>
          <w:sz w:val="28"/>
          <w:szCs w:val="28"/>
          <w:rtl w:val="true"/>
          <w:lang w:bidi="ar-SA"/>
        </w:rPr>
        <w:t>ذكر الشيخ أنّ من حقوق آل البيت عند السنّة حقّهم من الخمس،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الغنيمة والفيء،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الفيء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الخمس لهم سهم خاصٌ بذوي القربى وهو ثابت لهم بعد وفاة رسول اللّه، وهو قول جمهور العلماء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الهامش فسّر الغنيمة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غنمه المسلمون من الكفّار من أموال سواء بحرب أو بدونه، ولا يدخل فيه ما اكتسبه المسلمون من غير هذا الطريق</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نحوم حول هذا الموضوع، وأنّ الخلافة الراشدة هل أعطتهم خمس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حرمتهم منه، فإنّ ذلك على ذمة التاريخ، ولو أردنا أن نخوض فيه لطال بنا الكلام، وكفانا في ذلك ما دبجته يراعة الفقيه الكبير السيد عبدالحسين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فيه بالوثائق التاريخية حرمان آل البيت من الخمس المشروع لهم بنفس الآية</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ذلك ما رواه الإمام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فاطمة عليها السلام تسأله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من رسول اللّه صلى الله عليه و آله و سلم ممّا أفاء اللّه عليه بالمدينة وفدك وما بقي من خمس خيبر، فأبى أبو بكر أن يدفع إلى فاطمة منها شيئاً،</w:t>
      </w:r>
    </w:p>
    <w:p>
      <w:pPr>
        <w:pStyle w:val="BookText"/>
        <w:rPr/>
      </w:pPr>
      <w:r>
        <w:rPr>
          <w:rFonts w:ascii="Amiri" w:hAnsi="Amiri" w:eastAsia="Amiri" w:cs="Amiri"/>
          <w:color w:val="111111"/>
          <w:sz w:val="28"/>
          <w:sz w:val="28"/>
          <w:szCs w:val="28"/>
          <w:rtl w:val="true"/>
          <w:lang w:bidi="ar-SA"/>
        </w:rPr>
        <w:t>فوجدت فاطمة على أبي بكر في ذلك فهجرته فلم تكلّمه حتّى توفّيت، وعاشت بعد النبي صلى الله عليه و آله و سلم ستة أشهر، فلمّا توفيت دفنها زوجها علي عليه السلام ليلاً، ولم يؤذن بها أبا بكر، وصلّى عليها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وإنّما نعطف القلم إلى تفسير الغنيمة بما غنمه المسلمون فقط، وهو يريد بذلك ردّاً على الشيعة؛ فإنهم عمّموا الخمس على كلّ ما يغنمه المسلم حتّى أرباح المكاسب والفوائد الّتي يكتسبها خلال 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تفسير الغنيمة الواردة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ما يفوز به الإنسان في الحرب، أمر لا توافقه اللغة ولا السنّة النبوية، فإنّهما يثبتان بوضوح أنّ الغنيمة عبارة عن كلّ ما يفوز به الإنسان، سواء أكان بطريق الحرب أم بطريق الكسب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النهب والغارة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ألّفنا في ذلك رسالة أوردناها ضمن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ونقتصر هنا بإيراد بعض ما ذكرنا فيها بشكل موجز؛ حتّى يتبيّن أنّ مصطلح القرآن بل السنّة النبوية غير مصطلح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الفوز بالشيء من غير مشقة، والاغتنام انتهاز الغنم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الفوز بالشيء، والاغتنام انتهاز الغنم</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العدا وغيرهم،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والمغنم ما يغنم، وجمعه مغانم،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أصل صحيح واحد يدلّ على إفادة شيء لم يملك من قبل، ثم يختصّ بما أُخذ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لمن رهنه، له غنمه وعليه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وغنمه زيادته ونماؤه وفاضل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إلى غير ذلك من الكلمات الّتي تعرب عن أنّ المعنى الأصلي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يؤخذ في الحرب وغيره، وانّه لم يوضع لما يفوز به الإنسان في خصوص الحروب، بل أوسع من ذلك، وإن كان غلب استعمالها في العصور المتأخّرة بعد نزول القرآن في ما يظفر به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استعمل لفظة المغنم في ما يفوز به الإنسان عن غير طريق القتال، فنراه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بالمغانم هو الأُجور الأُخروية مقابل عرض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ذلك في كلام الراغب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اللفظة عامة، فليس لنا إلّاحملها في الآية على المعنى اللغوي لا على المصطلح المتأخّر عن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 النبوية شهادة على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ماجة في سننه أنّه جاء عن رسول اللّه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bookmarkStart w:id="501" w:name="pg16780_177155"/>
    </w:p>
    <w:p>
      <w:pPr>
        <w:pStyle w:val="BookText"/>
        <w:rPr/>
      </w:pPr>
      <w:bookmarkEnd w:id="501"/>
      <w:r>
        <w:rPr>
          <w:rFonts w:ascii="IRNazanin" w:hAnsi="IRNazanin" w:eastAsia="IRNazanin"/>
          <w:color w:val="111111"/>
          <w:sz w:val="28"/>
          <w:sz w:val="28"/>
          <w:szCs w:val="28"/>
          <w:rtl w:val="true"/>
          <w:lang w:bidi="fa-IR"/>
        </w:rPr>
        <w:t>اجعلها مغنماً ولا تجعلها مغرماً</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وهنا نرى أنّ رسول اللّه صلى الله عليه و آله و سلم قد استعمل هذا اللفظ في مورد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مسند أحمد عن رسول اللّه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وصف شهر رمضان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غنيمة؛ لما فيه من الأجر والثواب</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فقد بان ممّا نقلناه من كلمات أئمة اللغة وموارد استعمال تلك المادة في الكتاب والسنّة الشريفة، انّ العرب تستعملها في كلّ مورد يفوز به الإنسان من أموال الأعداء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صارت حقيقة متشرعية في الأعصار المتأخّرة في خصوص ما يفوز به الإنسان في ساحة الحرب، ونزلت الآية في أوّل حرب خاضها المسلمون تحت لواء رسول اللّه صلى الله عليه و آله و سلم ولم يكن الاستعمال إلّاتطبيقاً للمعنى الكلّي على مورد خاص، ولكن المورد غير مخصِّص إذا كان مفهوم اللفظ عامّاً يشمله وغيره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189831_73709187"/>
      <w:bookmarkStart w:id="503" w:name="_Toc189"/>
      <w:bookmarkEnd w:id="502"/>
      <w:r>
        <w:rPr>
          <w:rtl w:val="true"/>
        </w:rPr>
        <w:t>الخمس في أرباح المكاسب</w:t>
      </w:r>
      <w:bookmarkEnd w:id="503"/>
    </w:p>
    <w:p>
      <w:pPr>
        <w:pStyle w:val="BookText"/>
        <w:rPr/>
      </w:pPr>
      <w:r>
        <w:rPr>
          <w:rFonts w:ascii="Amiri" w:hAnsi="Amiri" w:eastAsia="Amiri" w:cs="Amiri"/>
          <w:color w:val="111111"/>
          <w:sz w:val="28"/>
          <w:sz w:val="28"/>
          <w:szCs w:val="28"/>
          <w:rtl w:val="true"/>
          <w:lang w:bidi="ar-SA"/>
        </w:rPr>
        <w:t>ثم إنّ السنّة النبوية تدلّ على وجوب الخمس في أرباح المكاسب، حسب ما رواه الشيخان من أنّه قدم وفد عبد القيس على رسول اللّه صلى الله عليه و آله و سلم فقالوا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بيننا وبينك المشركين، وإنّا لا نصل إليك إلّافي شهر الحرام، فمرنا بأمر فصل</w:t>
      </w:r>
      <w:bookmarkStart w:id="504" w:name="pg16780_177156"/>
    </w:p>
    <w:p>
      <w:pPr>
        <w:pStyle w:val="BookText"/>
        <w:rPr/>
      </w:pPr>
      <w:bookmarkEnd w:id="504"/>
      <w:r>
        <w:rPr>
          <w:rFonts w:ascii="Amiri" w:hAnsi="Amiri" w:eastAsia="Amiri" w:cs="Amiri"/>
          <w:color w:val="111111"/>
          <w:sz w:val="28"/>
          <w:sz w:val="28"/>
          <w:szCs w:val="28"/>
          <w:rtl w:val="true"/>
          <w:lang w:bidi="ar-SA"/>
        </w:rPr>
        <w:t>إن عملنا به دخلنا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أمرهم به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 الصلاة وإيتاء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وتؤتوا الخمس من المغنم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يشك أحد أنّ النبي صلى الله عليه و آله و سلم لم يطلب من بني عبد القيس دفع خمس غنائم الحرب،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ضعفاء لا يستطيعون الخروج من حيهم في غير الأشهر الحرم خوفاً من المشركين، فكيف تحصل لهم الغنيمة بهذا المعنى، فليس المراد إلّاما يفوزون به من الأرباح وما يفوزون به من غير طريق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غيض من فيض فمن أراد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7189833_73709187"/>
      <w:bookmarkStart w:id="506" w:name="_Toc190"/>
      <w:bookmarkEnd w:id="505"/>
      <w:r>
        <w:rPr>
          <w:rtl w:val="true"/>
        </w:rPr>
        <w:t>مصرف الخمس</w:t>
      </w:r>
      <w:bookmarkEnd w:id="506"/>
    </w:p>
    <w:p>
      <w:pPr>
        <w:pStyle w:val="Heading6"/>
        <w:numPr>
          <w:ilvl w:val="5"/>
          <w:numId w:val="1"/>
        </w:numPr>
        <w:rPr/>
      </w:pPr>
      <w:bookmarkStart w:id="507" w:name="__RefHeading___Toc7189835_73709187"/>
      <w:bookmarkStart w:id="508" w:name="_Toc191"/>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ثم إنّ الشيخ الدرويش ذكر آراء الإمامية في مصرف الخمس واختار أحد الأقوال، وهو سقوط إخراجه في غيبة الإمام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الوحيد المستند إلى الأخبار الواردة عن الأئمة من بين الأقوال الّتي استعرضها الشيخ المفيد هو القول الأوّل الّذي يسقط إخراج الخمس</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طرحه الشيخ هنا مسألة فقهية لا صلة لها بحقوق آل البيت، ومع ذلك فهو لم يعط الموضوع حقه حتّى في نقل الأقوال، وذلك لأنّ مَن قال بسقوط الخمس إنّما يريد سقوط حقوق الثلاثة الأُولى، لا سقوط حقوق الأصناف الثلاثة الأُخرى،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BookText"/>
        <w:rPr/>
      </w:pPr>
      <w:r>
        <w:rPr>
          <w:rFonts w:ascii="Amiri" w:hAnsi="Amiri" w:eastAsia="Amiri" w:cs="Amiri"/>
          <w:color w:val="111111"/>
          <w:sz w:val="28"/>
          <w:sz w:val="28"/>
          <w:szCs w:val="28"/>
          <w:rtl w:val="true"/>
          <w:lang w:bidi="ar-SA"/>
        </w:rPr>
        <w:t>أسداس للّه وللرسول ولذوي القربى‌، والثلاثة الأُخرى لليتامى والمساكين وابن السبيل من السادة، ومن قال بالسقوط، فإنّما قال بسقوط الأسداس الثلاثة الأُولى لا الثلاثة الأُخرى</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ما ذكره من القول الأوّل قول جنح إليه بعض الفقهاء القدامى وليس من هذا القول في هذا الوقت عين ولا أثر، بل قام الإجماع على خلافه، والقول الّذي اتّفقت عليه كلمة فقهائنا هو أنّ النصف من الخمس الّذي للإمام عليه السلام في زمان الغيبة يتولّى أمره المجتهد الجامع للشرائط، فلابدّ من إيصاله إليه أو دفعه إلى المستحقين بإذنه، وأمّا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للمالك دفعه إليهم بنفسه، لكن الأحوط فيه أيضاً الدفع إلى المجتهد أو بإذنه، لأنّه أعرف بمواقعه والمرجّحات الّتي ينبغي ملاحظتها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المجتهد الجامع للشرائط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ليس ملكاً شخصياً للإمام، بل ملك له بما أنّه قائم بأمر الإمامة والزعامة، فيكون في الحقيقة ملكاً لمنصب الإمامة الّذي يرجع إلى تدبير المجتمع وهدايته نحو الكمال، وهو في عصر الغيبة يتمثّل بالمرجع المجتهد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صحيح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عليه السلام بسبب الإمامة فهو لي، وما كان غير ذلك فهوميراث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الخمس راجعاً إلى مقام الإمامة، وليس منصبها أمراً قابلاً للتعطيل،</w:t>
      </w:r>
      <w:bookmarkStart w:id="509" w:name="pg16780_177158"/>
    </w:p>
    <w:p>
      <w:pPr>
        <w:pStyle w:val="BookText"/>
        <w:rPr/>
      </w:pPr>
      <w:bookmarkEnd w:id="509"/>
      <w:r>
        <w:rPr>
          <w:rFonts w:ascii="Amiri" w:hAnsi="Amiri" w:eastAsia="Amiri" w:cs="Amiri"/>
          <w:color w:val="111111"/>
          <w:sz w:val="28"/>
          <w:sz w:val="28"/>
          <w:szCs w:val="28"/>
          <w:rtl w:val="true"/>
          <w:lang w:bidi="ar-SA"/>
        </w:rPr>
        <w:t>فالشاغل لمنصبه في عصر الغيبة، إنّما هو الفقيه العارف بالكتاب والسنّة، فكيف يكون نائباً عنه في شؤون الإمامة ولا يكون نائباً عنه في المال الخاص به‌؟</w:t>
      </w:r>
    </w:p>
    <w:p>
      <w:pPr>
        <w:pStyle w:val="BookText"/>
        <w:rPr/>
      </w:pPr>
      <w:r>
        <w:rPr>
          <w:rFonts w:ascii="Amiri" w:hAnsi="Amiri" w:eastAsia="Amiri" w:cs="Amiri"/>
          <w:color w:val="111111"/>
          <w:sz w:val="28"/>
          <w:sz w:val="28"/>
          <w:szCs w:val="28"/>
          <w:rtl w:val="true"/>
          <w:lang w:bidi="ar-SA"/>
        </w:rPr>
        <w:t>وأمّا الروايات الّتي استند إليها الشيخ صالح والّتي تشير إلى سقوط الخمس، فليس لها إطلاق لكي تشمل كلّ مورد يجب فيه الخمس، بل لها مورد خاص وهو الغنائم الّتي كانت الجيوش الإسلامية تجلبها من الغزوات والحروب من دون أن تقوم الحكومة الأُموية والعباسية بإخراج الخمس منها ودفعه إلى أصحابه، فكان ذلك سبباً لاختلاط الحلال بالحرام، وموجباً للحرج بين المؤمنين الذين يتعاملون بها بيعاً وشراءً وهبةً وغير ذلك، ففي ذلك الموقف العصيب أحل أئمة أهل البيت عليهم السلام خمس هذه الأموال المجلوبة من بلاد المشركين، وأين ذلك من تحليل أرباح المكاسب الّتي هي أطيب الأموال‌؟</w:t>
      </w:r>
    </w:p>
    <w:p>
      <w:pPr>
        <w:pStyle w:val="BookText"/>
        <w:rPr/>
      </w:pPr>
      <w:r>
        <w:rPr>
          <w:rFonts w:ascii="Amiri" w:hAnsi="Amiri" w:eastAsia="Amiri" w:cs="Amiri"/>
          <w:color w:val="111111"/>
          <w:sz w:val="28"/>
          <w:sz w:val="28"/>
          <w:szCs w:val="28"/>
          <w:rtl w:val="true"/>
          <w:lang w:bidi="ar-SA"/>
        </w:rPr>
        <w:t>والحق أنّ الشيخ صالح تطّلع إلى موضوع أرفع وأعلى منه، ولم يقرأ تلك الروايات، إنّما أشار إليها إشارة مقتضبة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الدرويش أشار إلى سبعة من حقوق آل البيت، ولكنّه غفل عن الحقوق الأُخرى الثابتة لهم، وهي</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7189837_73709187"/>
      <w:bookmarkStart w:id="511" w:name="_Toc192"/>
      <w:bookmarkEnd w:id="510"/>
      <w:r>
        <w:rPr/>
        <w:t>1</w:t>
      </w:r>
      <w:r>
        <w:rPr>
          <w:rtl w:val="true"/>
        </w:rPr>
        <w:t xml:space="preserve">. </w:t>
      </w:r>
      <w:r>
        <w:rPr>
          <w:rtl w:val="true"/>
        </w:rPr>
        <w:t>رفع بيوتهم</w:t>
      </w:r>
      <w:bookmarkEnd w:id="51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w:t>
      </w:r>
      <w:r>
        <w:rPr>
          <w:rStyle w:val="FootnoteAnchor"/>
          <w:rtl w:val="true"/>
        </w:rPr>
        <w:footnoteReference w:id="51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البيوت غير المساجد، فمَن فسّرها بالمساجد خالف اللغة ومصطلح القرآن والسنّة، فالكعبة بيت وليست مسجداً، والمسجد الحرام مسجد وليس بيتاً، وقد أمر اللّه سبحانه برفع تلك البيوت ومنها بيوت آل البيت</w:t>
      </w:r>
      <w:r>
        <w:rPr>
          <w:rFonts w:eastAsia="Amiri" w:cs="Amiri" w:ascii="Amiri" w:hAnsi="Amiri"/>
          <w:color w:val="111111"/>
          <w:sz w:val="28"/>
          <w:szCs w:val="28"/>
          <w:rtl w:val="true"/>
          <w:lang w:bidi="ar-SA"/>
        </w:rPr>
        <w:t>.</w:t>
      </w:r>
      <w:bookmarkStart w:id="512" w:name="pg16780_177159"/>
    </w:p>
    <w:p>
      <w:pPr>
        <w:pStyle w:val="BookText"/>
        <w:rPr/>
      </w:pPr>
      <w:bookmarkEnd w:id="512"/>
      <w:r>
        <w:rPr>
          <w:rFonts w:ascii="Amiri" w:hAnsi="Amiri" w:eastAsia="Amiri" w:cs="Amiri"/>
          <w:color w:val="111111"/>
          <w:sz w:val="28"/>
          <w:sz w:val="28"/>
          <w:szCs w:val="28"/>
          <w:rtl w:val="true"/>
          <w:lang w:bidi="ar-SA"/>
        </w:rPr>
        <w:t>روى الحافظ السيوطي 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وممّا يؤسف له أنّا لا نرى الآن أثراً لبيت من بيوت النبي وآله في مدينة الرسول ولا في مكة المكرمة، حيث إنّها بدل أن ترفع، هُدّمت تحت غطاء التوحيد، أو توسيع الحرمين الشريفين، وإنّما نشكو حزننا إلى اللّه القوي العزيز</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7189839_73709187"/>
      <w:bookmarkStart w:id="514" w:name="_Toc193"/>
      <w:bookmarkEnd w:id="513"/>
      <w:r>
        <w:rPr/>
        <w:t>2</w:t>
      </w:r>
      <w:r>
        <w:rPr>
          <w:rtl w:val="true"/>
        </w:rPr>
        <w:t xml:space="preserve">. </w:t>
      </w:r>
      <w:r>
        <w:rPr>
          <w:rtl w:val="true"/>
        </w:rPr>
        <w:t>المرجعية السياسية والعلمية</w:t>
      </w:r>
      <w:bookmarkEnd w:id="514"/>
    </w:p>
    <w:p>
      <w:pPr>
        <w:pStyle w:val="BookText"/>
        <w:rPr/>
      </w:pPr>
      <w:r>
        <w:rPr>
          <w:rFonts w:ascii="Amiri" w:hAnsi="Amiri" w:eastAsia="Amiri" w:cs="Amiri"/>
          <w:color w:val="111111"/>
          <w:sz w:val="28"/>
          <w:sz w:val="28"/>
          <w:szCs w:val="28"/>
          <w:rtl w:val="true"/>
          <w:lang w:bidi="ar-SA"/>
        </w:rPr>
        <w:t>إنّ حديث الثقلين المتواتر أثبت بوضوح مرجعية أئمة أهل البيت في ما يحتاج إليه المسلمون، وقد صار آل البيت بموجبه قرناء الكتاب وأعداله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تدبّر في حديث الغدير وخطبة النبي صلى الله عليه و آله و سلم في ذلك المشهد الكبير، حيث صرح بولاية علي عليه السلام بعد أخذ الشهادة من المسلمين بالتوحيد والرسالة، وأخبر عن رحيله، يقف على أنّ ولاية الإمام علي عليه السلام هي أصل من أُصول الإسلام في جنب التوحيد والرسالة، ولكن القوم سلبوا ذلك الحق منهم إثر السقيفة وما جرى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 وأيديهم من فيئهم صفرات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ونشير إلى أنّ هذا الحق الّذي غفل الشيخ عن ذكره هو أُمّ الحقوق السابقة وأصلها وجذرها، وفي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الصيد في جوف الفرى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اعترف به الشيخ، لناقض ما هو عليه من العقيدة والشريعة</w:t>
      </w:r>
      <w:r>
        <w:rPr>
          <w:rFonts w:eastAsia="Amiri" w:cs="Amiri" w:ascii="Amiri" w:hAnsi="Amiri"/>
          <w:color w:val="111111"/>
          <w:sz w:val="28"/>
          <w:szCs w:val="28"/>
          <w:rtl w:val="true"/>
          <w:lang w:bidi="ar-SA"/>
        </w:rPr>
        <w:t>.</w:t>
      </w:r>
      <w:bookmarkStart w:id="515" w:name="pg16780_177160"/>
    </w:p>
    <w:p>
      <w:pPr>
        <w:pStyle w:val="Heading4"/>
        <w:numPr>
          <w:ilvl w:val="3"/>
          <w:numId w:val="1"/>
        </w:numPr>
        <w:rPr/>
      </w:pPr>
      <w:bookmarkStart w:id="516" w:name="__RefHeading___Toc7189841_73709187"/>
      <w:bookmarkStart w:id="517" w:name="_Toc194"/>
      <w:bookmarkEnd w:id="515"/>
      <w:bookmarkEnd w:id="516"/>
      <w:r>
        <w:rPr>
          <w:rtl w:val="true"/>
        </w:rPr>
        <w:t>الفصل السادس بشرية آل البيت عليهم السلام</w:t>
      </w:r>
      <w:bookmarkEnd w:id="517"/>
    </w:p>
    <w:p>
      <w:pPr>
        <w:pStyle w:val="Heading5"/>
        <w:numPr>
          <w:ilvl w:val="4"/>
          <w:numId w:val="1"/>
        </w:numPr>
        <w:rPr/>
      </w:pPr>
      <w:bookmarkStart w:id="518" w:name="__RefHeading___Toc7189843_73709187"/>
      <w:bookmarkStart w:id="519" w:name="_Toc195"/>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عقد الشيخ الدرويش هذا الفصل تحت هذا العنوان، وبعد أن أفاض الكلام في غلو اليهود في عزير والنصارى في المسيح، جعل كلّ ذلك مقدمة لقوله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كلّ العجب ممّن غلا في الأئمة والأولياء، واختلق الأساطير والأوهام ليسطرها في كتبه، معارضاً بها كلام اللّه سبحانه وتعالى، بحجّة أنّ اللّه على كلّ شيءٍ قدير، فجعلوا الأئمة فوق منزلة الأنبياء والرسل عليهم السلام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ثم قال تحت عنوان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مناقشات وحوارات مع بعض المنتسبين إلى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طلاباً وأساتذة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يحتجون بأن اللّه عزوجل أطلع أئمتهم على بعض علمه، أو أعطاهم قدرة، ونحو ذلك، كما يحتجون برفع عيسى عليه السلام على غيبة الإمام المنتظر عليه السلام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ويلاحظ على ما ذكر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يدلّ على مدى سوء فهم المؤلف للشيعة تاريخاً وعقائد وفقهاً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جعل عنوان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بشرية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أنّ الشيعة يعتبرونهم فوق البشر، فنسأله هل وجد شيعياً واحداً صرّح بأنّ آل البيت هم ليسوا ببشر، مع العلم أنّه يمارس القضاء في منطقة 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يوجد علماء أفذاذ وأساتذة في الفقه والأُصول من الشيعة، فهل سمع ذلك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القسوة يا شيخ بالنسبة إلى الشيعة‌؟ وأنت بحمد اللّه من دعاة الوحدة‌؟ وها هي كتب الشيعة منتشرة في العالم، وعقائدهم تدرّس في الكليات والجامعات، وقد ملأ أسماع الخافقين قول الإمام الرضا عليه السلام في دعائه رداً على الغلاة الخارجين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بريء من الحول والقوّة ولا حول ولا قوّة إلّابك، اللّهم إنّي أعوذ بك وأبرأ إليك من الذين ادّعوا لنا ما ليس لنا بحقّ‌، اللّهم إنّي أبرأ إليك من الذين قالوا فينا ما لم نقله في أنفسنا، اللّهم لك الخلق ومنك الرزق وإيّاك نعبد وإيّاك نستعين، اللّهم أنت خالقنا وخالق آبائنا الأوّلين وآبائنا الآخرين، اللّهم لا تليق الربوبيّة إلّابك ولا تصلح الإلهية إلّالك، فالعن النصارى الذين صغّروا عظمتك، والعن المضاهئين لقولهم من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عبيدك وأبناء عبيدك لا نملك لأنفسنا نفعاً ولا ضرّاً ولا موتاً ولا حياة ولا نشوراً، اللّهم من زعم أنّا أرباب فنحن منه براء، ومن زعم أنّ إلينا الخلق وعلينا الرزق فنحن براء منه كبراءة عيسى بن مريم عليهما السلام من النصارى، اللّهم انّا لم ندعهم إلى ما يزعمون، فلا تؤاخذنا بما يقولون، واغفر لنا ما يدّعون، ولا تدع على الأرض منهم ديّاراً، إنّك إن تذرهم يضلّوا عبادك ولا يلدوا إلّافاجراً كفّاراً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الشيخ يريد دراسة عقيدة الغلاة، ولكنّه مع ذلك يخاطب الشيعة الإمامية بكلماته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نسبهُ إلى الشيعة من أنّهم غلوا في أئمتهم ونسبوا إليهم الأساطير، فالكاتب ومَن على نحلته أولى بهذه، فهذه كتبهم الحديثية والتاريخية مليئة بالمغالاة، ولذلك قام غير واحد من علماء السنّة بوضع كتب حول</w:t>
      </w:r>
    </w:p>
    <w:p>
      <w:pPr>
        <w:pStyle w:val="BookText"/>
        <w:rPr/>
      </w:pPr>
      <w:r>
        <w:rPr>
          <w:rFonts w:ascii="Amiri" w:hAnsi="Amiri" w:eastAsia="Amiri" w:cs="Amiri"/>
          <w:color w:val="111111"/>
          <w:sz w:val="28"/>
          <w:sz w:val="28"/>
          <w:szCs w:val="28"/>
          <w:rtl w:val="true"/>
          <w:lang w:bidi="ar-SA"/>
        </w:rPr>
        <w:t>الموضوعات الّتي هي أشبه بالأوهام والأساطير،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عبدالرحمن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ثلاثة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 ممّا يدور على ألسنة الناس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لناصر الدين الألباني في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الّتي أشارت إلى جانب خاص من الموضوعات، وما أُبرّئ كتب الشيعة من وجود الموضوعات فيها، ولذلك أقدم غير واحد من المحقّقين</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الدخيلة، تأليف المحقّق محمد تقي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في الآثار والأخبار، تأليف المحقّق هاشم معروف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وضع كتب في هذا المضمار حتّى أنّ العلّامة المجلسي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وأسمى شرحه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أحاديث الكافي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وموثق وحسن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نيّتنا شقّ العصا وتفريق الكلمة وتمزيق الوحدة، وإلّا فكتب حديث السنّة خصوصاً في ما يرجع إلى فضائل الصحابة مليئة بالأساطير والموضوعات،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صبّ اللّه في صدري شيئاً إلّاوصبّه في صدر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إذا اشتاق إلى الجنّة قبّل شيبة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وأبو بكر كفرسي 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لمّا اختار الأرواح اختار روح أبي بكر</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وإليك شهادة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السيوطي قد ذكر ثلاثين حديثاً من أشهر فضائل أبي بكر ممّا اتّخذه المؤلّفون في القرون الأخيرة من المتسالم عليه وأرسلوه إرسال المسلَّم بلا أي سند</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فعلى الكاتب المحقّق أن يكون عدلاً في قضائه ويحاسب الجميع بحساب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إلى الشيعة من أنّهم جعلوا الأئمة فوق منزلة الأنبياء والرسل، فليس صحيحاً على إطلاقه، وإنّما فضّلوهم على غير أُولي العزم من الرسل، وقد أوضحنا الحال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المرشدين إلى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 من أراد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يحق لمن تدبّر في حياة الإمام علي عليه السلام وجهاده في سبيل اللّه، وبذل نفسه ونفيسه، وما أُوتي من علم وحكمة، هل يحق له أن يضعه في مرتبة هي دون مرتبة غير أُولي العزم من الأنبياء، كيف وقد وصفه النبي الأكرم صلى الله عليه و آله و سلم في حديث الطير المتضافر بأنّه أحب خلق اللّه إليه سبحانه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حكاه عن بعض المنتسبين إلى الحوزة، من أنّهم احتجّوا برفع عيسى على غيبة الإمام المنتظر عليه السلام فهو لم يقف على مراد القائل، فإنّه أمر معروف بين الشيعة، وهو أنّ المخالف يستبعد غيبة الولي عن الناس، فحاول من</w:t>
      </w:r>
    </w:p>
    <w:p>
      <w:pPr>
        <w:pStyle w:val="BookText"/>
        <w:rPr/>
      </w:pPr>
      <w:r>
        <w:rPr>
          <w:rFonts w:ascii="Amiri" w:hAnsi="Amiri" w:eastAsia="Amiri" w:cs="Amiri"/>
          <w:color w:val="111111"/>
          <w:sz w:val="28"/>
          <w:sz w:val="28"/>
          <w:szCs w:val="28"/>
          <w:rtl w:val="true"/>
          <w:lang w:bidi="ar-SA"/>
        </w:rPr>
        <w:t>يعتقد ذلك أن يثبت أنّه ليس بأمر محال، لأنّ القرآن يشهد على غيبة بعض الأنبياء والرسل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موسى عن قومه في الميقات أربعين ليلة،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يونس عن قومه،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المسيح وغيبته عن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الموارد الّتي ذكرت ثبوت الغيبة لأحدٍ من أولياء اللّه، فالغرض من ذكر غيبة هؤلاء هو تقريب المطلب، وتوضيح المدّعى، ورفع الاستبعاد عن غيبة ولي اللّه سبحانه عن أنظار الناس، ومع ذلك فهو له وظائف يقوم بها في زمان الغيبة، ونظيره ما حكاه اللّه سبحانه لنا عن وليٍ كان يعيش بين الناس، ولكنّهم لم يكونوا يعرفونه حتّى كليم اللّه موسى عليه السلام، وكان هذا الولي</w:t>
      </w:r>
      <w:bookmarkStart w:id="520" w:name="pg16780_177165"/>
    </w:p>
    <w:p>
      <w:pPr>
        <w:pStyle w:val="BookText"/>
        <w:rPr/>
      </w:pPr>
      <w:bookmarkEnd w:id="520"/>
      <w:r>
        <w:rPr>
          <w:rFonts w:ascii="Amiri" w:hAnsi="Amiri" w:eastAsia="Amiri" w:cs="Amiri"/>
          <w:color w:val="111111"/>
          <w:sz w:val="28"/>
          <w:sz w:val="28"/>
          <w:szCs w:val="28"/>
          <w:rtl w:val="true"/>
          <w:lang w:bidi="ar-SA"/>
        </w:rPr>
        <w:t>يتصرف بالأموال والأنفس دون أن يعلم به أحد</w:t>
      </w:r>
      <w:r>
        <w:rPr>
          <w:rFonts w:eastAsia="Amiri" w:cs="Amiri" w:ascii="Amiri" w:hAnsi="Amiri"/>
          <w:color w:val="111111"/>
          <w:sz w:val="28"/>
          <w:szCs w:val="28"/>
          <w:rtl w:val="true"/>
          <w:lang w:bidi="ar-SA"/>
        </w:rPr>
        <w:t>.</w:t>
      </w:r>
      <w:r>
        <w:rPr>
          <w:rStyle w:val="FootnoteAnchor"/>
          <w:rtl w:val="true"/>
        </w:rPr>
        <w:footnoteReference w:id="523"/>
      </w:r>
    </w:p>
    <w:p>
      <w:pPr>
        <w:pStyle w:val="Heading5"/>
        <w:numPr>
          <w:ilvl w:val="4"/>
          <w:numId w:val="1"/>
        </w:numPr>
        <w:rPr/>
      </w:pPr>
      <w:bookmarkStart w:id="521" w:name="__RefHeading___Toc7189845_73709187"/>
      <w:bookmarkStart w:id="522" w:name="_Toc196"/>
      <w:bookmarkEnd w:id="521"/>
      <w:r>
        <w:rPr>
          <w:rtl w:val="true"/>
        </w:rPr>
        <w:t>كلمة أخيرة للشيخ</w:t>
      </w:r>
      <w:bookmarkEnd w:id="522"/>
    </w:p>
    <w:p>
      <w:pPr>
        <w:pStyle w:val="BookText"/>
        <w:rPr/>
      </w:pPr>
      <w:r>
        <w:rPr>
          <w:rFonts w:ascii="Amiri" w:hAnsi="Amiri" w:eastAsia="Amiri" w:cs="Amiri"/>
          <w:color w:val="111111"/>
          <w:sz w:val="28"/>
          <w:sz w:val="28"/>
          <w:szCs w:val="28"/>
          <w:rtl w:val="true"/>
          <w:lang w:bidi="ar-SA"/>
        </w:rPr>
        <w:t>يقول الشيخ الدرويش قبل أن يورد خلاصة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الأدلّة على أنّ الأئمة يعلمون الغيب‌؟</w:t>
      </w:r>
    </w:p>
    <w:p>
      <w:pPr>
        <w:pStyle w:val="BookText"/>
        <w:rPr/>
      </w:pPr>
      <w:r>
        <w:rPr>
          <w:rFonts w:ascii="Amiri" w:hAnsi="Amiri" w:eastAsia="Amiri" w:cs="Amiri"/>
          <w:color w:val="111111"/>
          <w:sz w:val="28"/>
          <w:sz w:val="28"/>
          <w:szCs w:val="28"/>
          <w:rtl w:val="true"/>
          <w:lang w:bidi="ar-SA"/>
        </w:rPr>
        <w:t>وأين الأدلّة على أنّ الأئمة والأولياء يتصرّفون بالكون‌؟</w:t>
      </w:r>
    </w:p>
    <w:p>
      <w:pPr>
        <w:pStyle w:val="BookText"/>
        <w:rPr/>
      </w:pPr>
      <w:r>
        <w:rPr>
          <w:rFonts w:ascii="Amiri" w:hAnsi="Amiri" w:eastAsia="Amiri" w:cs="Amiri"/>
          <w:color w:val="111111"/>
          <w:sz w:val="28"/>
          <w:sz w:val="28"/>
          <w:szCs w:val="28"/>
          <w:rtl w:val="true"/>
          <w:lang w:bidi="ar-SA"/>
        </w:rPr>
        <w:t>وأين الأدلّة على أنّ هؤلاء بأعيانهم دون غيرهم يملكون الشفاعة‌؟ فأين شفاعة الشهداء؟</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الأدلّة على أنّ هؤلاء يحيون الموتى‌؟</w:t>
      </w:r>
    </w:p>
    <w:p>
      <w:pPr>
        <w:pStyle w:val="BookText"/>
        <w:rPr/>
      </w:pPr>
      <w:r>
        <w:rPr>
          <w:rFonts w:ascii="Amiri" w:hAnsi="Amiri" w:eastAsia="Amiri" w:cs="Amiri"/>
          <w:color w:val="111111"/>
          <w:sz w:val="28"/>
          <w:sz w:val="28"/>
          <w:szCs w:val="28"/>
          <w:rtl w:val="true"/>
          <w:lang w:bidi="ar-SA"/>
        </w:rPr>
        <w:t>وأين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المسائل الّتي غلا فيها هؤلاء كثيرة، فأين الأدلّة عليها؟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تدلّ على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تلك الروايات وأثبتوا صحّتها إن كنتم صادقين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وها نحن ندرس هذه الأُمور الّتي استبعدها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كونهم عالمين بالغيب،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مانع من أن يعلّم اللّهُ سبحانه أحداً ممّن خلق علم ما كان وما سيكون،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w:t>
      </w:r>
      <w:r>
        <w:rPr>
          <w:rStyle w:val="FootnoteAnchor"/>
          <w:rtl w:val="true"/>
        </w:rPr>
        <w:footnoteReference w:id="52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لا منافاة بين هذا التعليم وبين اختصاص علم الغيب باللّه، وشتان بين علم محدود مكتسب من اللّه سبحانه، وبين علم ذاتي مطلق غير محدود، فالعلم بالمعنى الثاني مختص باللّه سبحانه دون المعنى الأوّل، فإنّه من</w:t>
      </w:r>
    </w:p>
    <w:p>
      <w:pPr>
        <w:pStyle w:val="BookText"/>
        <w:rPr/>
      </w:pPr>
      <w:r>
        <w:rPr>
          <w:rFonts w:ascii="Amiri" w:hAnsi="Amiri" w:eastAsia="Amiri" w:cs="Amiri"/>
          <w:color w:val="111111"/>
          <w:sz w:val="28"/>
          <w:sz w:val="28"/>
          <w:szCs w:val="28"/>
          <w:rtl w:val="true"/>
          <w:lang w:bidi="ar-SA"/>
        </w:rPr>
        <w:t>شؤون المخلوق، فالعلم بالغيب عن طريق التعليم أمر جائز وواقع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نسبة علم الغيب إلى غيره سبحانه ربّما توهم العلم الذاتي، والعلم المطلق، والعلم غير المكيّف بكيف، نرى أنّ بعض أئمة أهل البيت يتبرأون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على ذلك نموذجين من أقوال أئمتنا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فتح جيش الإمام علي عليه السلام البصرة بعد حرب الجمل، جلس عليه السلام على منبر الخطابة وأخبر عن بعض الملاحم كغرق البصرة وغيره،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يا أمير المؤمنين علم الغيب‌؟ فضحك الإمام عليه السلام وقال للرجل وكان كلبياً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كلب ليس هو بعلم غيب، وإنّما هو تعلم من ذي علم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الإمام أبو الحسن موسى الكاظم عليه السلام لمّا سأله يحيى بن عبداللّه بن الحسن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أنّهم يزعمون أنّك تعلم الغيب‌؟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ضع يدك على رأسي فواللّه ما بقيت شعرةٌ فيه ولا في جسدي إلّا قامت،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هي إلّاوراثة عن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أهل البيت يتصرّفون بالكون،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بالكون على وجهين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بالإعجاز وهو من خصائص الأنبياء، لأنّ المعجزة عبارة عن عمل خارق للعادة لمدّعي النبوة، وعلى هذا فالتصرف بالكون على هذا المعنى خارج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ما يصدر عن الأولياء على وجه الكرامات، وهذا ليس ببعيد عن عباد اللّه الصالحين، وتجد له نظيراً في قصة النبي سليمان عليه السلام،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ولم يكن هذا الّذي عنده علم من الكتاب ولا العفريت من الجن نبياً ولا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ومن على منهجه غير عارفين بمقامات الأنبياء والأولياء، فإنهم يتصوّرون أنّ التصرف في الكون بإذن اللّه سبحانه أمر لا ينسجم مع القول بالتوحيد بالخالقية والربوبية، ولولا الخوف من إطالة الكلام لبسطت الكلام في مقاماتهم بنقل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أهل البيت دون غيرهم يملكون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كلام غير صحيح ونسبة مفتراة، فإنّ أحداً من الناس من غير فرق بين النبي صلى الله عليه و آله و سلم وغيره لا يملك الشفاعة،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وقد تضافرت الأدلّة من الكتاب والسنّة على أنّ شفاعة أحدٍ من الناس منوطة بإذنه سبحانه،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حاول الشيخ أن يقف على موقف القرآن والسنّة، وموقف أهل البيت من الشفاعة، فليرجع إلى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إحياء الموتى، فلو كان من باب الإعجاز، فهو من</w:t>
      </w:r>
    </w:p>
    <w:p>
      <w:pPr>
        <w:pStyle w:val="BookText"/>
        <w:rPr/>
      </w:pPr>
      <w:r>
        <w:rPr>
          <w:rFonts w:ascii="Amiri" w:hAnsi="Amiri" w:eastAsia="Amiri" w:cs="Amiri"/>
          <w:color w:val="111111"/>
          <w:sz w:val="28"/>
          <w:sz w:val="28"/>
          <w:szCs w:val="28"/>
          <w:rtl w:val="true"/>
          <w:lang w:bidi="ar-SA"/>
        </w:rPr>
        <w:t>خصائص الأنبياء، لأنّ المعجزة لا يقوم بها إلّاالنبي الموحى إليه، وأمّا أئمة أهل البيت عليهم السلام فليسوا بأنبياء، وبالتالي ليسوا أصحاب معاجز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باب الكرامة، فهو ليس بأمر ممتنع، إذ في وسع المولى أن يعطي القدرة لأحد من عباده لإحياء الموتى، فلو تواترت الروايات وتضافرت الأحاديث على صدوره من أحد الأئمة فيقبل، وأمّا إذا ورد عن طريق الآحاد، فهو لا يفيد يقيناً، بل يترك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فليس القول بإحياء الموتى من عقائد الشيعة ولا ضرورياتها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المحيي هو اللّه سبحانه، وإنّما يجري فيضه عن طريق الأسباب، فلا بدعة في أن يُجري فيضه عن طريق عباد اللّه الصالحين، كما جرى فيضه عن طريق آخر، وهو ما حكاه سبحانه في سورة البقرة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فقد أجرى اللّه سبحانه فيضه على يد البعض من بني إسرائيل الذين ذبحوا البقرة، وضربوا جسد المقتول ببعض البقرة، فقام المقتول حيّاً وشهد على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فرغنا عمّا وعدنا القارئ به في أوّل الرسالة من تحليل كلام الشيخ، تحليلاً هادئاً مقروناً بالدليل والبرهان، على وجه لو تأمّله الشيخ وأضرابه ربّما يؤدّي إلى تبدّل موقفهم بالنسبة إلى 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إلى المناظرة وقال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روايات تدلّ على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تلك</w:t>
      </w:r>
    </w:p>
    <w:p>
      <w:pPr>
        <w:pStyle w:val="BookText"/>
        <w:rPr/>
      </w:pPr>
      <w:r>
        <w:rPr>
          <w:rFonts w:ascii="Amiri" w:hAnsi="Amiri" w:eastAsia="Amiri" w:cs="Amiri"/>
          <w:color w:val="111111"/>
          <w:sz w:val="28"/>
          <w:sz w:val="28"/>
          <w:szCs w:val="28"/>
          <w:rtl w:val="true"/>
          <w:lang w:bidi="ar-SA"/>
        </w:rPr>
        <w:t>الروايات وأثبتوا صحّتها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فعل؛ إذ هذه أُمنيتنا منذ سنين، فنحن مستعدون لإراءة البراهين على عقائدنا في جو هادئ يشارك فيه العلماء والمحدّثون ليعرضوا آراءهم، وليتعرّفوا على عقائد الشيعة في ما يتفقون ويختلفون فيه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الشيخ المؤلف إلى الشيعة الإمامية تهمة عدم الاهتمام بالتصحيح والتضعيف في ما يروونه عن أئمة أهل البيت عليهم السلام إلّاأنّ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الفقهية، فقد أشبعها الفقهاء الشيعة بحثاً وتدقيقاً منذ عشرة قرون، فميّزوا الصحيح عن السقيم، والمقبول عن المرفوض، يقف عليه كلّ من له إلمام بالكتب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يرجع إلى العقائد، فما يذكره الكليني في ذلك الباب، فقد أخذ العلامة المجلسي جميع ما يرويه بالتصحيح والتضعيف وكتابه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قام المرجع الديني الكبير آية اللّه الخوئي قدس سره بتأليف موسوعة كبيرة تشتمل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حول رجال الشيعة وأسماها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 ضخم قام به مجموعة من فضلاء حوزة النجف الأشرف ومن تلاميذ المؤلف تحت إشرافه، فياليت الشيخ يطّلع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الرواية حتّى لو كانت صحيحة، لا تكون مصدراً للعقيدة، وإنّما تؤخذ العقائد من الكتاب المجيد والسنّة النبوية المتواترة وأحاديث أئمة أهل البيت بشرط التواتر، وأمّا آحاد الروايات، فهي ليست مصدراً للعقيدة، وإن جاءت في الكافي وغيره، إذ ليس عند الشيعة الإمامية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القرآن المجيد، وما عداه خاضع للنقاش كما هو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هناك أمراً مهماً نلفت نظر الإخوة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العقائد الشيعية كمنظومة متسلسلة، لا يمكن الأخذ بواحدة منها مع غض النظر عن الأُصول الأُخرى، وذلك نظير الحج، فإنّ أعمال الحج من بدء الإحرام إلى الخروج منه عمل عبادي مركب من أجزاء، فالقضاء الحاسم فيه رهن دراسة العمل من أُصوله إلى فروعه ومن أوّله إلى آخره، فعند ذلك يتجلّى أنّ الحج من أظهر مظاهر الخشوع والخضوع للّه سبحانه، ومن أبرز مصاديق الخروج من عبودية النفس والوفود على اللّه سبحانه وترك زخارف الدنيا وراءه والاكتفاء منها بثوبين أبيضين، فياله من منظر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اقتصرنا على دراسة جزء واحد من هذا العمل المركب، فربّما يصبح أقرب شيء إلى أعمال الوثنيين، حيث إنّ الإنسان الموحّد مع ادّعاء التوحيد يدور حول الأحجار والتراب كطواف المشركين حول آلهتهم الحجرية أو الخشبية، وقس على ذلك سائر أجزاء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عقائد الشيعة، فهي منظومة منسجمة لا يصح دراستها إلّا كمجموعة واحدة، أصلها ثابت في الكتاب والسنّة وفروعها متشعّبة في العقول الحصيفة، فمَن لم يعرف حقيقة الإمامة والولاية الّتي حازها الإمام علي عليه السلام وأولاده من بعده، فربّما لا يهضم فكره أنّهم ذوو كرامات يعجز عنها الآخرون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نلفت نظر الشيخ إلى أمر مهم،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الكتابة حول الشيعة كانت قليلة جدّاً قبل الثورة الإسلامية في إيران، ولم تكن تتجاوز مفرداتها عدد أصابع اليدين، ولكن بعد أن انتصرت الثورة الإسلامية توسّعت الكتابة عن عقائد الشيعة، واهتمّ بها الكثير من المؤلّفين، وأصبحت موضوعاً للعديد من الاطروحات العلمية في الجامعات، وبالأخص في المملكة العربية السعودية، وكأنّه ليس للمسلمين أي مشكلة سوى الشيعة، أو أي موضوع يُهتم به سوى</w:t>
      </w:r>
    </w:p>
    <w:p>
      <w:pPr>
        <w:pStyle w:val="BookText"/>
        <w:rPr/>
      </w:pPr>
      <w:r>
        <w:rPr>
          <w:rFonts w:ascii="Amiri" w:hAnsi="Amiri" w:eastAsia="Amiri" w:cs="Amiri"/>
          <w:color w:val="111111"/>
          <w:sz w:val="28"/>
          <w:sz w:val="28"/>
          <w:szCs w:val="28"/>
          <w:rtl w:val="true"/>
          <w:lang w:bidi="ar-SA"/>
        </w:rPr>
        <w:t>عقائد الشيعة، فهل يتّفق الشيخ معنا على أنّ خلف الكواليس شيئاً ما؟ وأنّ هناك أيادي غير مرئية تدفع بالمؤلفين إلى تناول هذا الموضوع، حتّى يتمزق جسد الأُمة الإسلامية وتذهب جهود المصلحين والدعاة إلى الوحدة والتقريب سدى، وأن يفترق المسلمون ولا يتّحدوا حتّى آخر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الواجب على أمثال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دعاة الوحدة 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هذه المساجلات والمناظرات ويشتغل بالأهم فالأهم، وأن يضع البنان على النقاط المشتركة بدل مواضع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نقدّم لكم كتابنا المعنون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في البلاد العربية والذي نعتبره نموذجاً كاملاً لعرض العقائد الشيعية الّتي تتجلى فيها النقاط المشتركة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نجعجع بالقلم عن الإفاضة، فقد بلغنا نهاية المطاف من تحليل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اللّه سبحانه أن يؤلّف بين قلوب المسلمين، ويوحّد صفوفهم، ويجمع شملهم، ويجعلهم كتلة واحدة في وجه الأعداء الغاشمين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ويرزقنا وجميع المؤلّفين الإخلاص فيما نكتب ونؤلّف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523" w:name="pg16780_177173"/>
    </w:p>
    <w:p>
      <w:pPr>
        <w:pStyle w:val="Heading3"/>
        <w:numPr>
          <w:ilvl w:val="2"/>
          <w:numId w:val="1"/>
        </w:numPr>
        <w:rPr/>
      </w:pPr>
      <w:bookmarkStart w:id="524" w:name="__RefHeading___Toc7189847_73709187"/>
      <w:bookmarkStart w:id="525" w:name="_Toc197"/>
      <w:bookmarkEnd w:id="523"/>
      <w:bookmarkEnd w:id="524"/>
      <w:r>
        <w:rPr/>
        <w:t>4</w:t>
      </w:r>
      <w:r>
        <w:rPr>
          <w:rtl w:val="true"/>
        </w:rPr>
        <w:t xml:space="preserve"> </w:t>
      </w:r>
      <w:r>
        <w:rPr>
          <w:rtl w:val="true"/>
        </w:rPr>
        <w:t>أسئلة وأجوبة عقائدية</w:t>
      </w:r>
      <w:bookmarkEnd w:id="5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7189849_73709187"/>
      <w:bookmarkStart w:id="527" w:name="_Toc198"/>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الأخ العزيز، الدكتور عبدالعزيز حسن حفظه اللّه ورعاه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تكونوا في أتمّ الصحّة والعافية</w:t>
      </w:r>
    </w:p>
    <w:p>
      <w:pPr>
        <w:pStyle w:val="BookText"/>
        <w:rPr/>
      </w:pPr>
      <w:r>
        <w:rPr>
          <w:rFonts w:ascii="Amiri" w:hAnsi="Amiri" w:eastAsia="Amiri" w:cs="Amiri"/>
          <w:color w:val="111111"/>
          <w:sz w:val="28"/>
          <w:sz w:val="28"/>
          <w:szCs w:val="28"/>
          <w:rtl w:val="true"/>
          <w:lang w:bidi="ar-SA"/>
        </w:rPr>
        <w:t xml:space="preserve">وصلتني رسالتكم الموقّرة وقد تضمّنت عدة أسئلة مطروحة عند الأُخوة في إحدى مواقع 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الوتسآب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الطلب من رسول اللّه صلى الله عليه و آله و سلم وأئمة أهل البيت عليهم السلام فيما يتعلّق بالشفاء والرزق كأن يقول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اشفني وارزقني‌؟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تواصل بين العالَمين الدنيا والبرزخ‌؟</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 رسول اللّه صلى الله عليه و آله و سلم وأهل بيته ما نطلبه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دليل على عدم التواصل بين العالَمين فإنّ المسيح لم يعلم بما اتّخذه قومه مع أُمّه إلهين إلّايوم القيامة‌؟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أشكركم وأشكر الإخوان المتواجدين في موقع الاتّصال من الأكاديميّين والشيوخ المتخصّصين في الأُمور الشرعية، وأُقدّم إليكم أجوبة الأسئلة في مقاطع خاصّة</w:t>
      </w:r>
      <w:r>
        <w:rPr>
          <w:rFonts w:eastAsia="Amiri" w:cs="Amiri" w:ascii="Amiri" w:hAnsi="Amiri"/>
          <w:color w:val="111111"/>
          <w:sz w:val="28"/>
          <w:szCs w:val="28"/>
          <w:rtl w:val="true"/>
          <w:lang w:bidi="ar-SA"/>
        </w:rPr>
        <w:t>.</w:t>
      </w:r>
      <w:bookmarkStart w:id="528" w:name="pg16780_177176"/>
    </w:p>
    <w:p>
      <w:pPr>
        <w:pStyle w:val="Heading4"/>
        <w:numPr>
          <w:ilvl w:val="3"/>
          <w:numId w:val="1"/>
        </w:numPr>
        <w:rPr/>
      </w:pPr>
      <w:bookmarkStart w:id="529" w:name="__RefHeading___Toc7189851_73709187"/>
      <w:bookmarkStart w:id="530" w:name="_Toc199"/>
      <w:bookmarkEnd w:id="528"/>
      <w:bookmarkEnd w:id="529"/>
      <w:r>
        <w:rPr>
          <w:rtl w:val="true"/>
        </w:rPr>
        <w:t>السؤال الأوّل</w:t>
      </w:r>
      <w:r>
        <w:rPr>
          <w:rtl w:val="true"/>
        </w:rPr>
        <w:t xml:space="preserve">: </w:t>
      </w:r>
      <w:r>
        <w:rPr>
          <w:rtl w:val="true"/>
        </w:rPr>
        <w:t>هل يجوز طلب الشفاء والرزق من الرسول الأكرم صلى الله عليه و آله و سلم والأئمة عليهم السلام‌؟</w:t>
      </w:r>
      <w:bookmarkEnd w:id="530"/>
    </w:p>
    <w:p>
      <w:pPr>
        <w:pStyle w:val="Heading5"/>
        <w:numPr>
          <w:ilvl w:val="4"/>
          <w:numId w:val="1"/>
        </w:numPr>
        <w:rPr/>
      </w:pPr>
      <w:bookmarkStart w:id="531" w:name="__RefHeading___Toc7189853_73709187"/>
      <w:bookmarkStart w:id="532" w:name="_Toc200"/>
      <w:bookmarkEnd w:id="531"/>
      <w:r>
        <w:rPr/>
        <w:t>1</w:t>
      </w:r>
      <w:r>
        <w:rPr>
          <w:rtl w:val="true"/>
        </w:rPr>
        <w:t xml:space="preserve">. </w:t>
      </w:r>
      <w:r>
        <w:rPr>
          <w:rtl w:val="true"/>
        </w:rPr>
        <w:t>التوحيد في الربوبية</w:t>
      </w:r>
      <w:bookmarkEnd w:id="532"/>
    </w:p>
    <w:p>
      <w:pPr>
        <w:pStyle w:val="BookText"/>
        <w:rPr/>
      </w:pPr>
      <w:r>
        <w:rPr>
          <w:rFonts w:ascii="Amiri" w:hAnsi="Amiri" w:eastAsia="Amiri" w:cs="Amiri"/>
          <w:color w:val="111111"/>
          <w:sz w:val="28"/>
          <w:sz w:val="28"/>
          <w:szCs w:val="28"/>
          <w:rtl w:val="true"/>
          <w:lang w:bidi="ar-SA"/>
        </w:rPr>
        <w:t>لاشكّ أنّ التوحيد في الربوبية من مراتب التوحيد، وهو وراء التوحيد في الخالقية؛ فإنّ الثاني عبارة عن خلق العالم وإيجاده وإنّه الموجد والصانع فقط، وأمّا التوحيد في الربوبية فهو عبارة عن إدارة الكون بعد خلقه، وأنّه المدبر دون غيره، فهو إذاً خالق من وجه وربّ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التوحيد في الخالقية موضع إجماع واتّفاق بين الوثنيّين ومشركي عهد الرسالة، ويشهد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بخلاف التوحيد في الربوبية فقد كانوا يعتقدون بأنّ اللّه فوّض تدبير أُمور الكون إلى خيار خلقه واعتزل هو عن أمر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المخلوقات المفوّض إليها أمر التدبير، كانت في نظر معتقدي هذه النظرية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كان كلّ واحد منها مدبِّراً لجانب من جوانب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أمر الربوبية موضعَ نضال الأنبياء مع المشركين في أكثر القرون، فلذلك نرى أنّ النبيّ إبراهيم عليه السلام يناضل مشركي عصره فيه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هذا خالقي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دخلت الوثنية في مكّة بصورة الشرك في الربوبية، عندما جاء عمرو بن لُحَيّ بصنم كبير من الشام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على سطح الكعبة المشرّفة فكانوا يستمطرون ويستنصرون بها</w:t>
      </w:r>
      <w:r>
        <w:rPr>
          <w:rFonts w:eastAsia="Amiri" w:cs="Amiri" w:ascii="Amiri" w:hAnsi="Amiri"/>
          <w:color w:val="111111"/>
          <w:sz w:val="28"/>
          <w:szCs w:val="28"/>
          <w:rtl w:val="true"/>
          <w:lang w:bidi="ar-SA"/>
        </w:rPr>
        <w:t>.</w:t>
      </w:r>
      <w:r>
        <w:rPr>
          <w:rStyle w:val="FootnoteAnchor"/>
          <w:rtl w:val="true"/>
        </w:rPr>
        <w:footnoteReference w:id="535"/>
      </w:r>
      <w:bookmarkStart w:id="533" w:name="pg16780_177177"/>
    </w:p>
    <w:p>
      <w:pPr>
        <w:pStyle w:val="BookText"/>
        <w:rPr/>
      </w:pPr>
      <w:bookmarkEnd w:id="533"/>
      <w:r>
        <w:rPr>
          <w:rFonts w:ascii="Amiri" w:hAnsi="Amiri" w:eastAsia="Amiri" w:cs="Amiri"/>
          <w:color w:val="111111"/>
          <w:sz w:val="28"/>
          <w:sz w:val="28"/>
          <w:szCs w:val="28"/>
          <w:rtl w:val="true"/>
          <w:lang w:bidi="ar-SA"/>
        </w:rPr>
        <w:t>إنّ القرآن لا يعترف بمدبّر سوى اللّه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 .</w:t>
      </w:r>
      <w:r>
        <w:rPr>
          <w:rStyle w:val="FootnoteAnchor"/>
          <w:rtl w:val="true"/>
        </w:rPr>
        <w:footnoteReference w:id="536"/>
      </w:r>
      <w:r>
        <w:rPr>
          <w:rFonts w:ascii="Amiri" w:hAnsi="Amiri" w:eastAsia="Amiri" w:cs="Amiri"/>
          <w:color w:val="111111"/>
          <w:sz w:val="28"/>
          <w:sz w:val="28"/>
          <w:szCs w:val="28"/>
          <w:rtl w:val="true"/>
          <w:lang w:bidi="ar-SA"/>
        </w:rPr>
        <w:t>وفي آية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 تَبارَكَ اللّهُ رَبُّ الْعالَمِينَ‌</w:t>
      </w:r>
      <w:r>
        <w:rPr>
          <w:rFonts w:eastAsia="Amiri" w:cs="Amiri" w:ascii="Amiri" w:hAnsi="Amiri"/>
          <w:color w:val="111111"/>
          <w:sz w:val="28"/>
          <w:szCs w:val="28"/>
          <w:rtl w:val="true"/>
          <w:lang w:bidi="ar-SA"/>
        </w:rPr>
        <w:t>) .</w:t>
      </w:r>
      <w:r>
        <w:rPr>
          <w:rStyle w:val="FootnoteAnchor"/>
          <w:rtl w:val="true"/>
        </w:rPr>
        <w:footnoteReference w:id="537"/>
      </w:r>
      <w:r>
        <w:rPr>
          <w:rFonts w:ascii="Amiri" w:hAnsi="Amiri" w:eastAsia="Amiri" w:cs="Amiri"/>
          <w:color w:val="111111"/>
          <w:sz w:val="28"/>
          <w:sz w:val="28"/>
          <w:szCs w:val="28"/>
          <w:rtl w:val="true"/>
          <w:lang w:bidi="ar-SA"/>
        </w:rPr>
        <w:t>والإنسان لا يدخل في مخيّم التوحيد إلّاإذا اعترف به في كلتا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الخالقية والربوبية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7189855_73709187"/>
      <w:bookmarkStart w:id="535" w:name="_Toc201"/>
      <w:bookmarkEnd w:id="534"/>
      <w:r>
        <w:rPr/>
        <w:t>2</w:t>
      </w:r>
      <w:r>
        <w:rPr>
          <w:rtl w:val="true"/>
        </w:rPr>
        <w:t xml:space="preserve">. </w:t>
      </w:r>
      <w:r>
        <w:rPr>
          <w:rtl w:val="true"/>
        </w:rPr>
        <w:t>التوحيد في الربوبية غير تعطيل الأسباب</w:t>
      </w:r>
      <w:bookmarkEnd w:id="53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التوحيد في الربوبية 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 فاعلية الأسباب والعلل بإذن اللّه سبحانه ومشيئته وإحلال اللّه تعالى محلّ العلل الطبيعية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عليه أهل الحديث ومعظم الأشاعرة، بل معناه أنّه لا يوجد في الكون مدبّر مستقل سواه، وإنّ تأثير سائر العلل إنّما هو على وجه التبعية لإرادته سبحانه ومشيئته، والاعتراف بمثل هذه المدبّرات لا يمنع من انحصار التدبير الاستقلالي في اللّه سبحانه،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سبحانه يصرّح بالمدبّرات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 وَ يُرْسِلُ عَلَيْكُمْ حَفَظَةً‌</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ويصرّح بتأثير العلل الطبيعية في معاليلها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لَكُمْ‌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فالباء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ويقول تعالى عند الاستدلال</w:t>
      </w:r>
      <w:bookmarkStart w:id="536" w:name="pg16780_177178"/>
    </w:p>
    <w:p>
      <w:pPr>
        <w:pStyle w:val="BookText"/>
        <w:rPr/>
      </w:pPr>
      <w:bookmarkEnd w:id="536"/>
      <w:r>
        <w:rPr>
          <w:rFonts w:ascii="Amiri" w:hAnsi="Amiri" w:eastAsia="Amiri" w:cs="Amiri"/>
          <w:color w:val="111111"/>
          <w:sz w:val="28"/>
          <w:sz w:val="28"/>
          <w:szCs w:val="28"/>
          <w:rtl w:val="true"/>
          <w:lang w:bidi="ar-SA"/>
        </w:rPr>
        <w:t>على التوحيد في 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w:t>
      </w:r>
      <w:r>
        <w:rPr>
          <w:rFonts w:eastAsia="Amiri" w:cs="Amiri" w:ascii="Amiri" w:hAnsi="Amiri"/>
          <w:color w:val="111111"/>
          <w:sz w:val="28"/>
          <w:szCs w:val="28"/>
          <w:rtl w:val="true"/>
          <w:lang w:bidi="ar-SA"/>
        </w:rPr>
        <w:t>) .</w:t>
      </w:r>
      <w:r>
        <w:rPr>
          <w:rStyle w:val="FootnoteAnchor"/>
          <w:rtl w:val="true"/>
        </w:rPr>
        <w:footnoteReference w:id="541"/>
      </w:r>
      <w:r>
        <w:rPr>
          <w:rFonts w:ascii="Amiri" w:hAnsi="Amiri" w:eastAsia="Amiri" w:cs="Amiri"/>
          <w:color w:val="111111"/>
          <w:sz w:val="28"/>
          <w:sz w:val="28"/>
          <w:szCs w:val="28"/>
          <w:rtl w:val="true"/>
          <w:lang w:bidi="ar-SA"/>
        </w:rPr>
        <w:t>والآية صريحة في تأثير الماء في نموّ الأشجار والزروع وكأنّه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واحد، والتراب واحد فما هو السبب لتنوّع الزروع والفواكه‌؟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الآيات الواردة حول الطقس والأنواء الجوية دلالات واضحة على أنّ اللّه تعالى خالق ومدبّر على الأصالة ولكن جرت سنّته تعالى على إفاضة الفيض عن طريق أسبابه فجعل لكلّ شيء سبباً، فكلّ من هذه الأسباب مؤثّر بالتبع، وكأنّ الجميع من جنود اللّه يعملون ما أمرهم اللّه سبحانه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w:t>
      </w:r>
      <w:r>
        <w:rPr>
          <w:rStyle w:val="FootnoteAnchor"/>
          <w:rtl w:val="true"/>
        </w:rPr>
        <w:footnoteReference w:id="542"/>
      </w:r>
    </w:p>
    <w:p>
      <w:pPr>
        <w:pStyle w:val="Heading5"/>
        <w:numPr>
          <w:ilvl w:val="4"/>
          <w:numId w:val="1"/>
        </w:numPr>
        <w:rPr/>
      </w:pPr>
      <w:bookmarkStart w:id="537" w:name="__RefHeading___Toc7189857_73709187"/>
      <w:bookmarkStart w:id="538" w:name="_Toc202"/>
      <w:bookmarkEnd w:id="537"/>
      <w:r>
        <w:rPr/>
        <w:t>3</w:t>
      </w:r>
      <w:r>
        <w:rPr>
          <w:rtl w:val="true"/>
        </w:rPr>
        <w:t xml:space="preserve">. </w:t>
      </w:r>
      <w:r>
        <w:rPr>
          <w:rtl w:val="true"/>
        </w:rPr>
        <w:t>فعل واحد ينسب إلى الرب والمربوب</w:t>
      </w:r>
      <w:bookmarkEnd w:id="538"/>
    </w:p>
    <w:p>
      <w:pPr>
        <w:pStyle w:val="BookText"/>
        <w:rPr/>
      </w:pPr>
      <w:r>
        <w:rPr>
          <w:rFonts w:ascii="Amiri" w:hAnsi="Amiri" w:eastAsia="Amiri" w:cs="Amiri"/>
          <w:color w:val="111111"/>
          <w:sz w:val="28"/>
          <w:sz w:val="28"/>
          <w:szCs w:val="28"/>
          <w:rtl w:val="true"/>
          <w:lang w:bidi="ar-SA"/>
        </w:rPr>
        <w:t>قد اتّضح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التوحيد في الربوبية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الأسباب عن السببية بالتبعية والاعتراف بعلّة واحدة تقوم مقام العلل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الخالق والمدبّر على وجه الاستقلال غير المعتمد على غيره، هو اللّه سبحانه ولكن تعلّقت مشيئته على إجراء فيضه عن طرق الأسباب، فهي تعمل في ظل إرادته ومشيئته، ولو انقطعت الصلة بينها وبينه لانعدمت العلل والأسباب والمعاليل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من الوجود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يشهد على ما ذكرنا من السببية الظّلية، أنّه سبحانه ينسب فعلاً واحداً من أفعاله إلى ذاته وفي الوقت نفسه ينسبه إلى غيره، وإليك نماذج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الأرواح فعلاً للّه تعالى، ويصرّح</w:t>
      </w:r>
    </w:p>
    <w:p>
      <w:pPr>
        <w:pStyle w:val="BookText"/>
        <w:rPr/>
      </w:pPr>
      <w:r>
        <w:rPr>
          <w:rFonts w:ascii="Amiri" w:hAnsi="Amiri" w:eastAsia="Amiri" w:cs="Amiri"/>
          <w:color w:val="111111"/>
          <w:sz w:val="28"/>
          <w:sz w:val="28"/>
          <w:szCs w:val="28"/>
          <w:rtl w:val="true"/>
          <w:lang w:bidi="ar-SA"/>
        </w:rPr>
        <w:t>بأنّ اللّه هو الّذي يتوفّى الأنفس حين موتها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بينما ينسبه في آية أُخرى إلى غيره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يأمر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باللّه وحده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ونجده في آية أُخرى يأمر بالاستعانة بالصبر والصلاة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w:t>
      </w:r>
      <w:r>
        <w:rPr>
          <w:rStyle w:val="FootnoteAnchor"/>
          <w:rtl w:val="true"/>
        </w:rPr>
        <w:footnoteReference w:id="545"/>
      </w:r>
      <w:r>
        <w:rPr>
          <w:rFonts w:ascii="Amiri" w:hAnsi="Amiri" w:eastAsia="Amiri" w:cs="Amiri"/>
          <w:color w:val="111111"/>
          <w:sz w:val="28"/>
          <w:sz w:val="28"/>
          <w:szCs w:val="28"/>
          <w:rtl w:val="true"/>
          <w:lang w:bidi="ar-SA"/>
        </w:rPr>
        <w:t>وما هذا إلّاأنّ إعانة الرب تأتي عن طريق أسبابها وهي الصبر والصلاة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هو الرازق الوحيد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بينما نجد أنّه يأمر المتمكّنين وذوي الطول بأن يرزقوا من يلوذ بهم من الضعفاء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فِيها وَ اكْسُوهُمْ‌</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هو الكاتب لأعمال عباده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يَكْتُبُ ما يُبَيِّتُونَ‌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وفي الوقت نفسه يعتبر القرآن الملائكة كتبة أعمال العباد،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رُسُلُنا لَدَيْهِمْ يَكْتُبُونَ‌</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وكم لما ذكر من نظائر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النسبتين أيّ تناف لاختلافهما في الأصالة والتبعية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الجواب عن السؤال الأوّل وهو أنّه لاشكّ أنّ الشفاء بيد اللّه سبحانه كما قال النبيّ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كما أنّه</w:t>
      </w:r>
    </w:p>
    <w:p>
      <w:pPr>
        <w:pStyle w:val="BookText"/>
        <w:rPr/>
      </w:pPr>
      <w:r>
        <w:rPr>
          <w:rFonts w:ascii="Amiri" w:hAnsi="Amiri" w:eastAsia="Amiri" w:cs="Amiri"/>
          <w:color w:val="111111"/>
          <w:sz w:val="28"/>
          <w:sz w:val="28"/>
          <w:szCs w:val="28"/>
          <w:rtl w:val="true"/>
          <w:lang w:bidi="ar-SA"/>
        </w:rPr>
        <w:t>الرزّاق دون غيره وقد مرّ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ولكن ربّما تجري مشيئته على إجراء هذا الفيض عن طريق الأنبياء والأئمة فلا يكون طلبه من غيره مخالفاً للتوحيد في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يريد الطالب إلّاأن يجري اللّه فيضه عن طريق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وأنّه سبحانه يصرّح بأنّه الشافي ومع الوصف يقول ما ينتجه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وفي القرآن شفاء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w:t>
      </w:r>
      <w:r>
        <w:rPr>
          <w:rFonts w:eastAsia="Amiri" w:cs="Amiri" w:ascii="Amiri" w:hAnsi="Amiri"/>
          <w:color w:val="111111"/>
          <w:sz w:val="28"/>
          <w:szCs w:val="28"/>
          <w:rtl w:val="true"/>
          <w:lang w:bidi="ar-SA"/>
        </w:rPr>
        <w:t>) .</w:t>
      </w:r>
      <w:r>
        <w:rPr>
          <w:rStyle w:val="FootnoteAnchor"/>
          <w:rtl w:val="true"/>
        </w:rPr>
        <w:footnoteReference w:id="553"/>
      </w:r>
      <w:r>
        <w:rPr>
          <w:rFonts w:ascii="Amiri" w:hAnsi="Amiri" w:eastAsia="Amiri" w:cs="Amiri"/>
          <w:color w:val="111111"/>
          <w:sz w:val="28"/>
          <w:sz w:val="28"/>
          <w:szCs w:val="28"/>
          <w:rtl w:val="true"/>
          <w:lang w:bidi="ar-SA"/>
        </w:rPr>
        <w:t>واللّه سبحانه هو الشافي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المهم هووجود الدليل على أنّه سبحانه تعلّقت مشيئته بإجراء الشفاء والرزق أحياناً عن طريق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أمراً بعيداً، كيف وقد تواتر في غزوة خيبر أنّ علياً كان غائباً مريضاً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تكشف عن أنّ ما أصاب علياً عليه السلام من الرمد كان من الشدّة بحيث سلبه القدرة على المشي، وعاقه عن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و سلم يده الشريفة على عيني علي عليه السلام ودعا له بخير، فعوفي من ساعته، واستعادت عيناه عليه السلام سلامتها أفضل ممّا كانت بحيث لم يرمد عليه السلام حتّى آخر حياته بفضل تلك المسحة النبوية المباركة</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تواترت صدور معاجز وكرامات عن النبيّ صلى الله عليه و آله و سلم وعن أئمة أهل البيت عليهم السلام واحتفلت به الكتب كلّ ذلك يدلّ على أنّه سبحانه قد تعلّقت مشيئته في موارد خاصّة على جريان الفيض عن طريق دعائهم وسؤالهم وهذا النوع من التصرّف عبارة عن الولاية التكوينية بإذن اللّه سبحانه، ومن أنكر المعاجز</w:t>
      </w:r>
      <w:bookmarkStart w:id="539" w:name="pg16780_177181"/>
    </w:p>
    <w:p>
      <w:pPr>
        <w:pStyle w:val="BookText"/>
        <w:rPr/>
      </w:pPr>
      <w:bookmarkEnd w:id="539"/>
      <w:r>
        <w:rPr>
          <w:rFonts w:ascii="Amiri" w:hAnsi="Amiri" w:eastAsia="Amiri" w:cs="Amiri"/>
          <w:color w:val="111111"/>
          <w:sz w:val="28"/>
          <w:sz w:val="28"/>
          <w:szCs w:val="28"/>
          <w:rtl w:val="true"/>
          <w:lang w:bidi="ar-SA"/>
        </w:rPr>
        <w:t>والكرامات فقد أنكر أمراً ضرورياً في تاريخ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عفريت من الجن يستطيع أن يأتي بعرش بلقيس من اليمن قبل أن يقوم سليمان من مكانه واستطاع مَن كان عنده علم من الكتاب أن يأتي به قبل أن يرتد طرفه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فالنبي الخاتم صلى الله عليه و آله و سلم وخلفاؤه المطهرون أعلى وأنبل من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لا صلة له بتفويض إدارة العالم إلى الأنبياء والأولياء وإنّما يهدف إلى أنّه سبحانه أقدرهم على المعاجز والكرامات في موارد خاصّة، وعند السؤال والتوسّل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الأفضل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اشفني بحقّ نبيك وارزقني زيارة نبيك بحقّ أوليائك ليصدّ بذلك شغب الشاغبين الّذين عمشت أعينهم عن رؤية مقامات العارفين باللّه القائمين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يمكن أن يقال عن السؤال الأوّل</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7189859_73709187"/>
      <w:bookmarkStart w:id="541" w:name="_Toc203"/>
      <w:bookmarkEnd w:id="540"/>
      <w:r>
        <w:rPr>
          <w:rtl w:val="true"/>
        </w:rPr>
        <w:t>السؤال الثاني</w:t>
      </w:r>
      <w:r>
        <w:rPr>
          <w:rtl w:val="true"/>
        </w:rPr>
        <w:t xml:space="preserve">: </w:t>
      </w:r>
      <w:r>
        <w:rPr>
          <w:rtl w:val="true"/>
        </w:rPr>
        <w:t>وجود الصلة بين العالَمين الدنيوي والأُخروي</w:t>
      </w:r>
      <w:bookmarkEnd w:id="541"/>
    </w:p>
    <w:p>
      <w:pPr>
        <w:pStyle w:val="Heading5"/>
        <w:numPr>
          <w:ilvl w:val="4"/>
          <w:numId w:val="1"/>
        </w:numPr>
        <w:rPr/>
      </w:pPr>
      <w:bookmarkStart w:id="542" w:name="__RefHeading___Toc7189861_73709187"/>
      <w:bookmarkStart w:id="543" w:name="_Toc204"/>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لقد سلّطت آيات الذكر الحكيم الضوءَ على هذه المسألة وأزاحت الستار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 عن عتوّ قوم ثمود وهلاكهم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تدلّ على هلاكهم واستئصالهم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هلاكهم أخذ النبيّ صالح عليه السلام بخطابهم وهم أجساد بلا روح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 قالَ‌</w:t>
      </w:r>
      <w:bookmarkStart w:id="544" w:name="pg16780_177182"/>
    </w:p>
    <w:p>
      <w:pPr>
        <w:pStyle w:val="BookText"/>
        <w:rPr/>
      </w:pPr>
      <w:bookmarkEnd w:id="544"/>
      <w:r>
        <w:rPr>
          <w:rFonts w:ascii="Amiri" w:hAnsi="Amiri" w:eastAsia="Amiri" w:cs="Amiri"/>
          <w:color w:val="111111"/>
          <w:sz w:val="28"/>
          <w:sz w:val="28"/>
          <w:szCs w:val="28"/>
          <w:rtl w:val="true"/>
          <w:lang w:bidi="ar-SA"/>
        </w:rPr>
        <w:t>يا قَوْمِ لَقَدْ أَبْلَغْتُكُمْ رِسالَةَ رَبِّي وَ نَصَحْتُ لَكُمْ وَ لكِنْ لا تُحِبُّونَ النّاصِحِينَ‌</w:t>
      </w:r>
      <w:r>
        <w:rPr>
          <w:rFonts w:eastAsia="Amiri" w:cs="Amiri" w:ascii="Amiri" w:hAnsi="Amiri"/>
          <w:color w:val="111111"/>
          <w:sz w:val="28"/>
          <w:szCs w:val="28"/>
          <w:rtl w:val="true"/>
          <w:lang w:bidi="ar-SA"/>
        </w:rPr>
        <w:t>)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ترى أنّ النبيّ صالح عليه السلام يتكلّم مع قومه بعد هلاكهم ويخاطبهم ويتكلّم مع أرواحهم في البرزخ، فلو لم يكن هناك صلة لكان كلامه لغواً، والأنبياء منزّهون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نظير ذلك في قصّة شعيب حيث تكلّم مع قومه بعد هلاكهم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أَبْلَغْتُكُمْ رِسالاتِ رَبِّي وَ نَصَحْتُ لَكُمْ فَكَيْفَ آسى عَلى قَوْمٍ كافِرِينَ‌</w:t>
      </w:r>
      <w:r>
        <w:rPr>
          <w:rFonts w:eastAsia="Amiri" w:cs="Amiri" w:ascii="Amiri" w:hAnsi="Amiri"/>
          <w:color w:val="111111"/>
          <w:sz w:val="28"/>
          <w:szCs w:val="28"/>
          <w:rtl w:val="true"/>
          <w:lang w:bidi="ar-SA"/>
        </w:rPr>
        <w:t>)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أمر النبيّ صلى الله عليه و آله و سلم أن يسأل المرسلين السابقين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 .</w:t>
      </w:r>
      <w:r>
        <w:rPr>
          <w:rStyle w:val="FootnoteAnchor"/>
          <w:rtl w:val="true"/>
        </w:rPr>
        <w:footnoteReference w:id="558"/>
      </w:r>
      <w:r>
        <w:rPr>
          <w:rFonts w:ascii="Amiri" w:hAnsi="Amiri" w:eastAsia="Amiri" w:cs="Amiri"/>
          <w:color w:val="111111"/>
          <w:sz w:val="28"/>
          <w:sz w:val="28"/>
          <w:szCs w:val="28"/>
          <w:rtl w:val="true"/>
          <w:lang w:bidi="ar-SA"/>
        </w:rPr>
        <w:t>مع أنّ النبيّ في الحياة الدنيوية والمسؤولون في الحياة البرزخية ومع ذلك أُمر النبيّ بسؤالهم، وتفسير الآية بسؤال علمائهم تصرّف في الآية وتأويل بلا دليل</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7189863_73709187"/>
      <w:bookmarkStart w:id="546" w:name="_Toc205"/>
      <w:bookmarkEnd w:id="545"/>
      <w:r>
        <w:rPr>
          <w:rtl w:val="true"/>
        </w:rPr>
        <w:t>النبيّ الأكرم صلى الله عليه و آله و سلم يكلّم أهل القليب</w:t>
      </w:r>
      <w:bookmarkEnd w:id="546"/>
    </w:p>
    <w:p>
      <w:pPr>
        <w:pStyle w:val="BookText"/>
        <w:rPr/>
      </w:pPr>
      <w:r>
        <w:rPr>
          <w:rFonts w:ascii="Amiri" w:hAnsi="Amiri" w:eastAsia="Amiri" w:cs="Amiri"/>
          <w:color w:val="111111"/>
          <w:sz w:val="28"/>
          <w:sz w:val="28"/>
          <w:szCs w:val="28"/>
          <w:rtl w:val="true"/>
          <w:lang w:bidi="ar-SA"/>
        </w:rPr>
        <w:t>حينما وضعت معركة بدر الكبرى أوزارها وانهزم المشركون مخلّفين وراءهم سبعين قتيلاً من صناديدهم وساداتهم ومثلهم من الأسرى، أمر رسول اللّه صلى الله عليه و آله و سلم بإلقاء القتلى في القليب، ثمّ وقف صلى الله عليه و آله و سلم يخاطب القتلى واحداً واحداً ويقول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القليب، يا عتبة بن ربيعة، ويا شيبة بن ربيعة، و يا أُميّة بن خلف، و يا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عدّد مَن كان منهم في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وعدكم ربّكم حقّاً فإنّي وجدت ما وعدني ربّي حقّاً؟</w:t>
      </w:r>
      <w:r>
        <w:rPr>
          <w:rFonts w:eastAsia="Amiri" w:cs="Amiri" w:ascii="Amiri" w:hAnsi="Amiri"/>
          <w:color w:val="111111"/>
          <w:sz w:val="28"/>
          <w:szCs w:val="28"/>
          <w:rtl w:val="true"/>
          <w:lang w:bidi="ar-SA"/>
        </w:rPr>
        <w:t>».</w:t>
      </w:r>
      <w:bookmarkStart w:id="547" w:name="pg16780_177183"/>
    </w:p>
    <w:p>
      <w:pPr>
        <w:pStyle w:val="BookText"/>
        <w:rPr/>
      </w:pPr>
      <w:bookmarkEnd w:id="547"/>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أتنادي قوماً 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لما أقول منهم، ولكنّهم لا يستطيعون أن 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أضاف بعد هذه المقالة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القليب، بئس عشيرة النبي كنتم لنبيّكم، كذبتموني وصدّقني الناس، وأخرجتموني وآواني الناس، وقاتلتموني ونصرني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وعدكم ربّي حقّاً</w:t>
      </w:r>
      <w:r>
        <w:rPr>
          <w:rFonts w:eastAsia="Amiri" w:cs="Amiri" w:ascii="Amiri" w:hAnsi="Amiri"/>
          <w:color w:val="111111"/>
          <w:sz w:val="28"/>
          <w:szCs w:val="28"/>
          <w:rtl w:val="true"/>
          <w:lang w:bidi="ar-SA"/>
        </w:rPr>
        <w:t>».</w:t>
      </w:r>
      <w:r>
        <w:rPr>
          <w:rStyle w:val="FootnoteAnchor"/>
          <w:rtl w:val="true"/>
        </w:rPr>
        <w:footnoteReference w:id="559"/>
      </w:r>
    </w:p>
    <w:p>
      <w:pPr>
        <w:pStyle w:val="Heading5"/>
        <w:numPr>
          <w:ilvl w:val="4"/>
          <w:numId w:val="1"/>
        </w:numPr>
        <w:rPr/>
      </w:pPr>
      <w:bookmarkStart w:id="548" w:name="__RefHeading___Toc7189865_73709187"/>
      <w:bookmarkStart w:id="549" w:name="_Toc206"/>
      <w:bookmarkEnd w:id="548"/>
      <w:r>
        <w:rPr>
          <w:rtl w:val="true"/>
        </w:rPr>
        <w:t>الشعر يضفي على القضية طابعاً خالداً</w:t>
      </w:r>
      <w:bookmarkEnd w:id="549"/>
    </w:p>
    <w:p>
      <w:pPr>
        <w:pStyle w:val="BookText"/>
        <w:rPr/>
      </w:pPr>
      <w:r>
        <w:rPr>
          <w:rFonts w:ascii="Amiri" w:hAnsi="Amiri" w:eastAsia="Amiri" w:cs="Amiri"/>
          <w:color w:val="111111"/>
          <w:sz w:val="28"/>
          <w:sz w:val="28"/>
          <w:szCs w:val="28"/>
          <w:rtl w:val="true"/>
          <w:lang w:bidi="ar-SA"/>
        </w:rPr>
        <w:t>تعد قصة حديث الرسول الأكرم صلى الله عليه و آله و سلم مع قتلى معركة بدر من المسلّمات الحديثية والتاريخية، حيث رواها المؤرّخون والمحدّثون من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أدلى الشعراء بدلوهم في هذه الواقعة حيث سجّلتها الدواوين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طليعة الشعراء الشاعر حسان بن ثابت شاعر عصر الرسالة، إذ أنشد قصيدة بائية رائعة سجّل فيها أحداث تلك الواقعة، ومن حسن الحظّ أنّ ديوان حسان بن ثابت مطبوع وهذه القصيدة موجودة فيه، وديوانه من الدواوين التي استطاعت أن تفلت من يد العابثين بالتراث حسب ميولهم، وتبقى حيّة ماثلة أمام الجميع، نقتطف من تلك القصيدة بعض الأبيات والتي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رسول اللّه لمّا قذفناهم كباكب</w:t>
      </w:r>
      <w:r>
        <w:rPr>
          <w:rStyle w:val="FootnoteAnchor"/>
          <w:rtl w:val="true"/>
        </w:rPr>
        <w:footnoteReference w:id="560"/>
      </w:r>
      <w:r>
        <w:rPr>
          <w:rFonts w:ascii="Amiri" w:hAnsi="Amiri" w:eastAsia="Amiri" w:cs="Amiri"/>
          <w:color w:val="111111"/>
          <w:sz w:val="28"/>
          <w:sz w:val="28"/>
          <w:szCs w:val="28"/>
          <w:rtl w:val="true"/>
          <w:lang w:bidi="ar-SA"/>
        </w:rPr>
        <w:t>في القليب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تجدوا كلامي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يأخذ بالقلوب</w:t>
      </w:r>
      <w:bookmarkStart w:id="550" w:name="pg16780_177184"/>
    </w:p>
    <w:p>
      <w:pPr>
        <w:pStyle w:val="BookText"/>
        <w:rPr/>
      </w:pPr>
      <w:bookmarkEnd w:id="550"/>
      <w:r>
        <w:rPr>
          <w:rFonts w:ascii="Amiri" w:hAnsi="Amiri" w:eastAsia="Amiri" w:cs="Amiri"/>
          <w:color w:val="111111"/>
          <w:sz w:val="28"/>
          <w:sz w:val="28"/>
          <w:szCs w:val="28"/>
          <w:rtl w:val="true"/>
          <w:lang w:bidi="ar-SA"/>
        </w:rPr>
        <w:t>فما نطقوا ولو نطقوا لقالوا صدقت وكنت ذا رأي مصيب</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لا توجد عبارة أشدّ صراحة ممّا قاله رسول اللّه صلى الله عليه و آله و سلم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ثمة بيان أكثر إيضاحاً وأشدّ تقريراً لهذه الحقيقة من مخاطبته صلى الله عليه و آله و سلم لواحد واحد من أهل القليب، ومناداتهم بأسمائهم وتكليمهم كما لو كانوا على قيد الحياة‌؟</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7189867_73709187"/>
      <w:bookmarkStart w:id="552" w:name="_Toc207"/>
      <w:bookmarkEnd w:id="551"/>
      <w:r>
        <w:rPr>
          <w:rtl w:val="true"/>
        </w:rPr>
        <w:t>السؤال الثالث</w:t>
      </w:r>
      <w:r>
        <w:rPr>
          <w:rtl w:val="true"/>
        </w:rPr>
        <w:t xml:space="preserve">: </w:t>
      </w:r>
      <w:r>
        <w:rPr>
          <w:rtl w:val="true"/>
        </w:rPr>
        <w:t>هل النبيّ الأكرم صلى الله عليه و آله و سلم وأئمة أهل البيت عليهم السلام يسمعون كلامنا أو لا؟</w:t>
      </w:r>
      <w:bookmarkEnd w:id="552"/>
    </w:p>
    <w:p>
      <w:pPr>
        <w:pStyle w:val="Heading5"/>
        <w:numPr>
          <w:ilvl w:val="4"/>
          <w:numId w:val="1"/>
        </w:numPr>
        <w:rPr/>
      </w:pPr>
      <w:bookmarkStart w:id="553" w:name="__RefHeading___Toc7189869_73709187"/>
      <w:bookmarkStart w:id="554" w:name="_Toc208"/>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الجواب، أنّ الفرق بين السؤالين قليل جداً ويمكن الإجابة عنه بما مرّ في ثاني السؤالين أيضاً، ومع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ترشدنا أُمور إلى أنّ الأنبياء والأولياء بل غيرهم يسمعون كلامنا، وإليك ما يدلّ عليه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7189871_73709187"/>
      <w:bookmarkStart w:id="556" w:name="_Toc209"/>
      <w:bookmarkEnd w:id="555"/>
      <w:r>
        <w:rPr/>
        <w:t>1</w:t>
      </w:r>
      <w:r>
        <w:rPr>
          <w:rtl w:val="true"/>
        </w:rPr>
        <w:t xml:space="preserve">. </w:t>
      </w:r>
      <w:r>
        <w:rPr>
          <w:rtl w:val="true"/>
        </w:rPr>
        <w:t>أمير المؤمنين عليه السلام يخاطب الرسول صلى الله عليه و آله و سلم حين غسله</w:t>
      </w:r>
      <w:bookmarkEnd w:id="55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الفصاحة وإمام البيان علي بن أبي طالب عليه السلام يجد فيه أنّه عليه السلام حينما كان يتولّى غسل رسول اللّه صلى الله عليه و آله و سلم خاطبه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والإنباء وأخبار السماء، خَصّصت حتى صرت مُسلياً عمّن سواك، 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أنّك أمرت بالصبر، ونهيت عن الجزع لأنفدنا عليك ماء الشؤون، ولكان الداءُ مماطلاً، والكمدُ محالفاً، وقلّا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لا يملك ردُّه، 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w:t>
      </w:r>
      <w:bookmarkStart w:id="557" w:name="pg16780_177185"/>
    </w:p>
    <w:p>
      <w:pPr>
        <w:pStyle w:val="BookText"/>
        <w:rPr/>
      </w:pPr>
      <w:bookmarkEnd w:id="557"/>
      <w:r>
        <w:rPr>
          <w:rFonts w:ascii="Amiri" w:hAnsi="Amiri" w:eastAsia="Amiri" w:cs="Amiri"/>
          <w:color w:val="111111"/>
          <w:sz w:val="28"/>
          <w:sz w:val="28"/>
          <w:szCs w:val="28"/>
          <w:rtl w:val="true"/>
          <w:lang w:bidi="ar-SA"/>
        </w:rPr>
        <w:t>واجعلنا من بالك</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ولو لم يكونوا واقفين على ما يجري بيننا، فما هو الوجه لهذا النوع من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عبارة أبلغ وأصرح وأدلّ على المطلوب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7189873_73709187"/>
      <w:bookmarkStart w:id="559" w:name="_Toc210"/>
      <w:bookmarkEnd w:id="558"/>
      <w:r>
        <w:rPr/>
        <w:t>2</w:t>
      </w:r>
      <w:r>
        <w:rPr>
          <w:rtl w:val="true"/>
        </w:rPr>
        <w:t xml:space="preserve">. </w:t>
      </w:r>
      <w:r>
        <w:rPr>
          <w:rtl w:val="true"/>
        </w:rPr>
        <w:t>أبو بكر يخاطب الرسول الأكرم صلى الله عليه و آله و سلم بعد موته</w:t>
      </w:r>
      <w:bookmarkEnd w:id="559"/>
    </w:p>
    <w:p>
      <w:pPr>
        <w:pStyle w:val="BookText"/>
        <w:rPr/>
      </w:pPr>
      <w:r>
        <w:rPr>
          <w:rFonts w:ascii="Amiri" w:hAnsi="Amiri" w:eastAsia="Amiri" w:cs="Amiri"/>
          <w:color w:val="111111"/>
          <w:sz w:val="28"/>
          <w:sz w:val="28"/>
          <w:szCs w:val="28"/>
          <w:rtl w:val="true"/>
          <w:lang w:bidi="ar-SA"/>
        </w:rPr>
        <w:t>قال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بكر حتى نزل على باب المسجد حين بلغه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رسول اللّه صلى الله عليه و آله و سلم ورسول اللّه صلى الله عليه و آله و سلم مسجّى في ناحية البيت عليه بُرد حبر، فأقبل حتى كشف عن وجه رسول اللّه صلى الله عليه و آله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أمّا الموتة التي كتب اللّه عليك فقد ذقتها ثمّ لن تصيبك بعدها موتة أبداً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فعلى هذا فالأنبياء والأولياء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وجود الصلة بين الحياتين كما مرّ في جواب السؤال الثاني فلا مانع من أن يسمع النبيّ صلى الله عليه و آله و سلم كلامنا ويستجيب دعوتنا إذا كان لصالحنا</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7189875_73709187"/>
      <w:bookmarkStart w:id="561" w:name="_Toc211"/>
      <w:bookmarkEnd w:id="560"/>
      <w:r>
        <w:rPr/>
        <w:t>3</w:t>
      </w:r>
      <w:r>
        <w:rPr>
          <w:rtl w:val="true"/>
        </w:rPr>
        <w:t xml:space="preserve">. </w:t>
      </w:r>
      <w:r>
        <w:rPr>
          <w:rtl w:val="true"/>
        </w:rPr>
        <w:t>التسليم على النبيّ صلى الله عليه و آله و سلم في كلّ صلاة</w:t>
      </w:r>
      <w:bookmarkEnd w:id="56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عامّة يسلّمون على النبيّ في تشهّدهم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أيّها النبيّ ورحمة اللّه وبركاته، فلو لم يكن سماع فما هو الوجه لهذا النوع من التسليم‌؟</w:t>
      </w:r>
      <w:r>
        <w:rPr>
          <w:rFonts w:eastAsia="Amiri" w:cs="Amiri" w:ascii="Amiri" w:hAnsi="Amiri"/>
          <w:color w:val="111111"/>
          <w:sz w:val="28"/>
          <w:szCs w:val="28"/>
          <w:rtl w:val="true"/>
          <w:lang w:bidi="ar-SA"/>
        </w:rPr>
        <w:t>!</w:t>
      </w:r>
      <w:bookmarkStart w:id="562" w:name="pg16780_177186"/>
    </w:p>
    <w:p>
      <w:pPr>
        <w:pStyle w:val="Heading5"/>
        <w:numPr>
          <w:ilvl w:val="4"/>
          <w:numId w:val="1"/>
        </w:numPr>
        <w:rPr/>
      </w:pPr>
      <w:bookmarkStart w:id="563" w:name="__RefHeading___Toc7189877_73709187"/>
      <w:bookmarkStart w:id="564" w:name="_Toc212"/>
      <w:bookmarkEnd w:id="562"/>
      <w:bookmarkEnd w:id="563"/>
      <w:r>
        <w:rPr/>
        <w:t>4</w:t>
      </w:r>
      <w:r>
        <w:rPr>
          <w:rtl w:val="true"/>
        </w:rPr>
        <w:t xml:space="preserve">. </w:t>
      </w:r>
      <w:r>
        <w:rPr>
          <w:rtl w:val="true"/>
        </w:rPr>
        <w:t>النبيّ الأكرم صلى الله عليه و آله و سلم من شهداء الأعمال</w:t>
      </w:r>
      <w:bookmarkEnd w:id="564"/>
    </w:p>
    <w:p>
      <w:pPr>
        <w:pStyle w:val="BookText"/>
        <w:rPr/>
      </w:pPr>
      <w:r>
        <w:rPr>
          <w:rFonts w:ascii="Amiri" w:hAnsi="Amiri" w:eastAsia="Amiri" w:cs="Amiri"/>
          <w:color w:val="111111"/>
          <w:sz w:val="28"/>
          <w:sz w:val="28"/>
          <w:szCs w:val="28"/>
          <w:rtl w:val="true"/>
          <w:lang w:bidi="ar-SA"/>
        </w:rPr>
        <w:t>إنّ النبيّ الأكرم صلى الله عليه و آله و سلم من شهداء الأعمال في الحياة الدنيوية والبرزخية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فالآية تدلّ على أنّ لكل أُمّة شهيداً على أعمالهم الظاهرية والباطنية وهم أنبياؤهم والنبيّ شهيد على الشهود، أفيمكن أن يكون الأولياء وعلى رأسهم النبيّ الأكرم شاهدين على أعمال الأُمة دون أن يكونوا واقفين على ما يجري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تثبت علماً واسعاً لشهود الأعمال، حتّى الأعمال الباطنية؛ كما أنّ المسيح من شهداء الأعمال على أُمّته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7189879_73709187"/>
      <w:bookmarkStart w:id="566" w:name="_Toc213"/>
      <w:bookmarkEnd w:id="565"/>
      <w:r>
        <w:rPr>
          <w:rtl w:val="true"/>
        </w:rPr>
        <w:t>السؤال الرابع</w:t>
      </w:r>
      <w:r>
        <w:rPr>
          <w:rtl w:val="true"/>
        </w:rPr>
        <w:t xml:space="preserve">: </w:t>
      </w:r>
      <w:r>
        <w:rPr>
          <w:rtl w:val="true"/>
        </w:rPr>
        <w:t>شبهة عدم اطّلاع المسيح عليه السلام على ما يجري على أُمّته</w:t>
      </w:r>
      <w:bookmarkEnd w:id="566"/>
    </w:p>
    <w:p>
      <w:pPr>
        <w:pStyle w:val="BookText"/>
        <w:rPr/>
      </w:pPr>
      <w:r>
        <w:rPr>
          <w:rFonts w:ascii="Amiri" w:hAnsi="Amiri" w:eastAsia="Amiri" w:cs="Amiri"/>
          <w:color w:val="111111"/>
          <w:sz w:val="28"/>
          <w:sz w:val="28"/>
          <w:szCs w:val="28"/>
          <w:rtl w:val="true"/>
          <w:lang w:bidi="ar-SA"/>
        </w:rPr>
        <w:t>لو كانت هناك صلة بين المسيح عليه السلام وما يجري بين أُمّته فما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 كُنْتَ أَنْتَ الرَّقِيبَ عَلَيْهِمْ وَ أَنْتَ عَلى كُلِّ شَيْ‌ءٍ شَهِيدٌ</w:t>
      </w:r>
      <w:r>
        <w:rPr>
          <w:rFonts w:eastAsia="Amiri" w:cs="Amiri" w:ascii="Amiri" w:hAnsi="Amiri"/>
          <w:color w:val="111111"/>
          <w:sz w:val="28"/>
          <w:szCs w:val="28"/>
          <w:rtl w:val="true"/>
          <w:lang w:bidi="ar-SA"/>
        </w:rPr>
        <w:t>)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وكأنّه يدلّ على عدم اطّلاعه‌؟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الجواب ضمن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التوفّي ليس بمعنى الإماتة، وقد اشتبه مَن فسّره بها بشهادة أنّه سبحانه يقسّمه بين الإماتة وغيرها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w:t>
      </w:r>
    </w:p>
    <w:p>
      <w:pPr>
        <w:pStyle w:val="BookText"/>
        <w:rPr/>
      </w:pP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الآية، يتوفّى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ويتوفّى التي لم تمت في منامها، فلو كان التوفّي بمعنى الإماتة يلزم التناقض في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ظرف المحاورة هو يوم القيامة كما عليه المفسّرون والتعبير بصيغة الماضي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يا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محقّق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القرآن في نظائره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فترتين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حياته عليه السلام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الفترة الأُولى فأجاب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أنّي لم أقل لهم أن يتّخذوني وأُمّي إلهين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أكن حاضراً بينهم حتّى أقول لهم هذا الأمر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أثبت براءته ممّا رمي به من قبل النصارى من أنّه أمر بعبادته وعبادة أُمّه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 ذلك فليس في الآية إشارة ولا تلويح إلى أنّه غير واقف على ما يجري بين النصارى بعد رفعه حتّى يستدلّ بعدم اطّلاعه وانقطاعه عن الناس، وإنّما الغاية هو إبراء نفسه عن الاتّهام، وهو حاصل بالأمرين المذكورين، فما دام فيهم لم يقل واللّه شاهد على ذلك وبعد رفعه لم يكن متواجداً بينهم حتّى يشافههم ويكلّمهم بالأمر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أدعو لكم بالخير والعافية وللأخوان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وللجميع فائق التقدير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67" w:name="pg16780_177189"/>
    </w:p>
    <w:p>
      <w:pPr>
        <w:pStyle w:val="Heading2"/>
        <w:numPr>
          <w:ilvl w:val="1"/>
          <w:numId w:val="1"/>
        </w:numPr>
        <w:rPr/>
      </w:pPr>
      <w:bookmarkStart w:id="568" w:name="__RefHeading___Toc7189881_73709187"/>
      <w:bookmarkStart w:id="569" w:name="_Toc214"/>
      <w:bookmarkEnd w:id="567"/>
      <w:bookmarkEnd w:id="568"/>
      <w:r>
        <w:rPr>
          <w:rtl w:val="true"/>
        </w:rPr>
        <w:t>الفصل الثاني</w:t>
      </w:r>
      <w:r>
        <w:rPr>
          <w:rtl w:val="true"/>
        </w:rPr>
        <w:t xml:space="preserve">: </w:t>
      </w:r>
      <w:r>
        <w:rPr>
          <w:rtl w:val="true"/>
        </w:rPr>
        <w:t>مقالات في الفقه والأحكام</w:t>
      </w:r>
      <w:bookmarkEnd w:id="569"/>
    </w:p>
    <w:p>
      <w:pPr>
        <w:pStyle w:val="Heading3"/>
        <w:numPr>
          <w:ilvl w:val="2"/>
          <w:numId w:val="1"/>
        </w:numPr>
        <w:rPr/>
      </w:pPr>
      <w:bookmarkStart w:id="570" w:name="__RefHeading___Toc7189883_73709187"/>
      <w:bookmarkStart w:id="571" w:name="_Toc215"/>
      <w:bookmarkEnd w:id="570"/>
      <w:r>
        <w:rPr>
          <w:rtl w:val="true"/>
        </w:rPr>
        <w:t>اشارة</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مواقيت الصلوات في الكتاب والسنّة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فريضة شرعية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حول توسعة المسعى‌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المزار في أحاديث الأئمة الأطهار عليهم السلام</w:t>
      </w:r>
      <w:bookmarkStart w:id="572" w:name="pg16780_177191"/>
    </w:p>
    <w:p>
      <w:pPr>
        <w:pStyle w:val="Heading3"/>
        <w:numPr>
          <w:ilvl w:val="2"/>
          <w:numId w:val="1"/>
        </w:numPr>
        <w:rPr/>
      </w:pPr>
      <w:bookmarkStart w:id="573" w:name="__RefHeading___Toc7189885_73709187"/>
      <w:bookmarkStart w:id="574" w:name="_Toc216"/>
      <w:bookmarkEnd w:id="572"/>
      <w:bookmarkEnd w:id="573"/>
      <w:r>
        <w:rPr/>
        <w:t>1</w:t>
      </w:r>
      <w:r>
        <w:rPr>
          <w:rtl w:val="true"/>
        </w:rPr>
        <w:t xml:space="preserve"> </w:t>
      </w:r>
      <w:r>
        <w:rPr>
          <w:rtl w:val="true"/>
        </w:rPr>
        <w:t>مواقيت الصلوات فى الكتاب والسنّة</w:t>
      </w:r>
      <w:bookmarkEnd w:id="57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7189887_73709187"/>
      <w:bookmarkStart w:id="576" w:name="_Toc217"/>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فكرة التقريب بين المذاهب الإسلامية من الأماني العزيزة الّتي يتمّناها كلّ مسلمٍ واعٍ بصير، خصوصاً في الأوضاع الراهنة الّتي تحالفت فيها قوى الكفر والشرك على محاربة الإسلام والمسلمين ونهب ثرواتهم وسلب حرياتهم إلى غير ذلك من الأعمال الإجراميّة الّتي تحول مشيئتهُ سبحانه بينهم وبين تحقيق مآربهم الخبيثة، حيث وعد في كتابه إعلاء كلمته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قضت مشيئتهُ سبحانه بإعلاء كلمته وغلبة دينهِ على غيره، ولكنّ قضاءه هذا ليس مطلقاً بل مشروطاً، ومن أهم شروطه صنع أجواء مناسبة له بين المسلمين، وذلك بنبذ التفرّق والتشرذم، والتمسّك بحبل اللّه المتين ليصبحوا أخواناً يدعم بعضهم بعضاً، كما وصفهم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المؤمنين في تراحمهم، وتوادّهم، وتعاطفهم كَمثَل الجسد إذا اشتكى عضواً، تداعى له سائر جسده بالسَّهَر والحُمّى‌</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يتحقّق ما وعده سبحانه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رجال الإصلاح وزعماء التقريب في القرن الماضي بتأسيس دار ومركز باسم دار التقريب بين المذاهب الإسلامية ليحقّقوا عملياً فكرة التقريب بين الطوائف، ويقرّبوا الخُطى بينهم، وقد نجحوا في مسعاهم هذا نجاحاً باهراً، لولا أنّ السياسة الوقتية حالت بين الدار واستمرار حياتها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المخلصين ساهموا في رسم خطوط عريضة مشتركة بين</w:t>
      </w:r>
    </w:p>
    <w:p>
      <w:pPr>
        <w:pStyle w:val="BookText"/>
        <w:rPr/>
      </w:pPr>
      <w:r>
        <w:rPr>
          <w:rFonts w:ascii="Amiri" w:hAnsi="Amiri" w:eastAsia="Amiri" w:cs="Amiri"/>
          <w:color w:val="111111"/>
          <w:sz w:val="28"/>
          <w:sz w:val="28"/>
          <w:szCs w:val="28"/>
          <w:rtl w:val="true"/>
          <w:lang w:bidi="ar-SA"/>
        </w:rPr>
        <w:t xml:space="preserve">المذاهب في مجالي العقيدة والشريعة لغاية التمسّك بها ونشرها من على منابر الجمعة والجماعات، والصحف والمجلات، ووسائل الإعلام، حتّى يُصبح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التمسّك بالمشتركات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متحابّين متعاونين، وأمّا المسائل الخلافية، فَدَعَوْا إلى بحثها ومناقشتها على ضوء الكتاب والسنّة، في المؤسسات والمحافل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والجدال مهما طال بين العلماء المنصفين، فإنّه لا يُفسد لهم في الودّ أمراً، وهم كما يصفهم شاعر الإهرام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العلماء في أخلاقهم يتباعدون ويلتقون سراعا</w:t>
      </w:r>
    </w:p>
    <w:p>
      <w:pPr>
        <w:pStyle w:val="BookText"/>
        <w:rPr/>
      </w:pPr>
      <w:r>
        <w:rPr>
          <w:rFonts w:ascii="Amiri" w:hAnsi="Amiri" w:eastAsia="Amiri" w:cs="Amiri"/>
          <w:color w:val="111111"/>
          <w:sz w:val="28"/>
          <w:sz w:val="28"/>
          <w:szCs w:val="28"/>
          <w:rtl w:val="true"/>
          <w:lang w:bidi="ar-SA"/>
        </w:rPr>
        <w:t>وهذا هو المراد من فكرة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يتظاهرون بأنّهم من أنصار فكرة التقريب ومن رجال الإصلاح، ولكن ليس لهم غاية سوى الانتصار لمذهب، وإلغاء مذهب آخر، وتذويب طائفة في طائفة أُخرى، وهم يحسبون أنّهم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يقنصوا السُّذّج من الشيعة لغاية فصلهم عن أئمة أهل البيت عليهم السلام، أحد الثقلين اللّذين أمر النبي صلى الله عليه و آله و سلم بالتمسّك بهما،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متواتر رواه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أمضى هؤلاء سنوات متمادية في مواجهة المذهب الشيعي، والتصدّي له، تارة بأدلّة واهية، وحجج سقيمة، وأُخرى بغير أدلّة ولا براهين، وإنّما بمحاولات التشويه والطعن والنبز، ولمّا بان عجزهم وخسرانهم في كلا الأُسلوبين، وتجلّت لرواد الحقيقة أصالة هذا الفكر السامي وعظمته، لجأوا إلى هذه المسرحية المفضوحة، الّتي يتقمّصون فيها ثوب الإنسان الخيّر المصلح، الّذي يهمّه أمر الأُمّة الإسلامية ووحدتها وعزّتها، غافلين عن أنّ‌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 الرياء يشفّ عمّا تحته فإذا التحفْتَ به فإنّك عارِ</w:t>
      </w:r>
    </w:p>
    <w:p>
      <w:pPr>
        <w:pStyle w:val="BookText"/>
        <w:rPr/>
      </w:pPr>
      <w:r>
        <w:rPr>
          <w:rFonts w:ascii="Amiri" w:hAnsi="Amiri" w:eastAsia="Amiri" w:cs="Amiri"/>
          <w:color w:val="111111"/>
          <w:sz w:val="28"/>
          <w:sz w:val="28"/>
          <w:szCs w:val="28"/>
          <w:rtl w:val="true"/>
          <w:lang w:bidi="ar-SA"/>
        </w:rPr>
        <w:t xml:space="preserve">ويأتي ضمن أدوار هذه المسرحية، النشاط الّذي يمارسه القائمون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مبرّة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الكويت، إذ اتخذّوا من شعارهم الخلّاب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تراث الآل والأصحاب، وإظهار العلاقة الحميمة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لتمرير مشروعهم الطائفي المقيت، من خلال تجنيد بعض أنصاف المثقفين، للكتابة في موضوعات، لا يحسنون الكتابة فيها، ولا يمتلكون الأدوات العلمية لبحثها وتناولها، وهذا أمر طبيعي، لأن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التشويش والتلبيس والخداع، وليس تحرّي الحقّ‌، والكشف عن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جاءت منشوراتهم وإصدراتهم على النقيض من مغزى الشعار الّذي يرفعونه، والدليل هو اقتصارها على الدفاع عن عقائد ومتبنّيات فئة متطرّفة، شذّت عن مذاهب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فئة الوهابيين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والطعن على الشيعة في أفكارهم وأحكامهم، والقدح في رواتهم ورواياتهم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نيّات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وصادقة، لصانوا أنفسهم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والتقبيح والاتّهام، ولعكفوا على البحث عن المشتركات بين مذاهب المسلمين وإذاعتها، واهتمّوا بالأولويّات الّتي تخدم مصالح الأُمّة وقضاياها المصيرية، بدلاً من إثارة المسائل الجزئية وبأُسلوب غير علمي وغير موضوعي، كما فعل الدكتور طه حامد الدليميّ‌، الّذي تناول مسألة مواقيت الصلاة في كتيّب،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وحدة إسلامية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الصلاة 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فيه أن يثبت أنّ مواقيت الصلاة عند الآل والأصحاب واحدة وهي خمسة أوقات متفرقة، ومن صلّى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جمع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صلّى في غير وقتها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مواقيت الصلاة عن الآل والأصحاب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تام لا ريب فيه، ولكن ما رتّب عليه من أنّها خمسة أوقات متفرّقة عندهما لا يصحّ‌</w:t>
      </w:r>
    </w:p>
    <w:p>
      <w:pPr>
        <w:pStyle w:val="BookText"/>
        <w:rPr/>
      </w:pPr>
      <w:r>
        <w:rPr>
          <w:rFonts w:ascii="Amiri" w:hAnsi="Amiri" w:eastAsia="Amiri" w:cs="Amiri"/>
          <w:color w:val="111111"/>
          <w:sz w:val="28"/>
          <w:sz w:val="28"/>
          <w:szCs w:val="28"/>
          <w:rtl w:val="true"/>
          <w:lang w:bidi="ar-SA"/>
        </w:rPr>
        <w:t>بتاتاً، ويشهد على عدم صحته روايات متضافرة عن النبي صلى الله عليه و آله و سلم والآل على أنّ الجمع بين الصلاتين كالتفريق في إفراغ الذمة، وأنّ الجمع بين الصلاتين كالتفريق بينهما سيّان في الإجزاء وامتثال أمر اللّه سبحانه، وأنّ من فرّق فقد أخذ بالأفضل، وأنّ من جمع فقد أخذ بالرخصة، وأنّ اللّه سبحانه يحب أن يُؤخذ برخصه كما يحب أن يؤخذ بعزائمه</w:t>
      </w:r>
      <w:r>
        <w:rPr>
          <w:rStyle w:val="FootnoteAnchor"/>
          <w:rtl w:val="true"/>
        </w:rPr>
        <w:footnoteReference w:id="570"/>
      </w:r>
      <w:r>
        <w:rPr>
          <w:rFonts w:ascii="Amiri" w:hAnsi="Amiri" w:eastAsia="Amiri" w:cs="Amiri"/>
          <w:color w:val="111111"/>
          <w:sz w:val="28"/>
          <w:sz w:val="28"/>
          <w:szCs w:val="28"/>
          <w:rtl w:val="true"/>
          <w:lang w:bidi="ar-SA"/>
        </w:rPr>
        <w:t>، فليس للمفرّق التنديد بمن جمع، لأنّ رسول اللّه صلى الله عليه و آله و سلم قد جمع بين الصلاتين في أوقات كثيرة من غير عذرٍ، ليوسّع الأمر على أُمّته ويخرجهم من الحرج، كما ليس للجامع التعرّض للمفرِّق، لأنّه أخذ بالأفضل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وَعَدَ اللّهُ الْحُسْنى‌</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مؤلّف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أهل البيت ما يدلّ على التفريق بين الصلاتين ولكنّه أغفل نقل أكثر ما روي عنهم من جواز الجمع في حال السعة وعدم العذر متضافراً بل متواتراً، وانّ المسلمين على الخيار بين التفريق والجمع، كما هو الحال في كل واجب 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أغفل نقل أكثر ما روي عن الآل في الجمع، فقد أغفل أيضاً ذكر ما استفاض من الأصحاب عن النبي صلى الله عليه و آله و سلم في جمعه بين الصلاتين من غير سفر ولا مطر ولا مرض ولا وحل، وإنّما ليوسع الأمر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لذلك صحاحهم وسننهم ومسانيدهم كما سيوافيك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 صاحب الكتيّب على مذهب تقام فيه الصلاة في مواقيت خمسة وتربّى على ذلك، ولمّا رأى أنّ الجمع بين الصلاتين يخالف سلوكه وسلوك قومه زعم أنّ الصلاة في مواقيت ثلاثة، إتيان بها في غير أوقاتها، فرائدُه في</w:t>
      </w:r>
    </w:p>
    <w:p>
      <w:pPr>
        <w:pStyle w:val="BookText"/>
        <w:rPr/>
      </w:pPr>
      <w:r>
        <w:rPr>
          <w:rFonts w:ascii="Amiri" w:hAnsi="Amiri" w:eastAsia="Amiri" w:cs="Amiri"/>
          <w:color w:val="111111"/>
          <w:sz w:val="28"/>
          <w:sz w:val="28"/>
          <w:szCs w:val="28"/>
          <w:rtl w:val="true"/>
          <w:lang w:bidi="ar-SA"/>
        </w:rPr>
        <w:t>موقفه هذا هو الرأي المسبق الّذي استقاه من أهل مذهبه، ثم أخذ يتطلّب له الأدّلة، فهو بدل أن يستعرض الأدلة ثم يسترشد بها في تعيين الرأي الصائب، عكس الأمر، وإلّا فلو درس الروايات من غير رأي مسبق، طالباً الحقيقة، متجرّداً عن الهوى‌، لوقف على أنّ الصادع بالحق خيّر الأُمّة بين الطريقين، ولكلٍّ فضل ومزيّة لا توجد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إلى أنّني ألّفت في سالف الزمان رسالة حول الجمع بين الصلاتين، وبحثت الموضوع على ضوء الكتاب والسنّة، ولمّا وقف عليها بعض المحقّقين من إخواننا السنّة، كتب إليّ أنّ الرسالة مكتوبة بحبر الإنصاف، وبذلك سعيت في تقريب الخطى بين المسلمين وأثبتّ أنّ عمل الجمع مقبول عنده سبحانه، وفي هذه الرسالة كفاية لمن أراد الحق وترك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أنّي نزلت عند رغبة بعض الفضلاء الشيعة في الكويت حيث طلبوا مني نقد الكتيّب المذكور نقداً موضوعياً، حتّى تتبين مواضع زلّات الكاتب وأخطائه فيه، فقمت بتأليف هذه الرسالة راجياً منه سبحانه أن يهدي الجميع إلى الحق، ويحفظهم من العثرة في القول والعمل، إنّه خير مجيب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تحقيق الموضوع وكشف الحقيقة ضمن فصول</w:t>
      </w:r>
      <w:r>
        <w:rPr>
          <w:rFonts w:eastAsia="Amiri" w:cs="Amiri" w:ascii="Amiri" w:hAnsi="Amiri"/>
          <w:color w:val="111111"/>
          <w:sz w:val="28"/>
          <w:szCs w:val="28"/>
          <w:rtl w:val="true"/>
          <w:lang w:bidi="ar-SA"/>
        </w:rPr>
        <w:t>:</w:t>
      </w:r>
      <w:bookmarkStart w:id="577" w:name="pg16780_177198"/>
    </w:p>
    <w:p>
      <w:pPr>
        <w:pStyle w:val="Heading4"/>
        <w:numPr>
          <w:ilvl w:val="3"/>
          <w:numId w:val="1"/>
        </w:numPr>
        <w:rPr/>
      </w:pPr>
      <w:bookmarkStart w:id="578" w:name="__RefHeading___Toc7189889_73709187"/>
      <w:bookmarkStart w:id="579" w:name="_Toc218"/>
      <w:bookmarkEnd w:id="577"/>
      <w:bookmarkEnd w:id="578"/>
      <w:r>
        <w:rPr/>
        <w:t>1</w:t>
      </w:r>
      <w:r>
        <w:rPr>
          <w:rtl w:val="true"/>
        </w:rPr>
        <w:t xml:space="preserve"> </w:t>
      </w:r>
      <w:r>
        <w:rPr>
          <w:rtl w:val="true"/>
        </w:rPr>
        <w:t>مكانة الصلاة في الكتاب والسنّة</w:t>
      </w:r>
      <w:bookmarkEnd w:id="579"/>
    </w:p>
    <w:p>
      <w:pPr>
        <w:pStyle w:val="BookText"/>
        <w:rPr/>
      </w:pPr>
      <w:r>
        <w:rPr>
          <w:rFonts w:ascii="Amiri" w:hAnsi="Amiri" w:eastAsia="Amiri" w:cs="Amiri"/>
          <w:color w:val="111111"/>
          <w:sz w:val="28"/>
          <w:sz w:val="28"/>
          <w:szCs w:val="28"/>
          <w:rtl w:val="true"/>
          <w:lang w:bidi="ar-SA"/>
        </w:rPr>
        <w:t xml:space="preserve">إنّ الصلاة من أفضل الأعمال وأحبّها إلى اللّه سبحانه وتعالى، وقد أوصى بها أنبياؤه وأولياؤه، فهذا هو إبراهيم الخليل عليه السلام يذكرها في دعائه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ويقول 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والمتبادر من الآية الأُولى أنّ الإسكان عند بيت اللّه في ذلك المكان المُقفِر المُمْحِل كان لغاية 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إسماعيل النبي عليه السلام يصفه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والآية تدلّ على أنّ إقامة الصلاة كانت من وصايا الأنبياء الذين استجابوا لوصية ربّهم بها، وامتثلوا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يأتي خطاب المسيح بن مريم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 .</w:t>
      </w:r>
      <w:r>
        <w:rPr>
          <w:rStyle w:val="FootnoteAnchor"/>
          <w:rtl w:val="true"/>
        </w:rPr>
        <w:footnoteReference w:id="57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استجاب سبحانه دعاء نبيّه زكريا حينما كان عليه السلام يصلّي في المحراب،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هَبْ لِي مِنْ لَدُنْكَ ذُرِّيَّةً طَيِّبَةً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 هُوَ قائِمٌ يُصَلِّي فِي الْمِحْرابِ أَنَّ اللّهَ يُبَشِّرُكَ بِيَحْيى مُصَدِّقاً</w:t>
      </w:r>
    </w:p>
    <w:p>
      <w:pPr>
        <w:pStyle w:val="BookText"/>
        <w:rPr/>
      </w:pPr>
      <w:r>
        <w:rPr>
          <w:rFonts w:ascii="Amiri" w:hAnsi="Amiri" w:eastAsia="Amiri" w:cs="Amiri"/>
          <w:color w:val="111111"/>
          <w:sz w:val="28"/>
          <w:sz w:val="28"/>
          <w:szCs w:val="28"/>
          <w:rtl w:val="true"/>
          <w:lang w:bidi="ar-SA"/>
        </w:rPr>
        <w:t>بِكَلِمَةٍ مِنَ اللّهِ وَ سَيِّداً وَ حَصُوراً وَ نَبِيًّا مِنَ الصّالِحِينَ‌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كتب الفلاح والنجاة للمصلين المحافظين عليها،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كما كتب الخسران على من استخفّ بها أوصلّى على وجه الرياء والسمعة،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إلى غير ذلك من الآيات الّتي تبيّن مكانة الصلاة وعظمتها في الشرائع السماوية عامّة والشريعة الإسلامية خاصّة، وكفى في ذلك أنّ كلمة الصلاة بمفردها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باقي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وهذا يكشف عن اهتمام الذكر الحكيم بهذه الفريضة الإلهية وعنايته البالغة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مكانة الصلاة في السنّة، فحدِّث عنها ولا حرج، ولا يسعنا هنا نقل معشار ما ورد عن النبي صلى الله عليه و آله و سلم وعترته الطاهرة عليهم السلام حول تلك الفريضة الكبيرة، فلنشر إلى نزر يسير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عبدالقيس على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 المشركين من مُضَر، وإنّا لا نصلُ إليك إلَّافي أشهر حُرُم، فمُرْنا بجُمَل من الأمر، إن عملنا به دخلنا الجنة وندعوا إليها مَن وراءنا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بالإيمان باللّه، وهل تدرون ما الإيمان باللّه‌؟ شهادة أن لا إله إلّااللّه، وإقام الصلاة، وإيتاء الزكاة، وتعطوا من المغنم الخمس</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مجيء الأمر بإقامة الصلاة في كلامه صلى الله عليه و آله و سلم بعد توحيده سبحانه يُشعر أنّها أفضل عمل جارحي بعد التوحيد، وقد تضافر عن النبي صلى الله عليه و آله و سلم وأئمة أهل البيت أنّ الصلاة أحب الأعمال وأفضلها، وأنّها عمود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بسنده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أي الأعمال أحب إلى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لوقتها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بسنده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عمود الدين الصلاة، وهي أوّل ما يُنظَر فيه من عمل ابن آدم فإنْ صحّت نُظِر في عمله، وإن لم تصحّ لم يُنظَر في بقية عمله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لأمير المؤمنين صلى الله عليه و آله و سلم كان يوصي به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 وَحَافِظُوا عَلَيْهَا، وَاسْتَكْثِرُوا مِنْهَا، وَتَقَرَّبُوا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w:t>
      </w:r>
      <w:r>
        <w:rPr>
          <w:rStyle w:val="FootnoteAnchor"/>
          <w:rtl w:val="true"/>
        </w:rPr>
        <w:footnoteReference w:id="583"/>
      </w:r>
      <w:r>
        <w:rPr>
          <w:rFonts w:ascii="Amiri" w:hAnsi="Amiri" w:eastAsia="Amiri" w:cs="Amiri"/>
          <w:color w:val="111111"/>
          <w:sz w:val="28"/>
          <w:sz w:val="28"/>
          <w:szCs w:val="28"/>
          <w:rtl w:val="true"/>
          <w:lang w:bidi="ar-SA"/>
        </w:rPr>
        <w:t>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وَتُطْلِقُهَا إِطْلَاقَ الرِّبَقِ‌، وَشَبَّهَهَا رَسُولُ اللّهِ صلى الله عليه و آله و سلم بِالْحَمَّةِ تَكُونُ عَلَى بَابِ الرَّجُلِ‌، فَهُوَ يَغْتَسِلُمِنْهَا فِي الْيَوْمِ وَاللَّيْلَةِ خَمْسَ مَرَّاتٍ‌، فَمَا عَسَى أَنْ يَبْقَى عَلَيْهِ مِنَ الدَّرَنِ‌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البرقي في المحاسن عن جابر الجعفي،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Style w:val="FootnoteAnchor"/>
          <w:rtl w:val="true"/>
        </w:rPr>
        <w:footnoteReference w:id="586"/>
      </w:r>
      <w:bookmarkStart w:id="580" w:name="pg16780_177201"/>
    </w:p>
    <w:p>
      <w:pPr>
        <w:pStyle w:val="BookText"/>
        <w:rPr/>
      </w:pPr>
      <w:bookmarkEnd w:id="5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عن أبي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باب دار أحدكم نهر فاغتسل في كل يوم منه خمس مرات، أكان يبقى في جسده من الدرن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الصلاة كمثل النهر الجاري، كلّما صلّى صلاة كفّرت ما بينهما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1" w:name="__RefHeading___Toc7189891_73709187"/>
      <w:bookmarkStart w:id="582" w:name="_Toc219"/>
      <w:bookmarkEnd w:id="581"/>
      <w:r>
        <w:rPr/>
        <w:t>2</w:t>
      </w:r>
      <w:r>
        <w:rPr>
          <w:rtl w:val="true"/>
        </w:rPr>
        <w:t xml:space="preserve"> </w:t>
      </w:r>
      <w:r>
        <w:rPr>
          <w:rtl w:val="true"/>
        </w:rPr>
        <w:t>الصلاة فريضة موقوتة تجب المحافظة على أوقاتها</w:t>
      </w:r>
      <w:bookmarkEnd w:id="582"/>
    </w:p>
    <w:p>
      <w:pPr>
        <w:pStyle w:val="BookText"/>
        <w:rPr/>
      </w:pPr>
      <w:r>
        <w:rPr>
          <w:rFonts w:ascii="Amiri" w:hAnsi="Amiri" w:eastAsia="Amiri" w:cs="Amiri"/>
          <w:color w:val="111111"/>
          <w:sz w:val="28"/>
          <w:sz w:val="28"/>
          <w:szCs w:val="28"/>
          <w:rtl w:val="true"/>
          <w:lang w:bidi="ar-SA"/>
        </w:rPr>
        <w:t>الصلاة فريضة موقوتة بيّن الذكر الحكيم وقتها، وتعرّضت السنّة لشرحها،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أي فرضاً موقوتاً منجَّماً يُؤدّونها في أنجمها،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عليهم فرض في وقت وجوب أدائها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ورد في السنّة في هذا المجال فكثير،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بسنده عن أبي عبداللّه الصادق عليه السلام، عن آبائه عليهم السلام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غداً من أخّر الصلاة المفروضة بعد وقتها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الإمام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ذعراً من المؤمن ما حافظ على مواقيت الصلوات الخمس، فإذا ضيّعهن اجترأ عليه فأدخله في العظائم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عبداللّه عليه السلام بالمزدلفة، فلمّا انصرف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الصلوات الخمس المفروضات، مَن أقام حدودهنّ‌، وحافظ على مواقيتهنّ لقي اللّه يوم القيامة وله عنده عهد يدخله به الجنّة، ومن لم يقم حدودهن، ولم يحافظ على مواقيتهنّ‌، لقي اللّه ولا عهد له، إن شاء عذّبه وإن شاء غفر له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عن عدونا؟ وإلى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إلى غير ذلك من الروايات الحاثّة على المحافظة على الصلاة في أوقاتها، وأنّ من صلّى صلاة الفريضة لوقتها فليس هو من الغافلين، وأمّا من استهان بأوقاتها، فهو من الذين ذمّهم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Style w:val="FootnoteAnchor"/>
          <w:rtl w:val="true"/>
        </w:rPr>
        <w:footnoteReference w:id="59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المسلم التعرّف على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الفضيلة، وأوقات الإجزاء حتّى يكون من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نتناوله في الفصل التالي</w:t>
      </w:r>
      <w:r>
        <w:rPr>
          <w:rFonts w:eastAsia="Amiri" w:cs="Amiri" w:ascii="Amiri" w:hAnsi="Amiri"/>
          <w:color w:val="111111"/>
          <w:sz w:val="28"/>
          <w:szCs w:val="28"/>
          <w:rtl w:val="true"/>
          <w:lang w:bidi="ar-SA"/>
        </w:rPr>
        <w:t>:</w:t>
      </w:r>
      <w:bookmarkStart w:id="583" w:name="pg16780_177203"/>
    </w:p>
    <w:p>
      <w:pPr>
        <w:pStyle w:val="Heading4"/>
        <w:numPr>
          <w:ilvl w:val="3"/>
          <w:numId w:val="1"/>
        </w:numPr>
        <w:rPr/>
      </w:pPr>
      <w:bookmarkStart w:id="584" w:name="__RefHeading___Toc7189893_73709187"/>
      <w:bookmarkStart w:id="585" w:name="_Toc220"/>
      <w:bookmarkEnd w:id="583"/>
      <w:bookmarkEnd w:id="584"/>
      <w:r>
        <w:rPr/>
        <w:t>3</w:t>
      </w:r>
      <w:r>
        <w:rPr>
          <w:rtl w:val="true"/>
        </w:rPr>
        <w:t xml:space="preserve"> </w:t>
      </w:r>
      <w:r>
        <w:rPr>
          <w:rtl w:val="true"/>
        </w:rPr>
        <w:t>مواقيت الصلوات في الذكر الحكيم</w:t>
      </w:r>
      <w:bookmarkEnd w:id="585"/>
    </w:p>
    <w:p>
      <w:pPr>
        <w:pStyle w:val="Heading5"/>
        <w:numPr>
          <w:ilvl w:val="4"/>
          <w:numId w:val="1"/>
        </w:numPr>
        <w:rPr/>
      </w:pPr>
      <w:bookmarkStart w:id="586" w:name="__RefHeading___Toc7189895_73709187"/>
      <w:bookmarkStart w:id="587" w:name="_Toc221"/>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قد تضمّن الذكر الحكيم مواقيت الصلاة في غير واحدة من الآيات، وفسّرتها السنّة النبوية وأحاديث أئمة أهل البيت عليهم السلام فلندرس الآيات، ثم نأتي بما في السنّة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تضمّنت بيان أوقات الصلوات الخمس، وإليك تفسيرها على ضوء توضيح مفرداتها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لخمس خلون من شهر كذا أي عند الخمس، والثاني هو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زوال الشمس عن كبد السماء، وهو قول الأكثر، وشذّ من فسّره بغروب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القرطبي عن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هو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الدلوك هو الزوال، وآخره هو الغروب، ومن وقت الزوال إلى الغروب يسمّى دلوكاً لأنّها في حالة ميل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الشيخ 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الدلوك بمعنى زوال الشمس عن وسط قوس فرضي في طريق مسيرها اليومي، وبمعنى ميل الشمس عن مقدار ثلاثة أرباع القوس</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وعلى ما ذكره العلمان يصدق الدلوك ما دامت الشمس مائلةً عن وسط السماء إلى جانب الغرب، فالجميع دلوك، ولا يختص الميل بأوّل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كلمة اللغويين والمفسّرين في تفسير الغَسَق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أوّل الليل، قاله في القاموس، وهو أحد القولين في اللسان، ونقل الشيخ الطوسي في التبيان عن ابن عباس وقتادة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بدءُ الليل</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ذكره قولاً واحداً في 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غسق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اللسان جعله أحد القولين، وحكى الشيخ الطوسي في التبيان عن الجُبّائي أنّ غسق الليل ظلمته، وهو خيرة صاحب التفسير الكاشف</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والفرق بين المعنين واضح، فإنّ بدء الليل لايلازم الظلمة الكاملة الّتي يشير إليها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الشديدة الّتي تمتد إلى نصف الليل وهو خيرة الأزهري،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غسق الليل تراكم الظلمة واشتدادها</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المفردات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ظلمته</w:t>
      </w:r>
      <w:r>
        <w:rPr>
          <w:rStyle w:val="FootnoteAnchor"/>
          <w:rtl w:val="true"/>
        </w:rPr>
        <w:footnoteReference w:id="599"/>
      </w:r>
      <w:r>
        <w:rPr>
          <w:rFonts w:ascii="Amiri" w:hAnsi="Amiri" w:eastAsia="Amiri" w:cs="Amiri"/>
          <w:color w:val="111111"/>
          <w:sz w:val="28"/>
          <w:sz w:val="28"/>
          <w:szCs w:val="28"/>
          <w:rtl w:val="true"/>
          <w:lang w:bidi="ar-SA"/>
        </w:rPr>
        <w:t>وهو المروي عن أئمة أهل البيت عليهم السلام وهو خيرة بعض المفسّرين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إدريس عن كتاب أحمد بن محمد بن أبي نصر البزنطي عن</w:t>
      </w:r>
    </w:p>
    <w:p>
      <w:pPr>
        <w:pStyle w:val="BookText"/>
        <w:rPr/>
      </w:pPr>
      <w:r>
        <w:rPr>
          <w:rFonts w:ascii="Amiri" w:hAnsi="Amiri" w:eastAsia="Amiri" w:cs="Amiri"/>
          <w:color w:val="111111"/>
          <w:sz w:val="28"/>
          <w:sz w:val="28"/>
          <w:szCs w:val="28"/>
          <w:rtl w:val="true"/>
          <w:lang w:bidi="ar-SA"/>
        </w:rPr>
        <w:t>المفضل عن محمد الحلبي عن أبي عبداللّه الصادق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دلوك الشمس زوالها، وغسق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انتصافه، 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روى الشيخ الطوسي بسند صحيح عن زرارة 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عما فرض اللّه من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الليل والنهار، فقلت هل سماهنّ اللّه وبيّنهنّ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عزوجل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ودلوكها زوالها، ففي ما بين دلوك الشمس إلى غسق الليل أربعة صلوات سمّاهن وبيّنهنّ ووقّتهنّ‌، وغسق الليل انتصافه،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صلاة الفجر فإنّها تشهدها ملائكة الليل وملائكة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يرجع إلى بيان مفردات الآية وتوضيحها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مفاد المفردات فاعلم أن في الآية دلالة على امتداد وقت الصلوات الأربع من الزوال إلى الغسق، فتكون أوقاتها موسّعة لأن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الصلوات ممتدٌ من الزوال إلى ذهاب الشفق أو إلى نصف الليل على الخلاف في معنى الغسق، وقد عرفت ما عليه أئمة أهل البيت عليهم السلام في معناه، فتكون النتيجة أن إتيان الصلوات الأربع أداءٌ بين الحدّين، وأن كل جزء منه صالح 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المحدّد بين زوال الشمس إلى غسق الليل وقت للصلوات الأربع، فله أن يصلي الظهر في أية ساعة من ساعات الحد المذكور،</w:t>
      </w:r>
    </w:p>
    <w:p>
      <w:pPr>
        <w:pStyle w:val="BookText"/>
        <w:rPr/>
      </w:pPr>
      <w:r>
        <w:rPr>
          <w:rFonts w:ascii="Amiri" w:hAnsi="Amiri" w:eastAsia="Amiri" w:cs="Amiri"/>
          <w:color w:val="111111"/>
          <w:sz w:val="28"/>
          <w:sz w:val="28"/>
          <w:szCs w:val="28"/>
          <w:rtl w:val="true"/>
          <w:lang w:bidi="ar-SA"/>
        </w:rPr>
        <w:t>كما له أن يأتي بالعصر كذلك هذا هو ظاهر الآية، وهو حجة للفقيه ما لم يدل دليل على التضييق، فعندئذٍ تُرفع اليد بمقدار الدليل، وفي غيره يكون الظاهر حجة ومرجعاً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زُلفى كالظُلَم جمع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الغدوة والعشية، والمراد من الطرف الأوّل الصبح، ومن الطرف الثاني دلوك الشمس إلى آخر النهار، وهو إشارة إلى وقتي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والزلف من الليل الساعات الأُولى منه، سمِّيت بذلك لقربها من النهار، والمراد بها هنا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بيان أوقات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الفجر والظهر والعصر،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المغرب والعشاء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فعلى ما ذكرنا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النهار، وأقم الصلاة زلفاً من الليل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سعة الوقت، وأن طرفي النهار وقت للصلوات الثلاث، فالطرف الأوّل لصلاة الصبح، والطرف الثاني لصلاتي الظهر والعصر، وأمّا الساعات الأُولى من الليل، فهي وقت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w:t>
      </w:r>
    </w:p>
    <w:p>
      <w:pPr>
        <w:pStyle w:val="BookText"/>
        <w:rPr/>
      </w:pPr>
      <w:r>
        <w:rPr>
          <w:rFonts w:ascii="Amiri" w:hAnsi="Amiri" w:eastAsia="Amiri" w:cs="Amiri"/>
          <w:color w:val="111111"/>
          <w:sz w:val="28"/>
          <w:sz w:val="28"/>
          <w:szCs w:val="28"/>
          <w:rtl w:val="true"/>
          <w:lang w:bidi="ar-SA"/>
        </w:rPr>
        <w:t>حجة ما لم يدل دليل على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للّه تعالى عمّا لا يليق به ولا يجوز عليه من صفات نقص أو ما ينافي عظمته، في الإصباح والإمساء والإظهار وفي العشيّ‌، وأن ما في السموات والأرض من خلق وأمر، يستدعي بحسنه حمداً وثناءً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جملة من المفسرين إلى أنّه سبحانه أشار في هاتين الآيتين إلى الصلوات الخمس، وفي الوقت نفسه ذهب آخرون إلى أنّها راجعة إلى مطلق التحميد والتسبيح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أُستاذنا السيد 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المراد بالتسبيح والتحميد معناهما المطلق دون الصلوات اليومية المفروضة، كما يقول به أكثر القائلين بكون القول مقدّراً،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فالتسبيح والتحميد في الآيتين إنشاء تنزيه وثناء منه تعالى لا من غيره، حتّى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تكرر في كلامه تعالى تسبيحه وتحميده لنفسه،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صحة ما ذهب إليه جملة من المفسّرين من أنّ الآيتين</w:t>
      </w:r>
    </w:p>
    <w:p>
      <w:pPr>
        <w:pStyle w:val="BookText"/>
        <w:rPr/>
      </w:pPr>
      <w:r>
        <w:rPr>
          <w:rFonts w:ascii="Amiri" w:hAnsi="Amiri" w:eastAsia="Amiri" w:cs="Amiri"/>
          <w:color w:val="111111"/>
          <w:sz w:val="28"/>
          <w:sz w:val="28"/>
          <w:szCs w:val="28"/>
          <w:rtl w:val="true"/>
          <w:lang w:bidi="ar-SA"/>
        </w:rPr>
        <w:t>تشيران إلى الصلوات الخمس،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في تفسير مفرداتها أقوالاً، نذكر منها أوضحها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تدخلون في وقت المساء، وهو ما بعد الظهر إلى المغرب</w:t>
      </w:r>
      <w:r>
        <w:rPr>
          <w:rStyle w:val="FootnoteAnchor"/>
          <w:rtl w:val="true"/>
        </w:rPr>
        <w:footnoteReference w:id="607"/>
      </w:r>
      <w:r>
        <w:rPr>
          <w:rFonts w:ascii="Amiri" w:hAnsi="Amiri" w:eastAsia="Amiri" w:cs="Amiri"/>
          <w:color w:val="111111"/>
          <w:sz w:val="28"/>
          <w:sz w:val="28"/>
          <w:szCs w:val="28"/>
          <w:rtl w:val="true"/>
          <w:lang w:bidi="ar-SA"/>
        </w:rPr>
        <w:t>فيكون إشارة إلى صلاة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تدخلون في وقت الظهيرة، وقد يكون إشارة إلى صلاة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وفي العشيّ‌، وإنّما عدل من الفعل إلى الاسم لأنّه لم يُبنَ منه فعل من باب الإفعال بخلاف المساء والصباح والظهيرة حيث بني منها الإمساء والإصباح والإظهار بمعنى الدخول في المساء والصباح والظهيرة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المغرب إلى العتمة، وأنشد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هيفاء عجزاء خريد بالعشيّ تضحك عن ذي أُشُر عذبٍ نقيّ‌</w:t>
      </w:r>
    </w:p>
    <w:p>
      <w:pPr>
        <w:pStyle w:val="BookText"/>
        <w:rPr/>
      </w:pPr>
      <w:r>
        <w:rPr>
          <w:rFonts w:ascii="Amiri" w:hAnsi="Amiri" w:eastAsia="Amiri" w:cs="Amiri"/>
          <w:color w:val="111111"/>
          <w:sz w:val="28"/>
          <w:sz w:val="28"/>
          <w:szCs w:val="28"/>
          <w:rtl w:val="true"/>
          <w:lang w:bidi="ar-SA"/>
        </w:rPr>
        <w:t>والمراد بالعشيّ هنا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سمّى الليل عشيّاً لمكان العشاء الّذي هو الظلمة، وإما أن يكون وضع العشيّ موضع الليل لقُربه منه، من حيث كان العشيّ آخر النهار، وآخر النهار متصل بالليل</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ومن هنا نقول إن الآية تشير إلى صلاتي المغرب والعشاء، لا إلى صلاة العصر، كما ذهب بعضهم، لأنّها لا تناسب وقت العشيّ الّذي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حجةٌ لمن يجعل الوجوب بأوّل الوقت لتقييد الوجوب بالحينية المختصة بحال الدخول في المساء والصباح والظهيرة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 إن الآية إشارة إلى أوّل الوقت ودخوله لا لتقييده</w:t>
      </w:r>
    </w:p>
    <w:p>
      <w:pPr>
        <w:pStyle w:val="BookText"/>
        <w:rPr/>
      </w:pPr>
      <w:r>
        <w:rPr>
          <w:rFonts w:ascii="Amiri" w:hAnsi="Amiri" w:eastAsia="Amiri" w:cs="Amiri"/>
          <w:color w:val="111111"/>
          <w:sz w:val="28"/>
          <w:sz w:val="28"/>
          <w:szCs w:val="28"/>
          <w:rtl w:val="true"/>
          <w:lang w:bidi="ar-SA"/>
        </w:rPr>
        <w:t>بأوّل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التوضيح عند الفراغ من دراسة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إلى أن ظاهر الآية، هو تفريق الصلوات في الأوقات الثلاثة، كما أن ظاهر آية الدلوك، وآية طرفي النهار، الإتيان بها في تمام أجزاء الوقت، والتوفيق بينهما بحمل الأوليين على أوقات الإجزاء، والأخيرة على وقت الفضيلة، كل ذلك بفضل الروايات المتواترة كما ستوافيك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طُلُوعِ الشَّمْسِ وَ قَبْلَ غُرُوبِها وَ مِنْ آناءِ اللَّيْلِ فَسَبِّحْ وَ أَطْرافَ النَّهارِ لَعَلَّكَ تَرْضى‌</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من أنك ساحر أو شاعر فإنّه لا يضرّك، وأقبِلْ على ما ينفعك فعله وهو ذكر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أي سبِّح حامداً ربّك، في فترات من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الآية من التسبيح مطلق لا دلالة فيها من جهة اللفظ على أن المراد به الصلوات الخمس،</w:t>
      </w:r>
      <w:r>
        <w:rPr>
          <w:rStyle w:val="FootnoteAnchor"/>
          <w:rtl w:val="true"/>
        </w:rPr>
        <w:footnoteReference w:id="610"/>
      </w:r>
      <w:r>
        <w:rPr>
          <w:rFonts w:ascii="Amiri" w:hAnsi="Amiri" w:eastAsia="Amiri" w:cs="Amiri"/>
          <w:color w:val="111111"/>
          <w:sz w:val="28"/>
          <w:sz w:val="28"/>
          <w:szCs w:val="28"/>
          <w:rtl w:val="true"/>
          <w:lang w:bidi="ar-SA"/>
        </w:rPr>
        <w:t>ولكن بعض المفسرين ذهب إليه، وعلى فرض صحة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على خلاف الآيات السابقة تتضمن آخر أوقات بعض الصلوات الخمس، وإليك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نهاية وقت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نهاية وقت صلاتي الظهر والعصر، لكونهما في النصف الأخير من النهار، كما أن الفجر في النصف الأوّل</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آناءِ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العشاءين، وآناء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وفيه تنبيه على أن ابتداء وقت العشاءين من أوّل الليل، وقدّم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 بفعلها ليلاً، لعدم شغل النفس حينئذٍ، بخلاف ما سبق حيث قدّم الفعل فيه على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بعضهم بصلاتي المغرب والفجر، والتكرار لأجل الاختصاص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وهو غير جيد لأن طرفي الشيء من نفس الشيء لا خارج عنه، وصلاة المغرب تقع في الليل، فكيف تكون في النهار؟</w:t>
      </w:r>
    </w:p>
    <w:p>
      <w:pPr>
        <w:pStyle w:val="BookText"/>
        <w:rPr/>
      </w:pPr>
      <w:r>
        <w:rPr>
          <w:rFonts w:ascii="Amiri" w:hAnsi="Amiri" w:eastAsia="Amiri" w:cs="Amiri"/>
          <w:color w:val="111111"/>
          <w:sz w:val="28"/>
          <w:sz w:val="28"/>
          <w:szCs w:val="28"/>
          <w:rtl w:val="true"/>
          <w:lang w:bidi="ar-SA"/>
        </w:rPr>
        <w:t>وعن قتادة أنّه إشارة إلى صلاة الظهر</w:t>
      </w:r>
      <w:r>
        <w:rPr>
          <w:rStyle w:val="FootnoteAnchor"/>
          <w:rtl w:val="true"/>
        </w:rPr>
        <w:footnoteReference w:id="613"/>
      </w:r>
      <w:r>
        <w:rPr>
          <w:rFonts w:ascii="Amiri" w:hAnsi="Amiri" w:eastAsia="Amiri" w:cs="Amiri"/>
          <w:color w:val="111111"/>
          <w:sz w:val="28"/>
          <w:sz w:val="28"/>
          <w:szCs w:val="28"/>
          <w:rtl w:val="true"/>
          <w:lang w:bidi="ar-SA"/>
        </w:rPr>
        <w:t xml:space="preserve">، وقد ذكروا في معنى كونها في أطراف النهار مع أنها في منتصفه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 وصفه السيد الطباطبائي بأنّه متعسف وبعيد عن الفهم، وأنّ الذوق السليم يأبى أن يسمّي وسط النهار أطراف النهار بفروض واعتبارات وهمية، فراجع تفسيره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والظاهر أن أطراف النهار كناية عن ذكر اللّه في كل آنٍ وحال،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بأطراف النهار أوّله وآخره بالنظر إلى كونهما وقتين ذوَي سعة، لكل منهما أجزاء، كل جزء منها طرف بالنسبة إلى وسط النهار</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نص صريح على سعة وقت الصبح إلى طلوع الشمس، والظهرين إلى غروبها، لأنّه سبحانه ذكر أواخر أوقاتها، وعلى هذا فوقت صلاة</w:t>
      </w:r>
      <w:bookmarkStart w:id="588" w:name="pg16780_177211"/>
    </w:p>
    <w:p>
      <w:pPr>
        <w:pStyle w:val="BookText"/>
        <w:rPr/>
      </w:pPr>
      <w:bookmarkEnd w:id="588"/>
      <w:r>
        <w:rPr>
          <w:rFonts w:ascii="Amiri" w:hAnsi="Amiri" w:eastAsia="Amiri" w:cs="Amiri"/>
          <w:color w:val="111111"/>
          <w:sz w:val="28"/>
          <w:sz w:val="28"/>
          <w:szCs w:val="28"/>
          <w:rtl w:val="true"/>
          <w:lang w:bidi="ar-SA"/>
        </w:rPr>
        <w:t>الصبح يمتد إلى طلوع الشمس، ووقت الظهرين يمتد إلى غروبها، كما أن وقت العشاءين باق مادام يصدق آناء الليل وساعاته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الآية يدلّ على سعة الوقت في هذه الصلوات وهو حجّة للفقيه ما لم يدل دليل على التضييق والتحديد في السنّة المطهرة وأحاديث العترة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رَبِّكَ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حامداً ربّك قبل الطلوع وقبل الغروب ولو حُمل التسبيح على ظاهره تُحمل الآية على استحبابه في هذه الفترات، ولو حُمل على الصلاة فالصلاة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دلالة واضحة على سعة أوقات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الركعتان بعد المغرب، وقد روي ذلك عن عليّ عليه السلام، والحسن عليه السلام، وابن عباس، ومجاهد، وإبراهيم النخعيّ‌، وغيرهم</w:t>
      </w:r>
      <w:r>
        <w:rPr>
          <w:rFonts w:eastAsia="Amiri" w:cs="Amiri" w:ascii="Amiri" w:hAnsi="Amiri"/>
          <w:color w:val="111111"/>
          <w:sz w:val="28"/>
          <w:szCs w:val="28"/>
          <w:rtl w:val="true"/>
          <w:lang w:bidi="ar-SA"/>
        </w:rPr>
        <w:t>.</w:t>
      </w:r>
      <w:r>
        <w:rPr>
          <w:rStyle w:val="FootnoteAnchor"/>
          <w:rtl w:val="true"/>
        </w:rPr>
        <w:footnoteReference w:id="618"/>
      </w:r>
    </w:p>
    <w:p>
      <w:pPr>
        <w:pStyle w:val="Heading5"/>
        <w:numPr>
          <w:ilvl w:val="4"/>
          <w:numId w:val="1"/>
        </w:numPr>
        <w:rPr/>
      </w:pPr>
      <w:bookmarkStart w:id="589" w:name="__RefHeading___Toc7189897_73709187"/>
      <w:bookmarkStart w:id="590" w:name="_Toc222"/>
      <w:bookmarkEnd w:id="589"/>
      <w:r>
        <w:rPr>
          <w:rtl w:val="true"/>
        </w:rPr>
        <w:t>حصيلة البحث حول الآيات</w:t>
      </w:r>
      <w:bookmarkEnd w:id="59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الصائب في استنباط الحكم الشرعي عن الأدلة الشرعية هو النظرة الفاحصة إلى القرآن الكريم والإمعان في مفاد الآيات الّتي نزلت حول الموضوع، وهذا لا يعني الاقتصار على الكتاب والاستغناء عن السنّة المبيِّنة لمجمَلات</w:t>
      </w:r>
    </w:p>
    <w:p>
      <w:pPr>
        <w:pStyle w:val="BookText"/>
        <w:rPr/>
      </w:pPr>
      <w:r>
        <w:rPr>
          <w:rFonts w:ascii="Amiri" w:hAnsi="Amiri" w:eastAsia="Amiri" w:cs="Amiri"/>
          <w:color w:val="111111"/>
          <w:sz w:val="28"/>
          <w:sz w:val="28"/>
          <w:szCs w:val="28"/>
          <w:rtl w:val="true"/>
          <w:lang w:bidi="ar-SA"/>
        </w:rPr>
        <w:t>الكتاب، المقيِّدة لإطلاقاته، والمخصِّصة لعموماته، فإن هذا هو مسلك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فالسنّة المطهرة مبينة لما ورد في الذكر الحكيم على النحو المذكور، ومع ذلك كله فظاهر القرآن من إطلاق أو عموم حجة على الفقيه، ما لم يكن في السنّة شيء يحدده ويضيقه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ذلك، فقد عرفت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يدل بظاهره على أنّ الوقت المحدد بالدلوك إلى الغسق، هو وقت للصلوات الواجبة فيه، فكل جزءٍ منه صالح لصلاتي الظهر والعصر، فللمصلي أن يفرّق بينهما، كما أن له أن يجمع بينهما، لصدق إقامة الصلاة بين الدلوك والغسق على الجمع والتفريق، فلا ترفع اليد عن هذا الظهور إلّا بمقدار ما دل على التحديد والتضييق، كما سيوافيك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الآية الثانية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يدل على أن طرفي النهار وقت لكل من صلوات الفجر والظهر والعصر، وعلى هذا فكل جزء من الطرف الثاني للنهار وقت للظهرين، فمن فرق أو جمع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صلاته صحيحة، وهذا الظهور حجة ما لم يدل دليل على الخلاف</w:t>
      </w:r>
      <w:r>
        <w:rPr>
          <w:rFonts w:eastAsia="Amiri" w:cs="Amiri" w:ascii="Amiri" w:hAnsi="Amiri"/>
          <w:color w:val="111111"/>
          <w:sz w:val="28"/>
          <w:szCs w:val="28"/>
          <w:rtl w:val="true"/>
          <w:lang w:bidi="ar-SA"/>
        </w:rPr>
        <w:t>.</w:t>
      </w:r>
      <w:bookmarkStart w:id="591" w:name="pg16780_177213"/>
    </w:p>
    <w:p>
      <w:pPr>
        <w:pStyle w:val="BookText"/>
        <w:rPr/>
      </w:pPr>
      <w:bookmarkEnd w:id="591"/>
      <w:r>
        <w:rPr>
          <w:rFonts w:ascii="Amiri" w:hAnsi="Amiri" w:eastAsia="Amiri" w:cs="Amiri"/>
          <w:color w:val="111111"/>
          <w:sz w:val="28"/>
          <w:sz w:val="28"/>
          <w:szCs w:val="28"/>
          <w:rtl w:val="true"/>
          <w:lang w:bidi="ar-SA"/>
        </w:rPr>
        <w:t>والآية الثالثة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في المساء أي وقت صلاة العصر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في الظهر، فعلى هذا فالآية تدل على التفريق أي الإتيان بالصلاة الأُولى في الظهر، والأُخرى في العصر، ودلالة الآية على التفريق حجة ما لم يكن هناك دليل على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الرابعة والخامسة فقد مرّ أن الآيتين في مقام بيان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ممّا ذكرنا أن في الآيتين الأوليين دلالة على الجمع بين الصلاتين أو الصلوات، وفي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تفسيرها بالصلوات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التفريق، وقد مرّ التوفيق بين الآيات، بقي الكلام فيما ورد في السنة النبوية أو ما روي عن أئمة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7189899_73709187"/>
      <w:bookmarkStart w:id="593" w:name="_Toc223"/>
      <w:bookmarkEnd w:id="592"/>
      <w:r>
        <w:rPr/>
        <w:t>4</w:t>
      </w:r>
      <w:r>
        <w:rPr>
          <w:rtl w:val="true"/>
        </w:rPr>
        <w:t xml:space="preserve"> </w:t>
      </w:r>
      <w:r>
        <w:rPr>
          <w:rtl w:val="true"/>
        </w:rPr>
        <w:t>أوقات الفضيلة للصلوات الخمس</w:t>
      </w:r>
      <w:bookmarkEnd w:id="593"/>
    </w:p>
    <w:p>
      <w:pPr>
        <w:pStyle w:val="Heading5"/>
        <w:numPr>
          <w:ilvl w:val="4"/>
          <w:numId w:val="1"/>
        </w:numPr>
        <w:rPr/>
      </w:pPr>
      <w:bookmarkStart w:id="594" w:name="__RefHeading___Toc7189901_73709187"/>
      <w:bookmarkStart w:id="595" w:name="_Toc224"/>
      <w:bookmarkEnd w:id="594"/>
      <w:r>
        <w:rPr>
          <w:rtl w:val="true"/>
        </w:rPr>
        <w:t>اشارة</w:t>
      </w:r>
      <w:bookmarkEnd w:id="59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في السنّة المطهرة وأحاديث أئمة أهل البيت عليهم السلام مواقيت خاصة لكل من الصلوات الخمس، وهذا ممّا لا ريب فيه، وإنّما الكلام في كونها أوقات للفضيلة، بحيث يجوز العدول عن وقت إلى وقت آخر، أو تحديد للجواز، بمعنى عدم جواز إقامتها في غير ذلك الوقت، فلنذكر هنا ما ورد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نقوم بإيضاحها في الفصل التالي</w:t>
      </w:r>
      <w:r>
        <w:rPr>
          <w:rFonts w:eastAsia="Amiri" w:cs="Amiri" w:ascii="Amiri" w:hAnsi="Amiri"/>
          <w:color w:val="111111"/>
          <w:sz w:val="28"/>
          <w:szCs w:val="28"/>
          <w:rtl w:val="true"/>
          <w:lang w:bidi="ar-SA"/>
        </w:rPr>
        <w:t>:</w:t>
      </w:r>
      <w:bookmarkStart w:id="596" w:name="pg16780_177214"/>
    </w:p>
    <w:p>
      <w:pPr>
        <w:pStyle w:val="BookText"/>
        <w:rPr/>
      </w:pPr>
      <w:bookmarkEnd w:id="596"/>
      <w:r>
        <w:rPr>
          <w:rFonts w:ascii="Amiri" w:hAnsi="Amiri" w:eastAsia="Amiri" w:cs="Amiri"/>
          <w:color w:val="111111"/>
          <w:sz w:val="28"/>
          <w:sz w:val="28"/>
          <w:szCs w:val="28"/>
          <w:rtl w:val="true"/>
          <w:lang w:bidi="ar-SA"/>
        </w:rPr>
        <w:t>أخرج مسلم، عن بريدة، عن أبيه،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وقت الصلاة،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معنا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اليومين فلما زالت الشمس أمر بلالاً فأذّن، ثم أمره فأقام الظهر، ثم أمره فأقام العصر والشمس مرتفعة بيضاء نقية، ثم أمره فأقام المغرب حين غابت الشمس، ثم أمره فأقام العشاء حين غاب الشفق، ثم أمره فأقام الفجر حين طلع الفجر</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وأخرج أيضاً عن عبداللّه بن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عن وقت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الفجر ما لم يطلع قرن الشمس الأوّل، ووقت صلاة الظهر إذا زالت الشمس عن بطن السماء ما لم يحضر العصر، ووقت صلاة العصر ما لم تصفرّ الشمس، ويسقط قرنها الأوّل، ووقت صلاة المغرب إذا غابت الشمس ما لم يسقط الشفق، ووقت صلاة العشاء إلى نصف الليل</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ما جاء في هذه الروايات ونظائرها حق لا ريب فيه، ولا ينكره فقيه إمامي، وقد تضافر عن أئمة أهل البيت عليهم السلام ما يقرب من مضامين هاتين الروايتين، فقد حدّدوا أوّل وقت فريضة الظهر وأوّل وقت فريضة العصر، تارة بصيرورة الظل قامة وقامتين، وأُخرى بصيرورته ذراعاً وذراعين، وثالثة بصيرورته قدماً وقدمين، ومرجع الجميع واحد كما سيوافيك عن قريب، ونذكر لكل عنوان من العناوين الثلاثة روايتين، فإنّ نقل الكل لا يناسب وضع الرسالة</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7189903_73709187"/>
      <w:bookmarkStart w:id="598" w:name="_Toc225"/>
      <w:bookmarkEnd w:id="597"/>
      <w:r>
        <w:rPr>
          <w:rtl w:val="true"/>
        </w:rPr>
        <w:t>القامة والقامتان</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التهذيب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وقت الظهر زوال الشمس، وآخر وقتها</w:t>
      </w:r>
      <w:bookmarkStart w:id="599" w:name="pg16780_177215"/>
    </w:p>
    <w:p>
      <w:pPr>
        <w:pStyle w:val="BookText"/>
        <w:rPr/>
      </w:pPr>
      <w:bookmarkEnd w:id="599"/>
      <w:r>
        <w:rPr>
          <w:rFonts w:ascii="Amiri" w:hAnsi="Amiri" w:eastAsia="Amiri" w:cs="Amiri"/>
          <w:color w:val="111111"/>
          <w:sz w:val="28"/>
          <w:sz w:val="28"/>
          <w:szCs w:val="28"/>
          <w:rtl w:val="true"/>
          <w:lang w:bidi="ar-SA"/>
        </w:rPr>
        <w:t>قامة من الزوال، وأوّل وقت العصر قامة، وآخر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وقت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إذا زاغت الشمس إلى أن يذهب الظل قامة، ووقت العصر قامة ونصف إلى قامتين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0" w:name="__RefHeading___Toc7189905_73709187"/>
      <w:bookmarkStart w:id="601" w:name="_Toc226"/>
      <w:bookmarkEnd w:id="600"/>
      <w:r>
        <w:rPr>
          <w:rtl w:val="true"/>
        </w:rPr>
        <w:t>الذراع والذراعان</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بسنده عن أبي عبداللّه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حائط مسجد رسول اللّه صلى الله عليه و آله و سلم قبل أن يظلل قامة، وكان إذا كان الفيء ذراعاً وهو قدر مربض عنز صلّى الظهر، فإذا كان ضعف ذلك صلى العصر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بإسناده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كان فيء الجدار ذراعاً صلى الظهر، وإذا كان ذراعين صلى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2" w:name="__RefHeading___Toc7189907_73709187"/>
      <w:bookmarkStart w:id="603" w:name="_Toc227"/>
      <w:bookmarkEnd w:id="602"/>
      <w:r>
        <w:rPr>
          <w:rtl w:val="true"/>
        </w:rPr>
        <w:t>القدم والقدمان</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ذريح المحاربي عن أبي عبداللّه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أُناس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نصلّي الأُولى إذا كانت على قدمين، والعصر على أربع أقدام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أَحبّ إليّ‌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عن أوقات الصلاة،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فصلّ سُبحتك، وأُحبّ أن يكون فراغك من الفريضة والشمس على قدمين، ثم صلّ سُبحتك، وأُحبّ أن يكون فراغك من العصر والشمس على أربعة أقدام، فإنْ عجّل بك أمر فابدأ بالفريضتين، واقضِ بعدهما النوافل، فإذا طلع الفجر فصلّ الفريضة، ثم اقضِ بعد 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يكون فراغك من الفريضة، والشمس على 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يؤخر عنهما لفوات وقت الفضيلة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عناوين ثلاثة لدخول وقت الظهر والعصر، وربّما يتبادر إلى الذهن وجود التنافي بينها، إذ كيف يمكن أن يكون الظل على قامة وفي الوقت نفسه على قدم وذراع‌؟</w:t>
      </w:r>
    </w:p>
    <w:p>
      <w:pPr>
        <w:pStyle w:val="BookText"/>
        <w:rPr/>
      </w:pPr>
      <w:r>
        <w:rPr>
          <w:rFonts w:ascii="Amiri" w:hAnsi="Amiri" w:eastAsia="Amiri" w:cs="Amiri"/>
          <w:color w:val="111111"/>
          <w:sz w:val="28"/>
          <w:sz w:val="28"/>
          <w:szCs w:val="28"/>
          <w:rtl w:val="true"/>
          <w:lang w:bidi="ar-SA"/>
        </w:rPr>
        <w:t>ويرتفع التوهم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تحديدها بالقامة لا يُراد منه قامة الشخص، وإنّما المراد ظل القامة عند الزوال، وهو يختلف بحسب الزمان والمكان فيزيد وينقص، وإنّما تطلق عليه القامة في زمان يكون مقداره ذراعاً، فإذا زاد الفيء بعد الزوال ذراعاً حتّى صار مساوياً للظل فهو أوّل وقت فضيلة الظهر، وإذا زاد ذراعين فهو أوّل وقت فضيلة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السنة المطهرة المروية عن طريق أهل السنة، قريب ممّا روي عن أهل البيت عليهم السلام في أوقات الظهرين، والاختلاف الجزئي في الزيادة والنقصان لا يضرّ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المروي عن النبي صلى الله عليه و آله و سلم والعترة نفس ما تقدم كان التفريق أمراً إلزامياً، والجمع بدعة غير مجزئ، لاستلزامه وقوع إحدى الصلاتين في غير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روايات متواترة تدل على أن التحديد المذكور في الظهرين والعشاءين، تحديد لوقت الفضيلة دون وقت الإجزاء، وأنّ بين الزوال والعصر وقت مشترك للظهرين يجزئ الصلاة فيه مطلقاً مختاراً كان أو مضطراً، سوى أربع ركعات من الزوال وأربع ركعات قبل الغروب، إذ هما وقت اختصاصي لكل من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أغفله الكاتب، مقتصراً على ذكر الروايات الّتي تؤيد مدّعاه من أن لكلِّ صلاة وقتاً، وأنّ الصلاة في غير ذلك الوقت لا تُجزئ، فوقت صلاة الظهر كون الظل مثلاً، والعصر مثلين، وهذا تعتيم على الحقيقة وكتمان لها، وهو مصداق واضح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تحقيق الحق وإماطة اللثام عن وجه الحقيقة يقتضي الإشارة إلى صور الجمع بين الصلاتين، فإن للجمع صوراً مختلفة اتفقت كلمة الجمهور في قسم منها، واختلفت في قسم آخر، ولكن الضالّة المنشودة في المقام، هي دراسة الجمع بين الصلاتين في الحضر جمعاً حقيقياً بلاعذر ولا حرج شخصي، وقد شرّعه النبي صلى الله عليه و آله و سلم بفعله وعمله، كتعبيرٍ عن سماحة الشريعة ومرونتها وتجاوبها مع متطلّبات العصور واختلاف الظروف، وهذا هو رمز الخاتمية وشارتها، فلندرس أقسام الجمع في الفصل التالي</w:t>
      </w:r>
      <w:r>
        <w:rPr>
          <w:rFonts w:eastAsia="Amiri" w:cs="Amiri" w:ascii="Amiri" w:hAnsi="Amiri"/>
          <w:color w:val="111111"/>
          <w:sz w:val="28"/>
          <w:szCs w:val="28"/>
          <w:rtl w:val="true"/>
          <w:lang w:bidi="ar-SA"/>
        </w:rPr>
        <w:t>:</w:t>
      </w:r>
      <w:bookmarkStart w:id="604" w:name="pg16780_177218"/>
    </w:p>
    <w:p>
      <w:pPr>
        <w:pStyle w:val="Heading4"/>
        <w:numPr>
          <w:ilvl w:val="3"/>
          <w:numId w:val="1"/>
        </w:numPr>
        <w:rPr/>
      </w:pPr>
      <w:bookmarkStart w:id="605" w:name="__RefHeading___Toc7189909_73709187"/>
      <w:bookmarkStart w:id="606" w:name="_Toc228"/>
      <w:bookmarkEnd w:id="604"/>
      <w:bookmarkEnd w:id="605"/>
      <w:r>
        <w:rPr/>
        <w:t>5</w:t>
      </w:r>
      <w:r>
        <w:rPr>
          <w:rtl w:val="true"/>
        </w:rPr>
        <w:t xml:space="preserve"> </w:t>
      </w:r>
      <w:r>
        <w:rPr>
          <w:rtl w:val="true"/>
        </w:rPr>
        <w:t>الجمع بين الصلاتين في عرفة والمزدلفة والسفر</w:t>
      </w:r>
      <w:bookmarkEnd w:id="606"/>
    </w:p>
    <w:p>
      <w:pPr>
        <w:pStyle w:val="Heading5"/>
        <w:numPr>
          <w:ilvl w:val="4"/>
          <w:numId w:val="1"/>
        </w:numPr>
        <w:rPr/>
      </w:pPr>
      <w:bookmarkStart w:id="607" w:name="__RefHeading___Toc7189911_73709187"/>
      <w:bookmarkStart w:id="608" w:name="_Toc229"/>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اعلم أن للجمع صوراً مختلفة اتّفقت كلمة الفقهاء في بعضها، واختلفت في البعض الآخر، وإليك صورها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الحاج بين الصلاتين في عرفة، والمزدلفة، فيصلي العصر في وقت الظهر في عرفة، ويصلي المغرب في وقت العشاء بالمزدلفة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السفر، تارة يقدم العصر أو العشاء، وأُخرى يؤخّرهما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لأجل الأعذار كالمطر والبرد والوحل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في هذه الصور جمع حقيقي لا صوري، ولا يتفوّه به من له إلمام بالفقه وتاريخه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الحضر اختياراً بلا عذر وهذا هو بيت القصيد في رسالة الكاتب ورسالتنا هذه، فالإمامية تبعاً للذكر الحكيم والسنّة النبوية المتضافرة بل المتواترة وتبعاً لما ورد عن أئمة أهل البيت عليهم السلام، على الجواز، ووافقهم لفيف من فقهاء أهل السنة، وإن كان المشهور عندهم عدم الجواز، وإليك دراسة الصور</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7189913_73709187"/>
      <w:bookmarkStart w:id="610" w:name="_Toc230"/>
      <w:bookmarkEnd w:id="609"/>
      <w:r>
        <w:rPr/>
        <w:t>1</w:t>
      </w:r>
      <w:r>
        <w:rPr>
          <w:rtl w:val="true"/>
        </w:rPr>
        <w:t xml:space="preserve">. </w:t>
      </w:r>
      <w:r>
        <w:rPr>
          <w:rtl w:val="true"/>
        </w:rPr>
        <w:t>الجمع بين الصلاتين في عرفة والمزدلفة</w:t>
      </w:r>
      <w:bookmarkEnd w:id="6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جواز الجمع بين الصلاتين في المزدلفة وعرفة، بل</w:t>
      </w:r>
      <w:bookmarkStart w:id="611" w:name="pg16780_177219"/>
    </w:p>
    <w:p>
      <w:pPr>
        <w:pStyle w:val="BookText"/>
        <w:rPr/>
      </w:pPr>
      <w:bookmarkEnd w:id="611"/>
      <w:r>
        <w:rPr>
          <w:rFonts w:ascii="Amiri" w:hAnsi="Amiri" w:eastAsia="Amiri" w:cs="Amiri"/>
          <w:color w:val="111111"/>
          <w:sz w:val="28"/>
          <w:sz w:val="28"/>
          <w:szCs w:val="28"/>
          <w:rtl w:val="true"/>
          <w:lang w:bidi="ar-SA"/>
        </w:rPr>
        <w:t>اتّفقوا على رجحان الجمع من غير اختلاف بينهم،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الجمع بين الظهر والعصر في وقت الظهر بعرفة، وبين المغرب والعشاء بالمزدلفة أيضاً في وقت العشاء سنّة أيضاً، وإنّما اختلفوا في الجمع في غير هذين المكانين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ولم يكن الجمع فيه جمعاً صورياً بل جمعاً حقيقياً أي يصلي العصر في وقت الظهر بعرفة، كما يصلي المغرب في وقت العشاء بالمزدلفة، ولم يقل أحدٌ ان الجمع صوري، بل ربّما لا يتمكن من الجمع الصوري، كما في الصلاة بالمزدلفة، فإن الخروج من عرفة والنزول بالمزدلفة يستغرق وقت المغرب، فيزول الشفق، ويدخل وقت العشاء، كما هو المجرب لكل من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المسألة مورد اتّفاق نقتصر على ما ذكرنا</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7189915_73709187"/>
      <w:bookmarkStart w:id="613" w:name="_Toc231"/>
      <w:bookmarkEnd w:id="612"/>
      <w:r>
        <w:rPr/>
        <w:t>2</w:t>
      </w:r>
      <w:r>
        <w:rPr>
          <w:rtl w:val="true"/>
        </w:rPr>
        <w:t xml:space="preserve">. </w:t>
      </w:r>
      <w:r>
        <w:rPr>
          <w:rtl w:val="true"/>
        </w:rPr>
        <w:t>الجمع بين الصلاتين في السفر</w:t>
      </w:r>
      <w:bookmarkEnd w:id="613"/>
    </w:p>
    <w:p>
      <w:pPr>
        <w:pStyle w:val="BookText"/>
        <w:rPr/>
      </w:pPr>
      <w:r>
        <w:rPr>
          <w:rFonts w:ascii="Amiri" w:hAnsi="Amiri" w:eastAsia="Amiri" w:cs="Amiri"/>
          <w:color w:val="111111"/>
          <w:sz w:val="28"/>
          <w:sz w:val="28"/>
          <w:szCs w:val="28"/>
          <w:rtl w:val="true"/>
          <w:lang w:bidi="ar-SA"/>
        </w:rPr>
        <w:t xml:space="preserve">ذهب معظم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الحسن البصريّ وإبراهيم النخعي، وأبي حنيفة، وصاحبيه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الجمع بين الصلاتين في السفر، فيجوز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الظهر والعصر تقديماً في وقت الأُولى‌، وتأخيراً في وقت الثانية، وبين المغرب والعشاء تقديماً وتأخيراً أيضاً، ويسمى الجمع في وقت الصلاة الأُولى جمع التقديم، والجمع في وقت الصلاة الثانية جمع التأخير، ولا يكون الجمع صورياً بل حقيقياً، إما باقامة العصر بوقت الظهر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الجمع الحقيقي روايات عديدة نقتصر على نقل روايتين منها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في مسنده عن ابن عباس رضى الله عنه حديثه عن صلاة رسول</w:t>
      </w:r>
    </w:p>
    <w:p>
      <w:pPr>
        <w:pStyle w:val="BookText"/>
        <w:rPr/>
      </w:pPr>
      <w:r>
        <w:rPr>
          <w:rFonts w:ascii="Amiri" w:hAnsi="Amiri" w:eastAsia="Amiri" w:cs="Amiri"/>
          <w:color w:val="111111"/>
          <w:sz w:val="28"/>
          <w:sz w:val="28"/>
          <w:szCs w:val="28"/>
          <w:rtl w:val="true"/>
          <w:lang w:bidi="ar-SA"/>
        </w:rPr>
        <w:t>اللّه صلى الله عليه و آله و سلم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زاغت الشمس في منزله جمع بين الظهر والعصر قبل أن يركب، فاذا لم تزغ له في منزله، سار حتّى إذا حانت العصر نزل فجمع بين الظهر والعصر، وإذا حانت له المغرب في منزله جمع بينها وبين العشاء، وإذا لم تَحِن في منزله ركب حتّى إذا كانت العشاء نزل فجمع بينهما</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قال الشوكاني بعد نقل هذه الرواية عن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الشافعي في مسنده بنحوه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سار قبل أن تزول الشمس أخّر الظهر، حتّى يجمع بينها وبين العصر في وقت العصر</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وأخرج أحمد، وأبو داود، والترمذي بإسنادهم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في غزوة تبوك إذا ارتحل قبل أن تزيغ الشمس أخّر الظهر حتى يجمَعَها إلى العصر فيصلّيهما جميعاً، وإذا ارتحل بعد زيغ الشمس صلّى الظهر والعصر جميعاً ثم سار، وكان إذا ارتحل قبل المغرب أخّر المغرب حتّى يصلّيها مع العشاء، وإذا ارتحل بعد المغرب عجّل العشاء فصلاها مع المغرب</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والروايتان واضحتا الدلالة على أن الجمع بين الصلاتين تقديماً أو تأخيراً كان جمعاً حقيقياً، لا صورياً كما يُزعم بأن يؤخّر الظهر إلى آخر وقت فيصلّيها، ثم يقدّم العصر إلى أوّل وقتها فيصلّيها، أو يؤخّر المغرب إلى آخر وقتها، ويعجّل العشاء في أوّل وقتها، والمتبادر إلى الفهم من لفظ الجمع، هو الجمع في وقت إحدى الصلاتين، ويدلّ عليه صراحة القول الآنف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الظهر حتّى يجمع بينها وبين العصر في وقت العصر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القول بأن الجمع كان صورياً، قول متعسّف، بل هو محاولة</w:t>
      </w:r>
      <w:bookmarkStart w:id="614" w:name="pg16780_177221"/>
    </w:p>
    <w:p>
      <w:pPr>
        <w:pStyle w:val="BookText"/>
        <w:rPr/>
      </w:pPr>
      <w:bookmarkEnd w:id="614"/>
      <w:r>
        <w:rPr>
          <w:rFonts w:ascii="Amiri" w:hAnsi="Amiri" w:eastAsia="Amiri" w:cs="Amiri"/>
          <w:color w:val="111111"/>
          <w:sz w:val="28"/>
          <w:sz w:val="28"/>
          <w:szCs w:val="28"/>
          <w:rtl w:val="true"/>
          <w:lang w:bidi="ar-SA"/>
        </w:rPr>
        <w:t>بائسة لليّ النصوص الواضحة في هذا الباب، وإخضاعها للرأي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المسألة خارجة عن موضوع الرسالة، ففيما ذكرناه كفاية لمن ينشد الحقّ‌</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7189917_73709187"/>
      <w:bookmarkStart w:id="616" w:name="_Toc232"/>
      <w:bookmarkEnd w:id="615"/>
      <w:r>
        <w:rPr/>
        <w:t>3</w:t>
      </w:r>
      <w:r>
        <w:rPr>
          <w:rtl w:val="true"/>
        </w:rPr>
        <w:t xml:space="preserve">. </w:t>
      </w:r>
      <w:r>
        <w:rPr>
          <w:rtl w:val="true"/>
        </w:rPr>
        <w:t>الجمع بين الصلاتين في الحضر لأجل العذر</w:t>
      </w:r>
      <w:bookmarkEnd w:id="616"/>
    </w:p>
    <w:p>
      <w:pPr>
        <w:pStyle w:val="BookText"/>
        <w:rPr/>
      </w:pPr>
      <w:r>
        <w:rPr>
          <w:rFonts w:ascii="Amiri" w:hAnsi="Amiri" w:eastAsia="Amiri" w:cs="Amiri"/>
          <w:color w:val="111111"/>
          <w:sz w:val="28"/>
          <w:sz w:val="28"/>
          <w:szCs w:val="28"/>
          <w:rtl w:val="true"/>
          <w:lang w:bidi="ar-SA"/>
        </w:rPr>
        <w:t>المشهور عند الجمهور هو جواز الجمع بين المغرب والعشاء لعذر، خلافاً للحنفية حيث لم يجوزوا الجمع مطلقاً إلّافي الحج، وأصل الحكم مورد اتّفاق، وإنّما الاختلاف في الأُمور الجانبية، وبما أن المسألة خارجة عن موضوع البحث، فلا نطيل الكلام فيها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7189919_73709187"/>
      <w:bookmarkStart w:id="618" w:name="_Toc233"/>
      <w:bookmarkEnd w:id="617"/>
      <w:r>
        <w:rPr/>
        <w:t>6</w:t>
      </w:r>
      <w:r>
        <w:rPr>
          <w:rtl w:val="true"/>
        </w:rPr>
        <w:t xml:space="preserve"> </w:t>
      </w:r>
      <w:r>
        <w:rPr>
          <w:rtl w:val="true"/>
        </w:rPr>
        <w:t>الجمع بين الصلاتين في الحضر اختياراً</w:t>
      </w:r>
      <w:bookmarkEnd w:id="618"/>
    </w:p>
    <w:p>
      <w:pPr>
        <w:pStyle w:val="Heading5"/>
        <w:numPr>
          <w:ilvl w:val="4"/>
          <w:numId w:val="1"/>
        </w:numPr>
        <w:rPr/>
      </w:pPr>
      <w:bookmarkStart w:id="619" w:name="__RefHeading___Toc7189921_73709187"/>
      <w:bookmarkStart w:id="620" w:name="_Toc234"/>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قد عرفت حكم الجمع في الصور الثلاث المتقدمة، وإن كان الجميع خارجاً عن هدف الرسالة، إنّما المهم دراسة حكم الجمع بين الصلاتين في الحضر اختياراً بلا عذر ولا علّة، والغاية من تشريع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تسهيل الأمر على الأُمّة، بمعنى أن المصلحة النوعية سبّبت تشريع الجمع بين الصلاتين لعامة الأفراد، وإن لم يكن حرجيّاً بالنسبة إلى بعضهم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نورد ما روي عن النبي الأكرم صلى الله عليه و آله و سلم في هذا الفصل، وما روي عن أئمة أهل البيت عليهم السلام 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ما روي عن النبي صلى الله عليه و آله و سلم في هذا المجال ضمن أصناف</w:t>
      </w:r>
      <w:r>
        <w:rPr>
          <w:rFonts w:eastAsia="Amiri" w:cs="Amiri" w:ascii="Amiri" w:hAnsi="Amiri"/>
          <w:color w:val="111111"/>
          <w:sz w:val="28"/>
          <w:szCs w:val="28"/>
          <w:rtl w:val="true"/>
          <w:lang w:bidi="ar-SA"/>
        </w:rPr>
        <w:t>:</w:t>
      </w:r>
      <w:bookmarkStart w:id="621" w:name="pg16780_177222"/>
    </w:p>
    <w:p>
      <w:pPr>
        <w:pStyle w:val="Heading5"/>
        <w:numPr>
          <w:ilvl w:val="4"/>
          <w:numId w:val="1"/>
        </w:numPr>
        <w:rPr/>
      </w:pPr>
      <w:bookmarkStart w:id="622" w:name="__RefHeading___Toc7189923_73709187"/>
      <w:bookmarkStart w:id="623" w:name="_Toc235"/>
      <w:bookmarkEnd w:id="621"/>
      <w:bookmarkEnd w:id="622"/>
      <w:r>
        <w:rPr/>
        <w:t>1</w:t>
      </w:r>
      <w:r>
        <w:rPr>
          <w:rtl w:val="true"/>
        </w:rPr>
        <w:t xml:space="preserve">. </w:t>
      </w:r>
      <w:r>
        <w:rPr>
          <w:rtl w:val="true"/>
        </w:rPr>
        <w:t>ما دلّ على الجمع معلّلاً بعدم إحراج الأُمة، أو للتوسعة عليها</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أبي الزبير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آله و سلم الظهر والعصر جميعاً بالمدينة في غير خوف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بين الظهر والعصر والمغرب والعشاء بالمدينة في غير خوف ولا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بين الظهر والعصر وبين المغرب والعشاء بالمدينة من غير خوف ولا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الترمذي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قد روي عنه من غير وجه، رواه جابر بن زيد وسعيد بن جبير وعبداللّه بن شقيق العقيلي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سعيد بن جبير، عن ابن عباس أن النبي صلى الله عليه و آله و سلم كان يصلّي بالمدينة يجمع بين الصلاتين بين الظهر والعصر، والمغرب والعشاء، من غير خوف ولا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على أُمته حَرَج</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زيد،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آله و سلم بين الظهر والعصر، والمغرب والعشاء بالمدينة، في غير خوف ولامطر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عبدالرزاق في مصنّفه،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بين الظهر والعصر بالمدينة، في غير سفر ولا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تراه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لايحرج أحداً من أُمّته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 الرزاق عن عمرو بن شعيب،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لنا رسول اللّه صلى الله عليه و آله و سلم مقيماً غير مسافر بين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ترى النبي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يحرج أُمّته إن جمع رجلٌ‌</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عبدالرزاق عن صالح مولى التوأمة أنّه سمع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آله و سلم بين الظهر والعصر، والمغرب والعشاء بالمدينة، من غير سفر ولا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تراه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للتوسعة على أُمّته</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في الأوسط والكبير بسنده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ذلك لئلّا تُحرجَ أُمتي</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الطحاوي بسنده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بين الظهر العصر، والمغرب والعشاء في المدينة للرخص، من غير خوف ولا علّة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عن صالح مولى التوأمة،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بين الظهر والعصر، والمغرب والعشاء، في غير مطرٍ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أراد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على أُمّته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وهذه الروايات تتضمن بيان فلسفة تشريع الجمع، ذلك أن النبي الأكرم صلى الله عليه و آله و سلم جسد بعمله هذا إحدى الخصائص العامة الّتي اتّسمت بها الشريعة الإسلامية، وهي المرونة والسعة، الّتي تتجلّى في قوله سبحانه في كتابه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فحياة الإنسان لا تجري على نمط واحد، وليست هي ثابتة، بل تتغير وتتطور، وظروف الحياة وملابساتها تختلف زماناً ومكاناً، والشريعة تواكب ذلك التغير والتطور، وتنسجم مع واقع الحياة وظروفها، من خلال شمولية تعاليمها وأحكامها، ومرونتها، ويأتي قيام النبي صلى الله عليه و آله و سلم بالجمع بين الصلوات من غير عذر، كتعبير عملي عن يُسر الشريعة ومرونتها، واستجابتها لمختلف الظروف، حيث شرِّع التفريق لئلا يُحرم المصلّي من فضل الصلاة وثوابها، والجمع لئلا يلحقه إثم ومغبة تركها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إلقاء نظرة على واقع الحياة اليوم وتعقيداتها، وما يعانيه العمال والموظفون من مصاعب في أماكن عملهم، وضيق الوقت الّذي يُمنح لهم للاستراحة، وقصر أوقات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البلدان أو في بعض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 متفرقة، كلّ ذلك وغيره يكشف لنا عن عظمة تشريع الجمع بين الصلاتين، أو التفريق بينهما، وإعطاء الرخصة للمصلّي في اختيار أحدهما</w:t>
      </w:r>
      <w:r>
        <w:rPr>
          <w:rFonts w:eastAsia="Amiri" w:cs="Amiri" w:ascii="Amiri" w:hAnsi="Amiri"/>
          <w:color w:val="111111"/>
          <w:sz w:val="28"/>
          <w:szCs w:val="28"/>
          <w:rtl w:val="true"/>
          <w:lang w:bidi="ar-SA"/>
        </w:rPr>
        <w:t>.</w:t>
      </w:r>
      <w:bookmarkStart w:id="624" w:name="pg16780_177225"/>
    </w:p>
    <w:p>
      <w:pPr>
        <w:pStyle w:val="Heading5"/>
        <w:numPr>
          <w:ilvl w:val="4"/>
          <w:numId w:val="1"/>
        </w:numPr>
        <w:rPr/>
      </w:pPr>
      <w:bookmarkStart w:id="625" w:name="__RefHeading___Toc7189925_73709187"/>
      <w:bookmarkStart w:id="626" w:name="_Toc236"/>
      <w:bookmarkEnd w:id="624"/>
      <w:bookmarkEnd w:id="625"/>
      <w:r>
        <w:rPr/>
        <w:t>2</w:t>
      </w:r>
      <w:r>
        <w:rPr>
          <w:rtl w:val="true"/>
        </w:rPr>
        <w:t xml:space="preserve">. </w:t>
      </w:r>
      <w:r>
        <w:rPr>
          <w:rtl w:val="true"/>
        </w:rPr>
        <w:t>ما دلّ على الجمع، من غير ذكر السّبب</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الظهر والعصر جميعاً، والمغرب والعشاء جميعاً، في غير خوف ولا سفر</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جابر بن زيد،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صلّى بالمدينة سبعاً وثمانياً الظهر والعصر، والمغرب والعشاء</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لفٌّ ونشرٌ غير مرتّب، والمرتب منه ثمانياً وسبعاً، فالثمانية للظهرين، والسبع للعشاءين، والمقصود أنّه جمع بين الصلاتين، وإلّا فيكون الكلام من قبيل توضيح الواضحات، إذ يعلم كل مسلم أن رسول اللّه صلى الله عليه و آله و سلم يصلي سبعاً وثمانياً وركعتين، ويفسره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آله و سلم سبعاً جميعاً وثمانياً جميعاً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وأبو أيوب وابن عباس رضي اللّه عنهم، صلّى النبيّ صلى الله عليه و آله و سلم المغرب والعشاء</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مالك، عن سعيد بن جبير، عن عبداللّه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الظهر والعصر جميعاً، والمغرب والعشاء جميعاً معاً، في غير خوف ولا سفر</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داود، عن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بالمدينة ثمانياً وسبعاً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صالح مولى التوأمة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مطر</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الظهر والعصر جميعاً، والمغرب والعشاء جميعاً، من غير خوف ولا سفر</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أبي الشعثاء،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وراء رسول اللّه صلى الله عليه و آله و سلم ثمانياً جميعاً، وسبعاً جميعاً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جابر بن زيد، عن ابن عباس أنّه صلّى بالبصرة الأُولى والعصر ليس بينهما شيء، والمغرب والعشاء ليس بينهما شيء، فعل ذلك من شغل، وزعم ابن عباس أنّه صلّى مع رسول اللّه صلى الله عليه و آله و سلم بالمدينة، الأُولى والعصر ثمان سجدات ليس بينهما شيء</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ثم إنّ قوله من شغلٍ يدلّ على أنّ الشغل كان لابن عباس دون المصلّين الحاضرين في المسجد، ومن المعلوم أنّ وجود الشغل يسمح للإمام أن يجمع لا للمصلّين، فلولا أنّ الجمع كان أمراً شرعياً لجمع ابن عباس وحده، وعيّن إماماً للمصلين للتفريق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الجمع لأجل الشغل يدلّ أنّه لم يكن التفريق عزيمة، وإلّا لما سقط</w:t>
      </w:r>
      <w:bookmarkStart w:id="627" w:name="pg16780_177227"/>
    </w:p>
    <w:p>
      <w:pPr>
        <w:pStyle w:val="BookText"/>
        <w:rPr/>
      </w:pPr>
      <w:bookmarkEnd w:id="627"/>
      <w:r>
        <w:rPr>
          <w:rFonts w:ascii="Amiri" w:hAnsi="Amiri" w:eastAsia="Amiri" w:cs="Amiri"/>
          <w:color w:val="111111"/>
          <w:sz w:val="28"/>
          <w:sz w:val="28"/>
          <w:szCs w:val="28"/>
          <w:rtl w:val="true"/>
          <w:lang w:bidi="ar-SA"/>
        </w:rPr>
        <w:t>وجوبه بوجود الشغل، اللهم إلّاأن يكون الشغل أمراً مهماً كصيانة الدماء والأعراض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الحافظ أبو نعيم الأصفهاني عن جابر بن زيد أنّ ابن عباس جمع بين الظهر والعصر، وزعم أنّه صلّى مع رسول اللّه صلى الله عليه و آله و سلم بالمدينة الظهر والعصر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نعيم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الشعثاء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ثماني ركعات جميعاً وسبع ركعات جميعاً، من غير مرض ولا علّة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البزار في مسنده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بين الصلاتين في المدينة من غير خوف</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عن 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جمع بين الظهر والعصر، والمغرب والعشاء، في السَّفَر والحَضَر</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في المدينة مقيماً غير مسافر سبعاً وثمانياً</w:t>
      </w:r>
      <w:r>
        <w:rPr>
          <w:rFonts w:eastAsia="Amiri" w:cs="Amiri" w:ascii="Amiri" w:hAnsi="Amiri"/>
          <w:color w:val="111111"/>
          <w:sz w:val="28"/>
          <w:szCs w:val="28"/>
          <w:rtl w:val="true"/>
          <w:lang w:bidi="ar-SA"/>
        </w:rPr>
        <w:t>.</w:t>
      </w:r>
      <w:r>
        <w:rPr>
          <w:rStyle w:val="FootnoteAnchor"/>
          <w:rtl w:val="true"/>
        </w:rPr>
        <w:footnoteReference w:id="656"/>
      </w:r>
    </w:p>
    <w:p>
      <w:pPr>
        <w:pStyle w:val="Heading5"/>
        <w:numPr>
          <w:ilvl w:val="4"/>
          <w:numId w:val="1"/>
        </w:numPr>
        <w:rPr/>
      </w:pPr>
      <w:bookmarkStart w:id="628" w:name="__RefHeading___Toc7189927_73709187"/>
      <w:bookmarkStart w:id="629" w:name="_Toc237"/>
      <w:bookmarkEnd w:id="628"/>
      <w:r>
        <w:rPr/>
        <w:t>3</w:t>
      </w:r>
      <w:r>
        <w:rPr>
          <w:rtl w:val="true"/>
        </w:rPr>
        <w:t xml:space="preserve">. </w:t>
      </w:r>
      <w:r>
        <w:rPr>
          <w:rtl w:val="true"/>
        </w:rPr>
        <w:t>ابن عباس يجمع بين الصلاتين، اقتداءً بسنّة النبيّ صلى الله عليه و آله و سلم</w:t>
      </w:r>
      <w:bookmarkEnd w:id="62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الروايات الّتي تحدثت عن قيام رسول اللّه صلى الله عليه و آله و سلم بالجمع بين الصلوات، وهناك روايات تحكي أنّ ابن عباس كان يلقي ذات مساء</w:t>
      </w:r>
    </w:p>
    <w:p>
      <w:pPr>
        <w:pStyle w:val="BookText"/>
        <w:rPr/>
      </w:pPr>
      <w:r>
        <w:rPr>
          <w:rFonts w:ascii="Amiri" w:hAnsi="Amiri" w:eastAsia="Amiri" w:cs="Amiri"/>
          <w:color w:val="111111"/>
          <w:sz w:val="28"/>
          <w:sz w:val="28"/>
          <w:szCs w:val="28"/>
          <w:rtl w:val="true"/>
          <w:lang w:bidi="ar-SA"/>
        </w:rPr>
        <w:t>محاضرة حتّى مضى شيء من وقت المغرب فاعترض عليه بعض الحاضرين، فقال مندّداً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 رأيت رسول اللّه صلى الله عليه و آله و سلم جمع بين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ما روي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عن عبداللّه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جمع بين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شيء فأتيت أبا هريرة فسألته، فصدّق مقالته</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بسند آخر عن عبداللّه بن شقيق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أتعلمنا بالصلاة وكنّا نجمع بين الصلاتين على عهد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عن عبداللّه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 وعلق الناس ينادونه الصلاة وفي القوم رجل من بني تميم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أتعلمني بالسنّة شهدت رسول اللّه صلى الله عليه و آله و سلم جمع بين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من ذلك شيئاً فلقيت أبا هريرة فسألته، فوافقه</w:t>
      </w:r>
      <w:r>
        <w:rPr>
          <w:rFonts w:eastAsia="Amiri" w:cs="Amiri" w:ascii="Amiri" w:hAnsi="Amiri"/>
          <w:color w:val="111111"/>
          <w:sz w:val="28"/>
          <w:szCs w:val="28"/>
          <w:rtl w:val="true"/>
          <w:lang w:bidi="ar-SA"/>
        </w:rPr>
        <w:t>.</w:t>
      </w:r>
      <w:r>
        <w:rPr>
          <w:rStyle w:val="FootnoteAnchor"/>
          <w:rtl w:val="true"/>
        </w:rPr>
        <w:footnoteReference w:id="659"/>
      </w:r>
      <w:bookmarkStart w:id="630" w:name="pg16780_177229"/>
    </w:p>
    <w:p>
      <w:pPr>
        <w:pStyle w:val="BookText"/>
        <w:rPr/>
      </w:pPr>
      <w:bookmarkEnd w:id="630"/>
      <w:r>
        <w:rPr>
          <w:rFonts w:ascii="Amiri" w:hAnsi="Amiri" w:eastAsia="Amiri" w:cs="Amiri"/>
          <w:color w:val="111111"/>
          <w:sz w:val="28"/>
          <w:sz w:val="28"/>
          <w:szCs w:val="28"/>
          <w:rtl w:val="true"/>
          <w:lang w:bidi="ar-SA"/>
        </w:rPr>
        <w:t>هذه الروايات الّتي نقلناها من الصحاح والسنن والمسانيد أحاديث اعتنى بنقلها حفّاظ المحدّثين وأكابرهم، ولا يمكن لأحد أن ينكرها أو يرفضها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ناهز عددها، ثمانياً وعشرين رواية</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7189929_73709187"/>
      <w:bookmarkStart w:id="632" w:name="_Toc238"/>
      <w:bookmarkEnd w:id="631"/>
      <w:r>
        <w:rPr/>
        <w:t>7</w:t>
      </w:r>
      <w:r>
        <w:rPr>
          <w:rtl w:val="true"/>
        </w:rPr>
        <w:t xml:space="preserve"> </w:t>
      </w:r>
      <w:r>
        <w:rPr>
          <w:rtl w:val="true"/>
        </w:rPr>
        <w:t>تأويل النصوص لنصرة المذهب</w:t>
      </w:r>
      <w:bookmarkEnd w:id="632"/>
    </w:p>
    <w:p>
      <w:pPr>
        <w:pStyle w:val="Heading5"/>
        <w:numPr>
          <w:ilvl w:val="4"/>
          <w:numId w:val="1"/>
        </w:numPr>
        <w:rPr/>
      </w:pPr>
      <w:bookmarkStart w:id="633" w:name="__RefHeading___Toc7189931_73709187"/>
      <w:bookmarkStart w:id="634" w:name="_Toc239"/>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إن الروايات المتقدمة تدل بوضوح على أن الجمع أحد الخيارين الواجبين، وأن صاحب الشريعة رخّص في الجمع، ولم يوجب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الروايات مخالفة للمذهب المشهور بين فقهاء الجمهور حاول بعضهم أن يؤوّل الروايات بما لا ينسجم مع النصوص، وكان الأَولى بهم أن يأخذوا بها ويتركوا ما ورثوه من لزوم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نأتي بتأويلاتهم، حتّى يقف القارئ على مدى تعصب القوم بالنسبة إلى المذهب والتساهل بما ورد في السنّة</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7189933_73709187"/>
      <w:bookmarkStart w:id="636" w:name="_Toc240"/>
      <w:bookmarkEnd w:id="635"/>
      <w:r>
        <w:rPr>
          <w:rtl w:val="true"/>
        </w:rPr>
        <w:t>التأويل الأوّل</w:t>
      </w:r>
      <w:r>
        <w:rPr>
          <w:rtl w:val="true"/>
        </w:rPr>
        <w:t xml:space="preserve">: </w:t>
      </w:r>
      <w:r>
        <w:rPr>
          <w:rtl w:val="true"/>
        </w:rPr>
        <w:t>الجمع لأجل وجود المطر</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ابن عباس أن النبي صلى الله عليه و آله و سلم صلّى بالمدينة سبعاً وثمانياً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داود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الظهر</w:t>
      </w:r>
    </w:p>
    <w:p>
      <w:pPr>
        <w:pStyle w:val="BookText"/>
        <w:rPr/>
      </w:pPr>
      <w:r>
        <w:rPr>
          <w:rFonts w:ascii="Amiri" w:hAnsi="Amiri" w:eastAsia="Amiri" w:cs="Amiri"/>
          <w:color w:val="111111"/>
          <w:sz w:val="28"/>
          <w:sz w:val="28"/>
          <w:szCs w:val="28"/>
          <w:rtl w:val="true"/>
          <w:lang w:bidi="ar-SA"/>
        </w:rPr>
        <w:t>والعصر جميعاً والمغرب والعشاء من غير خوف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ذلك كان في مطر</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لحمل الروايات على صورة وجود المطر، هو وجود الرأي المسبق في المسألة، وإلّا فروايات الباب صريحة في أنّ هذا الجمع كان بلا عذر، ولو رجعت إلى الروايات الّتي نقلناها في الأصناف الثلاثة، لأذعنت أنّ الجمع لم يكن لعذر، بل كان لغاية رفع الحرج عن الأُمّة، والتوسعة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روايات الصنّف الأوّل أن الجمع كان في غير خوف ولا مطر، وعُلِّل ذلك بأنّه كان لأجل رفع الحرج عن الأُمّة،</w:t>
      </w:r>
      <w:r>
        <w:rPr>
          <w:rStyle w:val="FootnoteAnchor"/>
          <w:rtl w:val="true"/>
        </w:rPr>
        <w:footnoteReference w:id="662"/>
      </w:r>
      <w:r>
        <w:rPr>
          <w:rFonts w:ascii="Amiri" w:hAnsi="Amiri" w:eastAsia="Amiri" w:cs="Amiri"/>
          <w:color w:val="111111"/>
          <w:sz w:val="28"/>
          <w:sz w:val="28"/>
          <w:szCs w:val="28"/>
          <w:rtl w:val="true"/>
          <w:lang w:bidi="ar-SA"/>
        </w:rPr>
        <w:t>فكيف يمكن أن يؤوَّل في هاتين الروايتين بوجود المطر؟</w:t>
      </w:r>
    </w:p>
    <w:p>
      <w:pPr>
        <w:pStyle w:val="BookText"/>
        <w:rPr/>
      </w:pPr>
      <w:r>
        <w:rPr>
          <w:rFonts w:ascii="Amiri" w:hAnsi="Amiri" w:eastAsia="Amiri" w:cs="Amiri"/>
          <w:color w:val="111111"/>
          <w:sz w:val="28"/>
          <w:sz w:val="28"/>
          <w:szCs w:val="28"/>
          <w:rtl w:val="true"/>
          <w:lang w:bidi="ar-SA"/>
        </w:rPr>
        <w:t>ولذلك قال النووي في شرحه لصحيح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تأوله على أنّه جمع، بعذر المطر، وهذا مشهور عن جماعة من كبار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عليه بأنّه ضعيف بالرواية الأُخرى من غير خوف ولا مطر</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قوله ولا مطر في موضعين</w:t>
      </w:r>
      <w:r>
        <w:rPr>
          <w:rStyle w:val="FootnoteAnchor"/>
          <w:rtl w:val="true"/>
        </w:rPr>
        <w:footnoteReference w:id="664"/>
      </w:r>
      <w:r>
        <w:rPr>
          <w:rFonts w:ascii="Amiri" w:hAnsi="Amiri" w:eastAsia="Amiri" w:cs="Amiri"/>
          <w:color w:val="111111"/>
          <w:sz w:val="28"/>
          <w:sz w:val="28"/>
          <w:szCs w:val="28"/>
          <w:rtl w:val="true"/>
          <w:lang w:bidi="ar-SA"/>
        </w:rPr>
        <w:t>ومعه كيف يُحمل على الليلة المطيرة‌؟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يثير العجب، ويدعو إلى الاستهجان، أنّ ذيل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حُرِّف في كتيّب الدكتور طه الدليمي إلى الشكل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أن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هو أيوب السَّختياني، والمقول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ابن حجر</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الشعثاء، ويؤكده أن أيوب لم يدرك ابن عباس، لأن مولده كان في سنة وفاة ابن عباس، أي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يطرح عليه هذا التساؤل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في ليلة مطيرة‌؟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يتبيّن أن تأويل حديث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 في الجمع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المطر، إنّما صدر عن أيوب احتمالاً، وأيّده فيه أبو الشعثاء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في التأويل الثاني أن أبا الشعثاء وافق عمرو بن دينار في ظنّه أن الجمع كان بمعنى تأخير الظهر وتعجيل العصر، وتأخير المغرب وتعجيل العشاء، فلا علاقة لابن عباس إذاً بهذه الاحتمالات والظنون، وهو بعلمه وفقهه أجلّ من أنْ تدور هذه الاوهام في خلَده، ولكنّ مقلّدة المذاهب لا تهمّهم الحقائق مهما بدت ساطعة، بقدر ما يهمّهم نصرة مذاهبهم، وإنْ سلكوا أوعر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فالمؤوِّل هو مالك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له أن يفسر كلام ابن عباس مع وجود البون الشاسع بينه وبين الراوي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 القارئ إن هذا التأويل أبرد من الثلج، فإن الوارد في الصنف الأوّل من الروايات الّتي ذكرناها ينادي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الوحيد للجمع هو عدم إحراج الأُمّة، وقد جاوز عدد الروايات فيه العشر، ومعه كيف يمكن حمل الروايات على وجود العذر وهو المطر</w:t>
      </w:r>
      <w:r>
        <w:rPr>
          <w:rFonts w:eastAsia="Amiri" w:cs="Amiri" w:ascii="Amiri" w:hAnsi="Amiri"/>
          <w:color w:val="111111"/>
          <w:sz w:val="28"/>
          <w:szCs w:val="28"/>
          <w:rtl w:val="true"/>
          <w:lang w:bidi="ar-SA"/>
        </w:rPr>
        <w:t>.</w:t>
      </w:r>
      <w:bookmarkStart w:id="637" w:name="pg16780_177232"/>
    </w:p>
    <w:p>
      <w:pPr>
        <w:pStyle w:val="Heading5"/>
        <w:numPr>
          <w:ilvl w:val="4"/>
          <w:numId w:val="1"/>
        </w:numPr>
        <w:rPr/>
      </w:pPr>
      <w:bookmarkStart w:id="638" w:name="__RefHeading___Toc7189935_73709187"/>
      <w:bookmarkStart w:id="639" w:name="_Toc241"/>
      <w:bookmarkEnd w:id="637"/>
      <w:bookmarkEnd w:id="638"/>
      <w:r>
        <w:rPr>
          <w:rtl w:val="true"/>
        </w:rPr>
        <w:t>التأويل الثاني</w:t>
      </w:r>
      <w:r>
        <w:rPr>
          <w:rtl w:val="true"/>
        </w:rPr>
        <w:t xml:space="preserve">: </w:t>
      </w:r>
      <w:r>
        <w:rPr>
          <w:rtl w:val="true"/>
        </w:rPr>
        <w:t>الجمع كان صورياً</w:t>
      </w:r>
      <w:bookmarkEnd w:id="639"/>
    </w:p>
    <w:p>
      <w:pPr>
        <w:pStyle w:val="Heading6"/>
        <w:numPr>
          <w:ilvl w:val="5"/>
          <w:numId w:val="1"/>
        </w:numPr>
        <w:rPr/>
      </w:pPr>
      <w:bookmarkStart w:id="640" w:name="__RefHeading___Toc7189937_73709187"/>
      <w:bookmarkStart w:id="641" w:name="_Toc242"/>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ربّما تُحمَل الروايات على أن الجمع كان صورياً، ولم يكن حقيقياً بمعنى أنّه صلى الله عليه و آله و سلم أخّر الظهر إلى حد بقي من وقتها مقدار أربع ركعات فصلّى الظهر ودخل وقت العصر فصلّى العصر فكان جمعاً بين الصلاتين، ويستدلون على ذلك بالروايات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آله و سلم ثمانياً جميعاً وسبعاً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الشعثاء، أظنه أخّر الظهر وعجّل العصر، وأخّر المغرب وعجّل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ذاك</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عن سفيان،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جابر بن زيد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و سلم ثمانياً جميعاً وسبعاً جميعاً،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ياأبا الشعثاء أظنه أخّر الظهر وعجّل العصر، وأخّر المغرب وعجّل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أظن ذلك</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عبدالرزاق عن عمرو بن دينار أن أبا الشعثاء أخبره أن ابن عباس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وراء رسول اللّه صلى الله عليه و آله و سلم ثمانياً جميعاً وسبعاً جميعاً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 فقلت لأبي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النبي صلى الله عليه و آله و سلم أخّر من الظهر قليلاً وقدّم من العصر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ذلك</w:t>
      </w:r>
      <w:r>
        <w:rPr>
          <w:rFonts w:eastAsia="Amiri" w:cs="Amiri" w:ascii="Amiri" w:hAnsi="Amiri"/>
          <w:color w:val="111111"/>
          <w:sz w:val="28"/>
          <w:szCs w:val="28"/>
          <w:rtl w:val="true"/>
          <w:lang w:bidi="ar-SA"/>
        </w:rPr>
        <w:t>.</w:t>
      </w:r>
      <w:r>
        <w:rPr>
          <w:rStyle w:val="FootnoteAnchor"/>
          <w:rtl w:val="true"/>
        </w:rPr>
        <w:footnoteReference w:id="66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المؤوِّل في الروايتين الأوليين هو عمرو بن دينار وجابر بن زيد المكنّى بأبي الشعثاء، وفي الثالثة، ابن جريج وأبو الشعثاء، ولا يُعتدّ بظنهم إذ لم يستندوا إلى دليل يُركن إليه، وإنّما ظنّوا أن الجمع كذلك، ومثل هذا الظن لا يُغني من الحق شيئاً</w:t>
      </w:r>
      <w:r>
        <w:rPr>
          <w:rFonts w:eastAsia="Amiri" w:cs="Amiri" w:ascii="Amiri" w:hAnsi="Amiri"/>
          <w:color w:val="111111"/>
          <w:sz w:val="28"/>
          <w:szCs w:val="28"/>
          <w:rtl w:val="true"/>
          <w:lang w:bidi="ar-SA"/>
        </w:rPr>
        <w:t>.</w:t>
      </w:r>
      <w:bookmarkStart w:id="642" w:name="pg16780_177233"/>
    </w:p>
    <w:p>
      <w:pPr>
        <w:pStyle w:val="BookText"/>
        <w:rPr/>
      </w:pPr>
      <w:bookmarkEnd w:id="642"/>
      <w:r>
        <w:rPr>
          <w:rFonts w:ascii="Amiri" w:hAnsi="Amiri" w:eastAsia="Amiri" w:cs="Amiri"/>
          <w:color w:val="111111"/>
          <w:sz w:val="28"/>
          <w:sz w:val="28"/>
          <w:szCs w:val="28"/>
          <w:rtl w:val="true"/>
          <w:lang w:bidi="ar-SA"/>
        </w:rPr>
        <w:t>قال محيي الدين النووي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تأوّله على تأخير الأولى إلى آخر وقتها فصلّاها فيه، فلما فرغ منها دخلت الثانية، فصلّاها فصارت صلاته صورة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ضعيف أو باطل، لأنّه مخالف للظاهر مخالفة لا تحتمل، وفعل ابن عباس الّذي ذكرناه حين خطب واستدلاله بالحديث لتصويب فعله، وتصديق أبي هريرة له وعدم إنكاره، صريح في ردّ هذا التأويل</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وكان على النووي أن يردّ عليه بما ذكرناه، وهو أن الرسول صلى الله عليه و آله و سلم جمع بين الصلاتين بغية رفع الحرج عن الأُمّة، والجمع بالنحو المذكور أكثر حرجاً من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رخصة، فلوكان على ما ذكروه لكان أشدّ ضيقاً وأعظم حرجاً من الإتيان بكل صلاة في وقتها، لأنّ الإتيان بكل صلاة في وقتها أوسع من مراعاة طرفي الوقتين، بحيث لا يبقى من وقت الأُولى إلّاقدر فعلها</w:t>
      </w:r>
      <w:r>
        <w:rPr>
          <w:rFonts w:eastAsia="Amiri" w:cs="Amiri" w:ascii="Amiri" w:hAnsi="Amiri"/>
          <w:color w:val="111111"/>
          <w:sz w:val="28"/>
          <w:szCs w:val="28"/>
          <w:rtl w:val="true"/>
          <w:lang w:bidi="ar-SA"/>
        </w:rPr>
        <w:t>.</w:t>
      </w:r>
      <w:r>
        <w:rPr>
          <w:rStyle w:val="FootnoteAnchor"/>
          <w:rtl w:val="true"/>
        </w:rPr>
        <w:footnoteReference w:id="671"/>
      </w:r>
    </w:p>
    <w:p>
      <w:pPr>
        <w:pStyle w:val="Heading6"/>
        <w:numPr>
          <w:ilvl w:val="5"/>
          <w:numId w:val="1"/>
        </w:numPr>
        <w:rPr/>
      </w:pPr>
      <w:bookmarkStart w:id="643" w:name="__RefHeading___Toc7189939_73709187"/>
      <w:bookmarkStart w:id="644" w:name="_Toc243"/>
      <w:bookmarkEnd w:id="643"/>
      <w:r>
        <w:rPr>
          <w:rtl w:val="true"/>
        </w:rPr>
        <w:t>مفهوم الجمع في عامة الموارد واحد</w:t>
      </w:r>
      <w:bookmarkEnd w:id="644"/>
    </w:p>
    <w:p>
      <w:pPr>
        <w:pStyle w:val="BookText"/>
        <w:rPr/>
      </w:pPr>
      <w:r>
        <w:rPr>
          <w:rFonts w:ascii="Amiri" w:hAnsi="Amiri" w:eastAsia="Amiri" w:cs="Amiri"/>
          <w:color w:val="111111"/>
          <w:sz w:val="28"/>
          <w:sz w:val="28"/>
          <w:szCs w:val="28"/>
          <w:rtl w:val="true"/>
          <w:lang w:bidi="ar-SA"/>
        </w:rPr>
        <w:t xml:space="preserve">وممّا يدل على أن الجمع حقيقي هو أن المتبادر من الجمع في عامة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في عرفة والمزدلفة، والجمع في السفر، والجمع في الحضر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فإنّه في هذه المواضع عبارة عن الإتيان بالصلاتين في وقت واحد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فالجمع في عرفة بمعنى الإتيان بهما بعد الزوال، وفي المزدلفة الإتيان بالمغرب والعشاء بعد ذهاب الشفق، وهكذا الجمع في السفر، فكيف يُحمل الجمع في</w:t>
      </w:r>
      <w:bookmarkStart w:id="645" w:name="pg16780_177234"/>
    </w:p>
    <w:p>
      <w:pPr>
        <w:pStyle w:val="BookText"/>
        <w:rPr/>
      </w:pPr>
      <w:bookmarkEnd w:id="645"/>
      <w:r>
        <w:rPr>
          <w:rFonts w:ascii="Amiri" w:hAnsi="Amiri" w:eastAsia="Amiri" w:cs="Amiri"/>
          <w:color w:val="111111"/>
          <w:sz w:val="28"/>
          <w:sz w:val="28"/>
          <w:szCs w:val="28"/>
          <w:rtl w:val="true"/>
          <w:lang w:bidi="ar-SA"/>
        </w:rPr>
        <w:t>هذه الموارد على الجمع الحقيقي دون ما نحن بصدده‌؟</w:t>
      </w:r>
    </w:p>
    <w:p>
      <w:pPr>
        <w:pStyle w:val="BookText"/>
        <w:rPr/>
      </w:pPr>
      <w:r>
        <w:rPr>
          <w:rFonts w:ascii="Amiri" w:hAnsi="Amiri" w:eastAsia="Amiri" w:cs="Amiri"/>
          <w:color w:val="111111"/>
          <w:sz w:val="28"/>
          <w:sz w:val="28"/>
          <w:szCs w:val="28"/>
          <w:rtl w:val="true"/>
          <w:lang w:bidi="ar-SA"/>
        </w:rPr>
        <w:t>قال الحافظ أبو سليمان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لا يقع على من أخّر الظهر حتّى صلّاها في آخر وقتها وعجّل العصر فصلّاها في أوّل وقتها، لأن هذا قد صلّى كل صلاة منهما في وقتها الخاص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الجمع المعروف بينهما أن تكون الصلاتان معاً في وقت أحدهما، ألا ترى أنّ الجمع بعرفة بينهما، ومزدلفة كذلك</w:t>
      </w:r>
      <w:r>
        <w:rPr>
          <w:rFonts w:eastAsia="Amiri" w:cs="Amiri" w:ascii="Amiri" w:hAnsi="Amiri"/>
          <w:color w:val="111111"/>
          <w:sz w:val="28"/>
          <w:szCs w:val="28"/>
          <w:rtl w:val="true"/>
          <w:lang w:bidi="ar-SA"/>
        </w:rPr>
        <w:t>.</w:t>
      </w:r>
      <w:r>
        <w:rPr>
          <w:rStyle w:val="FootnoteAnchor"/>
          <w:rtl w:val="true"/>
        </w:rPr>
        <w:footnoteReference w:id="672"/>
      </w:r>
    </w:p>
    <w:p>
      <w:pPr>
        <w:pStyle w:val="Heading6"/>
        <w:numPr>
          <w:ilvl w:val="5"/>
          <w:numId w:val="1"/>
        </w:numPr>
        <w:rPr/>
      </w:pPr>
      <w:bookmarkStart w:id="646" w:name="__RefHeading___Toc7189941_73709187"/>
      <w:bookmarkStart w:id="647" w:name="_Toc244"/>
      <w:bookmarkEnd w:id="646"/>
      <w:r>
        <w:rPr>
          <w:rtl w:val="true"/>
        </w:rPr>
        <w:t>مع الشوكاني في قوله</w:t>
      </w:r>
      <w:r>
        <w:rPr>
          <w:rtl w:val="true"/>
        </w:rPr>
        <w:t xml:space="preserve">: </w:t>
      </w:r>
      <w:r>
        <w:rPr>
          <w:rtl w:val="true"/>
        </w:rPr>
        <w:t>إن الجمع كان صورياً</w:t>
      </w:r>
      <w:bookmarkEnd w:id="647"/>
    </w:p>
    <w:p>
      <w:pPr>
        <w:pStyle w:val="BookText"/>
        <w:rPr/>
      </w:pPr>
      <w:r>
        <w:rPr>
          <w:rFonts w:ascii="Amiri" w:hAnsi="Amiri" w:eastAsia="Amiri" w:cs="Amiri"/>
          <w:color w:val="111111"/>
          <w:sz w:val="28"/>
          <w:sz w:val="28"/>
          <w:szCs w:val="28"/>
          <w:rtl w:val="true"/>
          <w:lang w:bidi="ar-SA"/>
        </w:rPr>
        <w:t>تبنّى الشوكاني ما قيل من أن الجمع حصل بطريقة الجمع الصوري، وأيده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مالك في الموطّأ والبخاري وأبو داود والنسائي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و سلم صلّى صلاة لغير ميقاتها إلّاصلاتين جمع بين المغرب والعشاء بالمزدلفة وصلّى الفجر يومئذ قبل ميقاتها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ابن مسعود مطلق الجمع وحصره في جمع المزدلفة، وصلاة الفجر قبل ميقاتها مع أنّه ممن روى حديث الجمع بالمدينة كما تقدم، فهو يدل على أن الجمع الواقع بالمدينة جمع صوري، ولو كان جمعاً حقيقياً لتعارضت روايتاه، والجمع ما أمكن المسير إليه هو الواجب</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المغرب والعشاء بالمزدلفة</w:t>
      </w:r>
    </w:p>
    <w:p>
      <w:pPr>
        <w:pStyle w:val="BookText"/>
        <w:rPr/>
      </w:pPr>
      <w:r>
        <w:rPr>
          <w:rFonts w:ascii="Amiri" w:hAnsi="Amiri" w:eastAsia="Amiri" w:cs="Amiri"/>
          <w:color w:val="111111"/>
          <w:sz w:val="28"/>
          <w:sz w:val="28"/>
          <w:szCs w:val="28"/>
          <w:rtl w:val="true"/>
          <w:lang w:bidi="ar-SA"/>
        </w:rPr>
        <w:t>وصلّى الفجر يومئذ قبل ميقاتها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وحدة مفهوم الجمع في المزدلفة وغيرها الّذي ورد في هذه الروايات، فكيف يصح لابن مسعود ومن تبعه أن يفسر الجمع في المزدلفة بالمعنى الحقيقي وفي غيره بالصوري‌؟</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الركون إلى هذه الرواية لانّها حصرت جمع الرسول صلى الله عليه و آله و سلم بالمزدلفة وصلاة الصبح، مع أنّه صلى الله عليه و آله و سلم جمع بعرفة باتفاق الفقهاء والرواة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نفسه روى جمع الرسول صلى الله عليه و آله و سلم بين الصلاتين في 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و سلم بين الظهر والعصر والمغرب والعشاء،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ذلك لئلّا تحرج أُمّتي</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وقد عرفت أن الجمع الصوري أشد حرجاً من الجمع الحقيقي، فإن معرفة أواخر الأوقات وأوائلها على وجه الضبط كان مشكلاً في الأعصار السابقة، فلا محيص من تفسير الجمع بالجمع الحقيقي، وهذا دليل على أن رواية الحصر في المزدلفة لا يصحّ الاحتجاج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أخرحه ابن جرير عن ابن عمر قال خرج علينا رسول اللّه صلى الله عليه و آله و سلم فكان يؤخر الظهر ويعجِّل العصر فيجمع بينهما، ويؤخر المغرب ويعجِّل العشاء فيجمع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الجمع الصوري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المتقي الهندي هذه الرواية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أنّه كان في سفر، والجمع في السفر كان جمعاً حقيقياً بشهادة ما رواه النسائي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ارتحل قبل أن تزيغ الشمس أخّر</w:t>
      </w:r>
    </w:p>
    <w:p>
      <w:pPr>
        <w:pStyle w:val="BookText"/>
        <w:rPr/>
      </w:pPr>
      <w:r>
        <w:rPr>
          <w:rFonts w:ascii="Amiri" w:hAnsi="Amiri" w:eastAsia="Amiri" w:cs="Amiri"/>
          <w:color w:val="111111"/>
          <w:sz w:val="28"/>
          <w:sz w:val="28"/>
          <w:szCs w:val="28"/>
          <w:rtl w:val="true"/>
          <w:lang w:bidi="ar-SA"/>
        </w:rPr>
        <w:t>الظهر إلى وقت العصر ثم نزل فجمع بينهما، فإن زاغت الشمس قبل ان يرتحل صلّى الظهر ثم ركب</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قام به النبي صلى الله عليه و آله و سلم من الجمع بين الصلاتين، يمكن أن يكون جمعاً حقيقياً، كما يمكن أن يكون جمعاً صورياً، والراوي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لفظ النبي صلى الله عليه و آله و سلم وإنّما أوّل فعله، وهذا يعني أنّه قاله انطلاقاً من فهمه، والشاهد على ذلك أن هذا التأويل صدر ظناً عن عمرو بن دينار، ووافقه عليه أبو الشعثاء، كما في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عن عمرو بن دينار، عن جابر بن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آله و سلم ثمانياً جميعاً وسبعاً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الشعثاء أظنه أخّر الظهر وعجّل العصر وأخّر المغرب وعجّل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ذاك</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ومن هنا قال الشيخ الألباني عن الحديث الّذي أخرجه النسائي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النبي صلى الله عليه و آله و سلم بالمدينة ثمانياً جميعاً وسبعاً جميعاً، أخّر الظهر وعجّلَ العصر، وأخّر المغرب وعجّل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مُدْرَج</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قيس</w:t>
      </w:r>
      <w:r>
        <w:rPr>
          <w:rStyle w:val="FootnoteAnchor"/>
          <w:rtl w:val="true"/>
        </w:rPr>
        <w:footnoteReference w:id="679"/>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بن ثَرْوان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تكلّم فيه غير واحد، وإنْ وثّقه ابن مَعين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يده، وهو يخالف في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النسائي عن ابن عباس قال صلّيت مع النبي الظهر والعصر جميعاً والمغرب والعشاء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الظهر وعجّل العصر وأخر المغرب وعجّل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الظهر وعجل العصر وأخر المغرب وعجل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حديث ابن عباس، بل هو من كلام عمرو بن دينار، ولذا وصفه الألباني بأنّه مُدَرج، كما تقدّم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لما اعتادوا على التوقيت والتفريق بين الصلوات زعموا أن التوقيت فرض لا يترك، ولمّا وقفوا على هذه الروايات الهائلة أخذ كل مهرباً، فتارة حملوا الروايات على وجود المطر كما مرّ، وأُخرى على أن الجمع كان صورياً كما عليه عمرو بن دينار، وأبو الشعثاء جابر بن زيد، وابن جريج، ولما صار التفريق عادة راسخة، صار الخلاف عندهم أمراً غريباً، ولذلك وقع في نفس عبداللّه بن شقيق نوع شك واستبعاد من قول ابن عباس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جمع بين الظهر والعصر، والمغرب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تسكن نفسه إلّا بعد ما سأل أبا هريرة عن ذلك فصدّق ابن عباس</w:t>
      </w:r>
      <w:r>
        <w:rPr>
          <w:rFonts w:eastAsia="Amiri" w:cs="Amiri" w:ascii="Amiri" w:hAnsi="Amiri"/>
          <w:color w:val="111111"/>
          <w:sz w:val="28"/>
          <w:szCs w:val="28"/>
          <w:rtl w:val="true"/>
          <w:lang w:bidi="ar-SA"/>
        </w:rPr>
        <w:t>.</w:t>
      </w:r>
      <w:r>
        <w:rPr>
          <w:rStyle w:val="FootnoteAnchor"/>
          <w:rtl w:val="true"/>
        </w:rPr>
        <w:footnoteReference w:id="681"/>
      </w:r>
      <w:bookmarkStart w:id="648" w:name="pg16780_177241"/>
    </w:p>
    <w:p>
      <w:pPr>
        <w:pStyle w:val="Heading5"/>
        <w:numPr>
          <w:ilvl w:val="4"/>
          <w:numId w:val="1"/>
        </w:numPr>
        <w:rPr/>
      </w:pPr>
      <w:bookmarkStart w:id="649" w:name="__RefHeading___Toc7189943_73709187"/>
      <w:bookmarkStart w:id="650" w:name="_Toc245"/>
      <w:bookmarkEnd w:id="648"/>
      <w:bookmarkEnd w:id="649"/>
      <w:r>
        <w:rPr>
          <w:rtl w:val="true"/>
        </w:rPr>
        <w:t>التأويل الثالث</w:t>
      </w:r>
      <w:r>
        <w:rPr>
          <w:rtl w:val="true"/>
        </w:rPr>
        <w:t xml:space="preserve">: </w:t>
      </w:r>
      <w:r>
        <w:rPr>
          <w:rtl w:val="true"/>
        </w:rPr>
        <w:t>الجمع لأجل الغيم</w:t>
      </w:r>
      <w:bookmarkEnd w:id="650"/>
    </w:p>
    <w:p>
      <w:pPr>
        <w:pStyle w:val="BookText"/>
        <w:rPr/>
      </w:pPr>
      <w:r>
        <w:rPr>
          <w:rFonts w:ascii="Amiri" w:hAnsi="Amiri" w:eastAsia="Amiri" w:cs="Amiri"/>
          <w:color w:val="111111"/>
          <w:sz w:val="28"/>
          <w:sz w:val="28"/>
          <w:szCs w:val="28"/>
          <w:rtl w:val="true"/>
          <w:lang w:bidi="ar-SA"/>
        </w:rPr>
        <w:t>أوّل بعضهم روايات الجمع بأنّه كان في غيم، فصلّى الظهر ثم انكشف الغيم وبان أن وقت العصر دخل فصلّاها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من الوهن بمكان، وكفى في وهنه ما ذكره النووي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فيه أدنى احتمال في الظهر والعصر ولكن لا احتمال فيه في المغرب والعشاء، مع أن الجمع لم يكن مختصاً بالظهرين، بل جمع بين المغرب والعشاء حتّى ان ابن عباس أخّر المغرب إلى وقت العشاء</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أضف إلى ذلك أنّه لو كان الجمع لأجل ذلك، لصرّح به، أفيُحتمل أن حبر الأُمة غفل عن هذا القيد، أو ذكره ولم ينقل عنه‌؟ وهكذا غيره نظراء أبي هريرة، وعبداللّه بن عمر، وعبداللّه بن مسعود</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7189945_73709187"/>
      <w:bookmarkStart w:id="652" w:name="_Toc246"/>
      <w:bookmarkEnd w:id="651"/>
      <w:r>
        <w:rPr>
          <w:rtl w:val="true"/>
        </w:rPr>
        <w:t>التأويل الرابع</w:t>
      </w:r>
      <w:r>
        <w:rPr>
          <w:rtl w:val="true"/>
        </w:rPr>
        <w:t xml:space="preserve">: </w:t>
      </w:r>
      <w:r>
        <w:rPr>
          <w:rtl w:val="true"/>
        </w:rPr>
        <w:t>الجمع كان لمرض</w:t>
      </w:r>
      <w:bookmarkEnd w:id="652"/>
    </w:p>
    <w:p>
      <w:pPr>
        <w:pStyle w:val="BookText"/>
        <w:rPr/>
      </w:pPr>
      <w:r>
        <w:rPr>
          <w:rFonts w:ascii="Amiri" w:hAnsi="Amiri" w:eastAsia="Amiri" w:cs="Amiri"/>
          <w:color w:val="111111"/>
          <w:sz w:val="28"/>
          <w:sz w:val="28"/>
          <w:szCs w:val="28"/>
          <w:rtl w:val="true"/>
          <w:lang w:bidi="ar-SA"/>
        </w:rPr>
        <w:t>وقد أوّل الروايات المذكورة بعض من لا يروقه الجمع بين الصلاتين، وقال بأنّ الروايات محمولة على الجمع بعذر المرض أو نحوه، نقله النووي عن أحمد بن حنبل والقاضي حسين من الشافعية واختاره الخطّابي والمتولّي والروياني 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النووي،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 في تأويله لظاهر الحديث ولفعل ابن عباس وموافقة أبي هريرة، ولأنّ المشقة فيه أشدّ من المطر</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التأويل كسائر التأويلات في الوهن والسقوط، ويردّه فعل ابن عباس، حيث جمع بين المغرب والعشاء ولم يكن هناك مرض ولا مريض، بل كان يخطب الناس وطال كلامه حتى مضى وقت فضيلة المغرب، فصلّى</w:t>
      </w:r>
    </w:p>
    <w:p>
      <w:pPr>
        <w:pStyle w:val="BookText"/>
        <w:rPr/>
      </w:pPr>
      <w:r>
        <w:rPr>
          <w:rFonts w:ascii="Amiri" w:hAnsi="Amiri" w:eastAsia="Amiri" w:cs="Amiri"/>
          <w:color w:val="111111"/>
          <w:sz w:val="28"/>
          <w:sz w:val="28"/>
          <w:szCs w:val="28"/>
          <w:rtl w:val="true"/>
          <w:lang w:bidi="ar-SA"/>
        </w:rPr>
        <w:t>المغرب مع العشاء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التأخير للمرض، لجاز لخصوص المريض لا لمن لم يكن مريضاً مع أنّ النبي جمع بين الصلاتين مع عامة أصحابه، واحتمال أنّ المرض عمّ الجميع بعيد غاية البعد</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وإلى هذا المعنى ذهب الحافظ ابن حجر العسقلاني،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جمعه صلى الله عليه و آله و سلم بين الصلاتين لعارض المرض لما صلّى معه إلاّ من به نحو ذلك العذر، والظاهر أنّه صلّى بأصحابه، وقد صرّح بذلك ابن عباس في روايته</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وهذا هو الخطّابي يحكي في معالمه عن ابن المنذر</w:t>
      </w:r>
      <w:r>
        <w:rPr>
          <w:rStyle w:val="FootnoteAnchor"/>
          <w:rtl w:val="true"/>
        </w:rPr>
        <w:footnoteReference w:id="68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لحمل الأمر فيه على عذر من الأعذار، لأنّ ابن عباس قد أخبر بالعلة فيه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لا تحرج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ابن سيرين أنّه كان لا يرى بأساً أن يجمع بين الصلاتين إذا كانت حاجة أو شيء ما لم يتّخذه عادة</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محقّق كتاب سنن الترمذي، تعليقاً على كلام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الذي يؤخذ من الحديث، وأمّا التأوّل بالمرض أو العذر أو غيره فإنّه تكلّف لا دليل عليه، وفي الأخذ بهذا رفع كثير من الحرج عن أُناس قد تضطرهم أعمالهم أو ظروف قاهرة إلى الجمع بين الصلاتين ويتأثّمون من ذلك ويتحرّجون، وفي هذا ترفيه لهم وإعانة على الطاعة ما لم يتّخذه عادة، كما قال ابن سيرين</w:t>
      </w:r>
      <w:r>
        <w:rPr>
          <w:rFonts w:eastAsia="Amiri" w:cs="Amiri" w:ascii="Amiri" w:hAnsi="Amiri"/>
          <w:color w:val="111111"/>
          <w:sz w:val="28"/>
          <w:szCs w:val="28"/>
          <w:rtl w:val="true"/>
          <w:lang w:bidi="ar-SA"/>
        </w:rPr>
        <w:t>.</w:t>
      </w:r>
      <w:r>
        <w:rPr>
          <w:rStyle w:val="FootnoteAnchor"/>
          <w:rtl w:val="true"/>
        </w:rPr>
        <w:footnoteReference w:id="688"/>
      </w:r>
      <w:bookmarkStart w:id="653" w:name="pg16780_177245"/>
    </w:p>
    <w:p>
      <w:pPr>
        <w:pStyle w:val="BookText"/>
        <w:rPr/>
      </w:pPr>
      <w:bookmarkEnd w:id="653"/>
      <w:r>
        <w:rPr>
          <w:rFonts w:ascii="Amiri" w:hAnsi="Amiri" w:eastAsia="Amiri" w:cs="Amiri"/>
          <w:color w:val="111111"/>
          <w:sz w:val="28"/>
          <w:sz w:val="28"/>
          <w:szCs w:val="28"/>
          <w:rtl w:val="true"/>
          <w:lang w:bidi="ar-SA"/>
        </w:rPr>
        <w:t xml:space="preserve">وما ذكره وان كان حقاً ولكن في كلامه تضييق أيضاً لما وسّعه النبي صلى الله عليه و آله و سلم، فحصر الجمع بمن له حاجة ليس له ما يبرّره مع ورود الأخبار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على وجه الإطلاق سواء أكانت هناك علة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شكّ أنّ التوقيت أفضل، ومن أتى بكلّ صلاة في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إتيانها في الوقت المشترك، ومع ذلك فمجال الإتيان بها في الشريعة أوسع</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7189947_73709187"/>
      <w:bookmarkStart w:id="655" w:name="_Toc247"/>
      <w:bookmarkEnd w:id="654"/>
      <w:r>
        <w:rPr>
          <w:rtl w:val="true"/>
        </w:rPr>
        <w:t>التأويل الخامس</w:t>
      </w:r>
      <w:r>
        <w:rPr>
          <w:rtl w:val="true"/>
        </w:rPr>
        <w:t xml:space="preserve">: </w:t>
      </w:r>
      <w:r>
        <w:rPr>
          <w:rtl w:val="true"/>
        </w:rPr>
        <w:t>كان الجمع لأحد الأعذار المبهمة</w:t>
      </w:r>
      <w:bookmarkEnd w:id="655"/>
    </w:p>
    <w:p>
      <w:pPr>
        <w:pStyle w:val="BookText"/>
        <w:rPr/>
      </w:pPr>
      <w:r>
        <w:rPr>
          <w:rFonts w:ascii="Amiri" w:hAnsi="Amiri" w:eastAsia="Amiri" w:cs="Amiri"/>
          <w:color w:val="111111"/>
          <w:sz w:val="28"/>
          <w:sz w:val="28"/>
          <w:szCs w:val="28"/>
          <w:rtl w:val="true"/>
          <w:lang w:bidi="ar-SA"/>
        </w:rPr>
        <w:t>لما كان تعيين العذر المسوِّغ للجمع، أمراً مشكلاً سلك بعضهم مسلك الإبهام والإجمال، وذهب إلى أنّ الجمع كان لأحد الأعذار المسوِّغة،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عرّج على هذا الاحتمال مفتي السعودية السابق عبد العزيز بن باز في تعليقة مختصرة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لمّا ضعّف مختار ابن حجر في تفسير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هذا الجمع ضعيف،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حمل الحديث المذكور على أنّه صلى الله عليه و آله و سلم جمع بين الصلوات المذكورة لمشقّة عارضة ذلك اليوم من مرض غالب أو برد شديد أو وحل ونحو ذلك، ويدلّ على ذلك قول ابن عباس، لمّا سئل عن علّة هذا الجمع،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يحرج أُمّته ثمّ استحسن هذا الجمع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عظيم سديد شاف</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الجمع كالجمع الذي ضعّفه في الضعف والوهن</w:t>
      </w:r>
    </w:p>
    <w:p>
      <w:pPr>
        <w:pStyle w:val="BookText"/>
        <w:rPr/>
      </w:pPr>
      <w:r>
        <w:rPr>
          <w:rFonts w:ascii="Amiri" w:hAnsi="Amiri" w:eastAsia="Amiri" w:cs="Amiri"/>
          <w:color w:val="111111"/>
          <w:sz w:val="28"/>
          <w:sz w:val="28"/>
          <w:szCs w:val="28"/>
          <w:rtl w:val="true"/>
          <w:lang w:bidi="ar-SA"/>
        </w:rPr>
        <w:t>سواء، وذلك لأنّه يخالف رواية ابن عباس وعمله، فإنّه جمع بين الصلاتين في البصرة من دون أن يكون هناك مرض غالب أو برد شديد أو 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إطلاق التعليل،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الحرج عن الأُمّة، فإنّ الحرج لا يختصّ بصور الأعذار، بل يعمّ إلزام الناس بالتفريق بين الصلوات على وجه الإيجاب عبر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الصدّيق في تأليفه المنيف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الحظر عمّن جمع بين الصلاتين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قيّم، لابأس بإيراده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صرّح بأنّه فعل ذلك ليرفع الحرج عن أُمّته وبيّن لهم جواز الجمع إذا احتاجوا إليه، فحمله على المطر بعد هذا التصريح من النبيّ صلى الله عليه و آله و سلم والصحابة الذين رووه، تعسف ظاهر، بل تكذيب للرواة ومعارضة للّه والرسول، لأنّه لو فعل ذلك للمطر لما صرّح النبيّ صلى الله عليه و آله و سلم بخلافه، ولما عدل الرواة عن التعليل به، إلى التعليل بنفي الحرج، كما رووا عنه صلى الله عليه و آله و سلم أنّه كان يأمر المنادي أن ينادي في الليلة المطيرة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صلّوا في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ذلك في الجمع فكيف وقد صرّحوا بنفي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الراوي لهذا الحديث أخّر الصلاة وجمع لأجل انشغاله بالخطبة، ثمّ احتجّ بجمع النبي صلى الله عليه و آله و سلم ولا يجوز أن يحتجّ بجمع النبي صلى الله عليه و آله و سلم للمطر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عذر بيّن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لمجرّد الخطبة أو الدرس الذي في إمكانه أن يقطعه للصلاة ثمّ يعود إليه أو ينتهي منه عند وقت الصلاة، ولا يلحقه فيه ضرر ولا مشقة، كما يلحق الإنسان في الخروج في حالة المطر والوحل</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التشريع من الرسول صلى الله عليه و آله و سلم بأمر من اللّه سبحانه</w:t>
      </w:r>
    </w:p>
    <w:p>
      <w:pPr>
        <w:pStyle w:val="BookText"/>
        <w:rPr/>
      </w:pPr>
      <w:r>
        <w:rPr>
          <w:rFonts w:ascii="Amiri" w:hAnsi="Amiri" w:eastAsia="Amiri" w:cs="Amiri"/>
          <w:color w:val="111111"/>
          <w:sz w:val="28"/>
          <w:sz w:val="28"/>
          <w:szCs w:val="28"/>
          <w:rtl w:val="true"/>
          <w:lang w:bidi="ar-SA"/>
        </w:rPr>
        <w:t>أضفى على الشريعة مرونة قابلة للتطبيق على مرّ العصور وفي كافة صُعُد الحياة مهما تطورت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يحسّ بواقع الحياة المتطورة العصر الحاضر وتعقيداتها، يقف على أنّ التفريق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شاق على العمال والموظفين بنحو قد ينتهي بهم، إمّا إلى تحمل المشقة الكبيرة، أو إلى ترك الصلاة من رأس، وربما ينجرّ الأمر إلى الإعراض عن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لفقهاء السنّة الواعين أن يأخذوا بنظر الاعتبار السماحة التي نادى بها الإسلام، في اجتهاداتهم، والسعة التي جاءت بها الأخبار في حساباتهم، وأن يعلنوا للملأ بصراحة أنّ الجمع بين الظهرين والعشاءين أمر مرخّص فيه موافق للشريعة، وإن كان التوقيت أفضل، فمن فرّق فله فضل التوقيت، ومن جمع فقد أدّى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الروايات الّتي قارب عددها الثلاثين، تدلّ على أن النبي الأكرم صلى الله عليه و آله و سلم قام بأمر من صاحب الشريعة بالجمع بين الصلاتين لأجل رفع الحرج عن المسلمين والتوسعة عليهم، وأنّهم على خيار بين التفريق والجمع، وليس الثاني أداءً للصلاة في غير وقتها بل في غير وقت الفضيلة، وقد عرفت أن هذا المذهب يؤيده الذكر الحكيم،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العمل بالكتاب والسنّة المطهرة، مكان الجمود والتعصب للمذاهب الفقهية</w:t>
      </w:r>
      <w:r>
        <w:rPr>
          <w:rFonts w:eastAsia="Amiri" w:cs="Amiri" w:ascii="Amiri" w:hAnsi="Amiri"/>
          <w:color w:val="111111"/>
          <w:sz w:val="28"/>
          <w:szCs w:val="28"/>
          <w:rtl w:val="true"/>
          <w:lang w:bidi="ar-SA"/>
        </w:rPr>
        <w:t>.</w:t>
      </w:r>
      <w:bookmarkStart w:id="656" w:name="pg16780_177252"/>
    </w:p>
    <w:p>
      <w:pPr>
        <w:pStyle w:val="Heading4"/>
        <w:numPr>
          <w:ilvl w:val="3"/>
          <w:numId w:val="1"/>
        </w:numPr>
        <w:rPr/>
      </w:pPr>
      <w:bookmarkStart w:id="657" w:name="__RefHeading___Toc7189949_73709187"/>
      <w:bookmarkStart w:id="658" w:name="_Toc248"/>
      <w:bookmarkEnd w:id="656"/>
      <w:bookmarkEnd w:id="657"/>
      <w:r>
        <w:rPr/>
        <w:t>8</w:t>
      </w:r>
      <w:r>
        <w:rPr>
          <w:rtl w:val="true"/>
        </w:rPr>
        <w:t xml:space="preserve"> </w:t>
      </w:r>
      <w:r>
        <w:rPr>
          <w:rtl w:val="true"/>
        </w:rPr>
        <w:t>الجمع بين الصلاتين في أحاديث أهل البيت عليهم السلام</w:t>
      </w:r>
      <w:bookmarkEnd w:id="658"/>
    </w:p>
    <w:p>
      <w:pPr>
        <w:pStyle w:val="BookText"/>
        <w:rPr/>
      </w:pPr>
      <w:r>
        <w:rPr>
          <w:rFonts w:ascii="Amiri" w:hAnsi="Amiri" w:eastAsia="Amiri" w:cs="Amiri"/>
          <w:color w:val="111111"/>
          <w:sz w:val="28"/>
          <w:sz w:val="28"/>
          <w:szCs w:val="28"/>
          <w:rtl w:val="true"/>
          <w:lang w:bidi="ar-SA"/>
        </w:rPr>
        <w:t>إن كاتب الرسالة زعم أنّ أئمة أهل البيت عليهم السلام قالوا بعزيمة التفريق وحرمة الجمع إلّافي موارد خاصّة، واستشهد بالروايات المروية عنهم لبيان وقت الفضيلة، وأغفل ما دل على الترخيص اختياراً وبلا عذر، ولأجل ذلك نأتي بما عليه الإمامية في وقت الصلوات، مع ذكر روايات أئمة أهل البيت صلى الله عليه و آله و سلم في مجال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الجواز، وإنْ كان التفريق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الجمع بين الصلاتين في مذهب الإمامية الإتيان بإحدى الصلاتين في غير وقتها الشرعي، بل المراد الإتيان بها في وقت الإجزاء، ولكن في غير وقت الفضيلة، وإليك التفصيل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زالت الشمس دخل الوقتان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صلاة الظهر يُؤتى بها قبل العصر، وعلى ذلك فالوقت بين الظهر والغروب وقت مشترك بين الصلاتين، غير أنّه يختص مقدار أربع ركعات من الزوال بالظهر، ومقدار أربع ركعات قبل الغروب بالعصر، وما بينهما وقت مشترك، فلو صلّى الظهر والعصر في أي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الزوال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بهما في وقتهما، وذلك لأنّ الوقت مشترك بينهما، غير أنّه يختص بالظهر مقدار أربع ركعات من أوّل الوقت ولا تصحّ فيه صلاة العصر، ويختص بالعصر مقدار أربع ركعات من آخر الوقت ولا يصحّ الإتيان بصلاة الظهر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واقع المذهب، فالجامع بين الصلاتين في غير الوقت المختص به آت بالفريضة في وقتها فصلاته أداء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فلكلّ من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وقت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فوقت فضيلة الظهر يبدأ من أول الزوال إلى أن يبلغ ظل الشاخص الحادث بعد الانعدام أو بعد الانتهاء مثله، ووقت فضيلة العصر من المثل إلى المثلين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وقت صلاتي المغرب والعشاء، فإذا غربت الشمس دخل الوقتان إلى نصف الليل، وتختص صلاة المغرب بأوّله بمقدار أدائها، وصلاة العشاء بآخره كذلك، وما بينهما وقت مشترك، ومع ذلك فلكلّ من الصلاتين وقتَ فضيلة، فوقت فضيلة صلاة المغرب من المغرب إلى ذهاب الشفق وهي الحمرة المغربية، ووقت فضيلة العشاء من ذهاب الشفق إلى ثلث الليل</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وأكثر من يستغرب جمع الشيعة الإمامية بين الصلاتين لأجل أنّه يتصور انّ الجامع يصلّي إحدى الصلاتين في غير وقتها، ولكنّه عزب عن باله أنّه يأتي بالصلاة في غير وقت الفضيلة، ولكنّه يأتي بها في وقت الإجزاء، ولا غرو أن يكون للصلاة أوقاتاً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الاختصاص كما في أربع ركعات من أوّل الوقت وآخره، أو ثلاث ركعات بعد المغرب وأربع ركعات قبل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وقد عرفت تفصيله في الظهرين والعشاءين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الإجزاء، وهو مطلق ما بين الحدّين إلاّ ما يختصّ بإحدى الصلاتين، فيكون وقت الإجزاء أعمّ من وقت الفضيلة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عن أئمّة أهل البيت أنّه إذا زالت الشمس دخل الوقتان إلّاأنّ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كاتب الرسالة أغفل أكثر ما روي عن أئمة أهل البيت عليهم السلام في جواز الجمع بين الصلاتين في الحضر اختياراً، كما أغفل بيان نظرية المذهب في الجمع بين الصلاتين، وأنّه ليس بمعنى إقامة إحدى الصلاتين في وقت الأُخرى، بل جمع بينهما في وقت الإجزاء، وأن دلوك الشمس إلى غروبها وقت للصلاتين كما هو الظاهر من آية 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نذكر ما هو مذهب أئمة البيت عليهم السلام في ذلك عبر الروايات، حتّى يتبين أن الكاتب ينتقي من الأحاديث ما ينفعه بظاهره، ويترك ما يضره بصريحه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بإسناده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زالت الشمس دخل الوقتان الظهر والعصر، فإذا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القاسم بن عروة،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وقت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والعصر جميعاً، إلّا ان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عمّار، عن الصباح بن سيّابة،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منصور بن يونس،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أنّه إذا زالت الشمس فقد دخل وقت الظهر والعصر وإذا غربت دخل وقت المغرب والعشاء الآخرة، إلّاأن هذه قبل هذه في السفر والحضر، وإنّ وقت المغرب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الوقت، غير أن وقت المغرب ضيّق</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و سلم بالناس الظهر والعصر حين زالت الشمس في جماعة من غير علّة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عبيد بن زرارة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دخل وقت الصلاتين إلى نصف الليل، إلّاان هذه قبل هذه، وإذا زالت الشمس فقد دخل وقت الصلاتين إلّاان هذه قبل هذه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بن السمط،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فرقد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فقد دخل وقت الظهر حتّى يمضي مقدار ما يصلّي المصلّي أربع ركعات، فإذا مضى ذلك، فقد دخل وقت الظّهر والعصر حتّى يبقى من الشّمس مقدار ما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فإذا بقي مقدار ذلك فقد خرج وقت</w:t>
      </w:r>
    </w:p>
    <w:p>
      <w:pPr>
        <w:pStyle w:val="BookText"/>
        <w:rPr/>
      </w:pPr>
      <w:r>
        <w:rPr>
          <w:rFonts w:ascii="Amiri" w:hAnsi="Amiri" w:eastAsia="Amiri" w:cs="Amiri"/>
          <w:color w:val="111111"/>
          <w:sz w:val="28"/>
          <w:sz w:val="28"/>
          <w:szCs w:val="28"/>
          <w:rtl w:val="true"/>
          <w:lang w:bidi="ar-SA"/>
        </w:rPr>
        <w:t>الظّهر وبقي وقت العصر حتّى تغيب الشّمس</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هذه عشرة كاملة تدل بوضوح على أن بين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للصلاتين إلّاما استثني مقدار أربع ركعات من أوّل الوقت وآخره، كما أن بين الغروب وانتصاف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للصلاتين إلّاما استثني، كما في الظهرين، فبأي دليل ترك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آل البيت وراءهم ظهريّاً، واقتصروا على ما دل على أفضلية التفريق مستنتجين منها، العزيمة، والتعّين‌؟ أليس عملهم هذا يجسد قول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من الأسباب الدافعة إلى صلاحية الإسلام للبقاء والخلود، مرونة أحكامه الّتي تمكّنه من أن يواكب جميع الأزمنة والحضارات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العوامل الموجبة لمرونة هذا الدين وانطباقه على جميع الحضارات الإنسانية، وجود القوانين الخاصة الّتي لها دور التحديد والرقابة بالنسبة إلى عامّة تشريعاته، وقد تمثّلت تلك القوانين بنفي الحرج والضرر،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متين فأوغلوا فيه برفق، ولا تكرهوا عبادة اللّه إلى عباد اللّه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وقال صلى الله عليه و آله و سلم في حديث لعثمان بن مظعون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لم يرسلني اللّه تعالى بالرهبانية ولكن بعثني بالحنيفية السهلة السمحة</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فهذه الآيات والروايات تعرب عن أنّ الإسلام دين الوسط بين التحجّر والجمود، والانحلال ورفض القيود، ولذلك نرى أنّ كثيراً من الأحكام إنّما تجري على المكلّفين بشرط أن لا يكون ضررياً أو حرجياً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أنّه سبحانه كما يحب أن يؤخذ بعزائمه يحب أن يؤخذ برخصه، وقد عرفت أنّ الصادع بالحق جمع بين الصلاتين في الحضر من دون سفر ولا علّة بل لتسهيل الأمر على الأُمّة، وقد تضافر ذلك بل تواتر عنه ضمن ما يقارب ثلاثين رواية كما مرّ، فالإعراض عن الشريعة السهلة السمحاء وعدم الاعتداد بما ورد من الترخيص ينافي روح التسليم لما قضى اللّه ورسوله به،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ينبغي أن يبعث فقهاء الجمهور على أن يدرسوا مسألة الجمع بين الصلاتين من دون رأي مسبق ومن دون تقليد لأئمة الفقه، بل في جو هادئ مجرد عن التعصّب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 النبيّ صلى الله عليه و آله و سلم الّذي قام بتحديد مواقيت الصلوات الخمس، هو نفسه صلى الله عليه و آله و سلم الّذي</w:t>
      </w:r>
    </w:p>
    <w:p>
      <w:pPr>
        <w:pStyle w:val="BookText"/>
        <w:rPr/>
      </w:pPr>
      <w:r>
        <w:rPr>
          <w:rFonts w:ascii="Amiri" w:hAnsi="Amiri" w:eastAsia="Amiri" w:cs="Amiri"/>
          <w:color w:val="111111"/>
          <w:sz w:val="28"/>
          <w:sz w:val="28"/>
          <w:szCs w:val="28"/>
          <w:rtl w:val="true"/>
          <w:lang w:bidi="ar-SA"/>
        </w:rPr>
        <w:t>جمع بين الصلاتين لرفع الحرج عن أُمّته، ولم يترك ذلك للأجيال الآتية حتّى يقوم الفقهاء بتحديدها في ضوء ما دل على عدم الحرج في الدين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أمر مهم نعطف نظر الفقهاء إليه، وهو أنّ إيقاع الصلاة في المواقيت الخمسة وإن كان مقروناً بالفضيلة إلّاأنّ الإصرار عليها في عامة الظروف صار سبباً لترك الصلاة من قبل كثير من العمال والموظفين والشباب الجامعيين خصوصاً في أوربا وأمريكا وغيرها من بلاد الغرب، لأنّ ظروف الحياة وكيفية العمل والاشتغال لا تسمح لهم بأداء الصلاة في أوقات مختلفة، كل ذلك من نتائج الإصرار على حفظ مواقيت الصلوات الخمس وعدم المبالاة بالرخص الواردة عن النبي صلى الله عليه و آله و سلم في حياته في غير واحد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مغبَّة ترك الصلاة من قبل هؤلاء ستقع على عاتق هؤلاء المصرّين على أنّ لكل صلاة وقتاً خاصاً لا غير</w:t>
      </w:r>
      <w:r>
        <w:rPr>
          <w:rFonts w:eastAsia="Amiri" w:cs="Amiri" w:ascii="Amiri" w:hAnsi="Amiri"/>
          <w:color w:val="111111"/>
          <w:sz w:val="28"/>
          <w:szCs w:val="28"/>
          <w:rtl w:val="true"/>
          <w:lang w:bidi="ar-SA"/>
        </w:rPr>
        <w:t>.</w:t>
      </w:r>
      <w:bookmarkStart w:id="659" w:name="pg16780_177267"/>
    </w:p>
    <w:p>
      <w:pPr>
        <w:pStyle w:val="Heading4"/>
        <w:numPr>
          <w:ilvl w:val="3"/>
          <w:numId w:val="1"/>
        </w:numPr>
        <w:rPr/>
      </w:pPr>
      <w:bookmarkStart w:id="660" w:name="__RefHeading___Toc7189951_73709187"/>
      <w:bookmarkStart w:id="661" w:name="_Toc249"/>
      <w:bookmarkEnd w:id="659"/>
      <w:bookmarkEnd w:id="660"/>
      <w:r>
        <w:rPr>
          <w:rtl w:val="true"/>
        </w:rPr>
        <w:t>خاتمة تساؤلات وأجوبتها</w:t>
      </w:r>
      <w:bookmarkEnd w:id="661"/>
    </w:p>
    <w:p>
      <w:pPr>
        <w:pStyle w:val="BookText"/>
        <w:rPr/>
      </w:pPr>
      <w:r>
        <w:rPr>
          <w:rFonts w:ascii="Amiri" w:hAnsi="Amiri" w:eastAsia="Amiri" w:cs="Amiri"/>
          <w:color w:val="111111"/>
          <w:sz w:val="28"/>
          <w:sz w:val="28"/>
          <w:szCs w:val="28"/>
          <w:rtl w:val="true"/>
          <w:lang w:bidi="ar-SA"/>
        </w:rPr>
        <w:t>إنّ في الكتيّب أُموراً تحتاج إلى 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مؤلف الكتيّب نشأت في بيئة يرفع الأذان من بعض مآذنها ثلاث مرات، ومن البعض الآخر خمس، وتولدت في نفسي تساؤلات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الاقتصار على ثلاثة أوقات أقل ما فيه أنْ يَدع المسلم في شك من صحة أداء أعظم أعمال الدين مهما كانت درجة هذا الشك، أما تفريق الصلوات على أوقاتها فإنّه يقطع هذا الشك، ويبعث في النفس الطمأنينة والارتياح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أقفل باب الاجتهاد على نفسه ولم يدرس ما ورد في الكتاب والسنّة حول أوقات الصلاة، ربّما يعرض له الشك فعليه أنّ يحتاط بالتفريق، لأنّ وظيفة الجاهل عند الشك في المكلَّف به هو الاحتياط، والاشتغال اليقيني يقتضي البراءة اليقينيّة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فتح باب الاجتهاد على مصراعيه، وأمعن النظر في الكتاب والسنّة وامتثل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وضمّ ما فهمه من الكتاب، إلى ما ورد في السنّة المطهرة، وما روي عن أئمة أهل البيت عليهم السلام، أعدال الكتاب وقرنائه في حديث الثقلين، فيلزم عليه العمل بما صدع به الحق في الكتاب والسنّة وقد عرفت دلالتهما على سعة الوقت وعدم ضيقه، وأن بين الدلوك والمغرب وقت للصلاتين، كما أن طرفي النهار أوقات للصلاة، ودلت السنّة المحمدية على أنّه جمع بين الصلاتين بلا عذر ولا علّة لئلّا</w:t>
      </w:r>
    </w:p>
    <w:p>
      <w:pPr>
        <w:pStyle w:val="BookText"/>
        <w:rPr/>
      </w:pPr>
      <w:r>
        <w:rPr>
          <w:rFonts w:ascii="Amiri" w:hAnsi="Amiri" w:eastAsia="Amiri" w:cs="Amiri"/>
          <w:color w:val="111111"/>
          <w:sz w:val="28"/>
          <w:sz w:val="28"/>
          <w:szCs w:val="28"/>
          <w:rtl w:val="true"/>
          <w:lang w:bidi="ar-SA"/>
        </w:rPr>
        <w:t>يحرج أُمّته، فالجامع إذاً بين الصلاتين على بينة من ربه بفضل كتابه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التفريق إذا كان موافقاً للاحتياط، فإنّه مخالف له من جانب آخر، وذلك أن إلزام الناس بالتفريق صار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الصلاة في كثير من البلدان بين الشباب والعمال الموظفين حيث لا تسمح لهم الظروف بالتفريق، ووِزر هؤلاء في ترك عمود الدين على ذمة هؤلاء المفتين المنغلقين على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سألت أي عالم عن جمع الصلوات وتفريقها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أم الإفراد،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الإفراد أفضل فلماذا نترك الأفضل‌؟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الإفراد أفضل، وليس ثمّة ما يمنع من الإفراد، ولكن الإصرار على التفريق، والقول بأن من جمع بين الصلاتين كمن ترك الصلاتين، بدعة وضلالة، لأنّه إفتاء على خلاف الكتاب وعلى خلاف ما تضافر عن أئمة أهل البيت عليهم السلام بأنّه إذا زالت الشمس دخل الوقتان إلّاأن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العملين أقرب إلى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من جمع بين الصلاتين ركوناً إلى الكتاب والسنّة، أم من ترك هداية الكتاب والسنّة في مورد الجمع، وأفتى ببطلان الصلاة عند الجمع‌؟ فما لكم كيف تحكمون‌؟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بالجمع بين الصلاتين في السفر والمطر والبرد الشديد أو في القتال ففي مثل هذه الحالات الاستثنائية ومنها الحرج وأسبابه كثيرة، فإذا زالت هذه الأسباب، وانتهت الحالة الاستثنائية نرجع إلى ما كان عليه الرسول صلى الله عليه و آله و سلم في الحالات الاعتيادية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يُمعن في الروايات الواردة عن الرسول</w:t>
      </w:r>
    </w:p>
    <w:p>
      <w:pPr>
        <w:pStyle w:val="BookText"/>
        <w:rPr/>
      </w:pPr>
      <w:r>
        <w:rPr>
          <w:rFonts w:ascii="Amiri" w:hAnsi="Amiri" w:eastAsia="Amiri" w:cs="Amiri"/>
          <w:color w:val="111111"/>
          <w:sz w:val="28"/>
          <w:sz w:val="28"/>
          <w:szCs w:val="28"/>
          <w:rtl w:val="true"/>
          <w:lang w:bidi="ar-SA"/>
        </w:rPr>
        <w:t>الأعظم صلى الله عليه و آله و سلم في سبب الجمع حيث يدّعي أن الجمع كان أمراً استثنائياً وأن النبيّ صلى الله عليه و آله و سلم جمع عند وجود الحرج، فعلينا أيضاً ان نجمع عنده ونفرق عند عدمه، وغفل عن أن النبي صلى الله عليه و آله و سلم جمع عندما لم يكن شيء من أسباب الحرج لا المطر ولا الوحل ولا الخوف ولا القتال ولا السفر وإنّما جمع عند الراحة، وما هذا إلّاليُفهم الأُمة أن التفريق ليس عزيمة بل هو رخصة، فلذلك ترك التفريق مع عدم الحرج لإفهام هذا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ضوء ما ذكرنا لم يكن الجمع حالة استثنائية في الشريعة الإسلامية بل كان تشريعاً إلى جنب تشريع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الأفضل فليفرّق ومن أراد غيره فليجمع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التساؤلات الّتي طرحها المؤلف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ضمّ إلى الكتيّب فصلاً نسبه إلى أحد الشيعة المقيمين في حي الوحدة بمحافظة القادسية، ووصف ذلك الفصل بأنّه قيم يزيد القارئ نوراً على نور، وها نحن نذكر شيئاً ممّا ورد في الفصل حتّى نقف على 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الرجل ذكر الروايات الواردة في الجمع بين الصلاتين لعذر وترك كثيراً ممّا ورد عن النبي صلى الله عليه و آله و سلم وأهل بيته عليهم السلام حول الجمع بين الصلاتين لا لعذر، وليس هذا طريق التحقيق وتحرّي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تصوّر أن الدليل الوحيد على الجمع بين الصلاتين، هو حديث ابن عباس ولذا حاول الإجابة عنه، ثم 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في حديث ابن عباس حصل بطريقة تسمى في الفقه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يؤخر الظهر إلى آخر وقتها فيصلّيها، ثم يقدّم العصر إلى أوّل وقتها فيصلّيها بعد أن صلّى الظهر مباشرة</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الجمع الصوري قد فعله النبي صلى الله عليه و آله و سلم كي لا يُحرج أُمّته أي أراد الرسول صلى الله عليه و آله و سلم أن يعلِّم الأُمّة أنّه عند وجود حرج ما من أي نوع كان هذا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مطر أو أي حرج آخر قد يحدث بتطور الحياة وتغير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الجمع في مثل هذا الظرف</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الجمع الصوري بين الصلاتين لم يكن رهن دليل خاص من قول النبي أو فعله، حتّى أنّه صلى الله عليه و آله و سلم لو لم يفعل لكفت أدلة التوقيت في جواز هذا الجمع، وذلك لأنها حددت وقت الظهر إلى صيرورة الظل مثله، ووقت العصر إلى صيرورته مثليه، فللمصلي أن يتمسك بإطلاق الدليل، ويصلي الظهر في آخر وقت الظهر، والعصر في أوّله، فإذا كانت أدلة التوقيت ترخّص لنا هذا النوع من الجمع، فما هي الحاجة إلى جمع الرسول صلى الله عليه و آله و سلم بين الصلوات، وعناية الحفاظ الأثبات بنقل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 الرسول يشهد أنّه صلى الله عليه و آله و سلم كان بصدد بيان حكم جديد غير مفهوم من أدلّة التوقيت، وليس هو إلّاالجمع الحقيقي لا الصوري أي الجمع في الوقت لا الجمع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فرد من الأُمّة بظرف يُحرجه فيجوز له أن يجمع الصلاة جمعاً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إحراجاً فوق إحراج التفريق، لما مرّ من أن معرفة آخر الوقت وأوله، أمر أصعب من التفريق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القارئ النابه يجد أن الاتجاه العام لكتيّب الدكتور طه الدليمي، يغلب عليه جانب الانتقاء والاحتمال، والتعسّف في فهم معاني الأخبار، الّذي أدى في بعض الأحيان إلى تحريف بعض ألفاظها، كما في حديث</w:t>
      </w:r>
    </w:p>
    <w:p>
      <w:pPr>
        <w:pStyle w:val="BookText"/>
        <w:rPr/>
      </w:pPr>
      <w:r>
        <w:rPr>
          <w:rFonts w:ascii="Amiri" w:hAnsi="Amiri" w:eastAsia="Amiri" w:cs="Amiri"/>
          <w:color w:val="111111"/>
          <w:sz w:val="28"/>
          <w:sz w:val="28"/>
          <w:szCs w:val="28"/>
          <w:rtl w:val="true"/>
          <w:lang w:bidi="ar-SA"/>
        </w:rPr>
        <w:t>ابن عباس، المارّ الذكر، الّذي أخرجه البخاري</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كما يجد فيه القارئ محاولات للتمويه على القرّاء،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الأخبار السقيمة، وغضّ الطرف عمّا قاله نقّاد السنّة في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يوجب الاستغراب أنّه يورد مثل هذه الأخبار الّتي تؤيد أنّ الجمع الّذي فعله رسول اللّه صلى الله عليه و آله و سلم كان جمعاً صورياً، من أجل أن يصل إلى ختام يقيني في المسألة، حسب تعبيره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وهاك الأخبار الثلاثة الّتي جعلها ختاماً يقينياً في المسألة، مع بيان قيمتها عند نقّاد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في الكبرى عن عبداللّه بن عباس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النبي صلى الله عليه و آله و سلم بالمدينة ثمانياً جميعاً وسبعاً جميعاً، أخّر الظهر وعجل العصر، وأخّر المغرب وعجّل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بين صلاتين من غير عذر، فقد أتى باباً عظيماً من أبواب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رضي اللّه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رسول اللّه صلى الله عليه و آله و سلم الصلاة لوقتها الآخر مرتين حتّى قبضه اللّه عزّوجل</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الأوّل، فقد مضى قول الشيخ الألباني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مُدرَج، كما مرّ عليك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أن الغاية من إيراد هذا الخبر، هو القول المذكور، فإذا تبيّن أنّه</w:t>
      </w:r>
    </w:p>
    <w:p>
      <w:pPr>
        <w:pStyle w:val="BookText"/>
        <w:rPr/>
      </w:pPr>
      <w:r>
        <w:rPr>
          <w:rFonts w:ascii="Amiri" w:hAnsi="Amiri" w:eastAsia="Amiri" w:cs="Amiri"/>
          <w:color w:val="111111"/>
          <w:sz w:val="28"/>
          <w:sz w:val="28"/>
          <w:szCs w:val="28"/>
          <w:rtl w:val="true"/>
          <w:lang w:bidi="ar-SA"/>
        </w:rPr>
        <w:t>مُدرَج وأنّه من كلام بعض الرواة، ولم يصدر عن ابن عباس، انتقضت الغاية من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الخبر الثاني، فسنجد في 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حال هذا الراوي عند نقّاد الحديث‌؟</w:t>
      </w:r>
    </w:p>
    <w:p>
      <w:pPr>
        <w:pStyle w:val="BookText"/>
        <w:rPr/>
      </w:pPr>
      <w:r>
        <w:rPr>
          <w:rFonts w:ascii="Amiri" w:hAnsi="Amiri" w:eastAsia="Amiri" w:cs="Amiri"/>
          <w:color w:val="111111"/>
          <w:sz w:val="28"/>
          <w:sz w:val="28"/>
          <w:szCs w:val="28"/>
          <w:rtl w:val="true"/>
          <w:lang w:bidi="ar-SA"/>
        </w:rPr>
        <w:t>قال الترمذي الّذي أخرج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وحنش هذا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 عند أهل الحديث، ضعّفه أحمد وغيره</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 لا أروي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منكرة جداً،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وأما الخبر الثالث، فقال عنه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وليس إسناده بمتصل</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وفي سنده إسحاق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الدارقطني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طريق الوصول إلى الختام اليقينيّ‌، هو هذه الأخبار السقيمة، الّتي</w:t>
      </w:r>
    </w:p>
    <w:p>
      <w:pPr>
        <w:pStyle w:val="BookText"/>
        <w:rPr/>
      </w:pPr>
      <w:r>
        <w:rPr>
          <w:rFonts w:ascii="Amiri" w:hAnsi="Amiri" w:eastAsia="Amiri" w:cs="Amiri"/>
          <w:color w:val="111111"/>
          <w:sz w:val="28"/>
          <w:sz w:val="28"/>
          <w:szCs w:val="28"/>
          <w:rtl w:val="true"/>
          <w:lang w:bidi="ar-SA"/>
        </w:rPr>
        <w:t>يهدف الكاتب من ورائها إقناع القارئ بموضوعه، فما ظنّك بما جاء قبل الختام من كلام مزخرف، واحتمالات بعيدة، وتحريفات مقصودة أو غير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ظهيرة يوم الحادي عشر من شهر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662" w:name="pg16780_177281"/>
    </w:p>
    <w:p>
      <w:pPr>
        <w:pStyle w:val="Heading3"/>
        <w:numPr>
          <w:ilvl w:val="2"/>
          <w:numId w:val="1"/>
        </w:numPr>
        <w:rPr/>
      </w:pPr>
      <w:bookmarkStart w:id="663" w:name="__RefHeading___Toc7189953_73709187"/>
      <w:bookmarkStart w:id="664" w:name="_Toc250"/>
      <w:bookmarkEnd w:id="662"/>
      <w:bookmarkEnd w:id="663"/>
      <w:r>
        <w:rPr/>
        <w:t>2</w:t>
      </w:r>
      <w:r>
        <w:rPr>
          <w:rtl w:val="true"/>
        </w:rPr>
        <w:t xml:space="preserve"> </w:t>
      </w:r>
      <w:r>
        <w:rPr>
          <w:rtl w:val="true"/>
        </w:rPr>
        <w:t>الخمس فريضة شرعية</w:t>
      </w:r>
      <w:bookmarkEnd w:id="664"/>
    </w:p>
    <w:p>
      <w:pPr>
        <w:pStyle w:val="Heading4"/>
        <w:numPr>
          <w:ilvl w:val="3"/>
          <w:numId w:val="1"/>
        </w:numPr>
        <w:rPr/>
      </w:pPr>
      <w:bookmarkStart w:id="665" w:name="__RefHeading___Toc7189955_73709187"/>
      <w:bookmarkStart w:id="666" w:name="_Toc251"/>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دراسة تحليلية لحكم الخمس في الكتاب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العزيز والسنة المطّهرة</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bookmarkStart w:id="667" w:name="pg16780_177285"/>
    </w:p>
    <w:p>
      <w:pPr>
        <w:pStyle w:val="Heading4"/>
        <w:numPr>
          <w:ilvl w:val="3"/>
          <w:numId w:val="1"/>
        </w:numPr>
        <w:rPr/>
      </w:pPr>
      <w:bookmarkStart w:id="668" w:name="__RefHeading___Toc7189957_73709187"/>
      <w:bookmarkStart w:id="669" w:name="_Toc252"/>
      <w:bookmarkEnd w:id="667"/>
      <w:bookmarkEnd w:id="668"/>
      <w:r>
        <w:rPr>
          <w:rtl w:val="true"/>
        </w:rPr>
        <w:t>مقدّمة المؤلّف</w:t>
      </w:r>
      <w:bookmarkEnd w:id="6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المبعوث رحمة للعالمين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الدور التاريخي المؤثّر لعلماء الإسلام في حياة الأُمّة، تحدّياً سافراً للأعداء الطامعين بها، والمتربّصين بها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أثبتت الأحداثُ الجمّة التي مرّت على العالم الإسلاميّ‌، أنّ القيادة العلمائيّة، هي الأجدر بتحمّل مسؤولية الحفاظ على المبادئ والقيم التي آمنت بها الأُمّة، والدفاع عن كيانها، وصَوْن كرامتها وعزّتها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قام به العلماء من دور فاعل في مقارعة الاستعمار الغربيّ بشتى وجوهه، وفي مواجهة قوى الإلحاد والطغيان والاستبداد، أمر لا يمكن أن يُنكره أحد يحترم الحقيقة، كيف‌؟ وهذه صفحات التاريخ المعاصر، قد سَطّرت بأحرفٍ من نور مواقفَهم الجريئة والحكيمة في التصدي للمشروع الاستعماري البغيض، وقُدراتِهم الجبارة في تعبئة الجماهير باتجاه هذا الهدف المقدّس، وسعيَهم الدائبَ لفضح مؤامراتهم ومخطّطاتهم الشيطانية الرامية إلى خداع الأُمة عن دينها ومبادئها وتطلّعاتها وآمالها، وإلى تحطيم مقوّمات وحدتها وقوّتها ومنَعَتها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العلماء بذلك، بل قادوا جموعَ الثائرين، وانضمّوا إلى صفوف</w:t>
      </w:r>
    </w:p>
    <w:p>
      <w:pPr>
        <w:pStyle w:val="BookText"/>
        <w:rPr/>
      </w:pPr>
      <w:r>
        <w:rPr>
          <w:rFonts w:ascii="Amiri" w:hAnsi="Amiri" w:eastAsia="Amiri" w:cs="Amiri"/>
          <w:color w:val="111111"/>
          <w:sz w:val="28"/>
          <w:sz w:val="28"/>
          <w:szCs w:val="28"/>
          <w:rtl w:val="true"/>
          <w:lang w:bidi="ar-SA"/>
        </w:rPr>
        <w:t>المقاتلين في ساحات الجهاد، للذَّود عن الدين والشرف والوطن، وتحرير البلاد وتطهيرها من دَنَسهم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هذا الدور بشكل أكبر في أواخر القرن الهجري الماضي، ومطلع هذا القرن عندما هلَّ هلالُ الفتح والنصر على العالم الإسلاميّ‌، بتأسيس دولة إسلامية، تهدف إلى تحكيم القرآن المجيد والسنّة الشريفة، وإحلال الأحكام الشرعية محلّ القوانين الوضعية الغربية، وذلك بفضل ثورة، قادها علماء الإسلام ومراجع الدين، وبمساندة قطاعات الشعب المختلفة، التي التفّت حولهم، من أجل تطبيق الشريعة في كافة نواحي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والاقتصادية، والاجتماعية، والثقافية،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أوجد هذا الحدثُ الفذُّ هزَّةً عنيفةً في العالم، وأحدثَ زلزالاً كبيراً في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وصف رئيس الوزراء الصهيوني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أرعب المستكبرين وصنائعَهم، من الكيان الصهيوني، والأنظمة الجائرة الحاكمة في بعض البلدان الإسلامية، لِما تحملُه هذه الثورة من مشروع تغييريّ شامل، يحقِّق طموح الناس للعيش في أفياء حياة حرّة كريمة طيّبة، بعدما ذاقُوا مرارةَ الحرمان، وذُلَّ الهوان في ظلٍّ من يحموم الأنظمة التابعة للشرق أو للغرب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أحسّ الأعداءُ وأذنابُهم، بأنّ أَثَر هذه الثورة المباركة قد امتدّ إلى سائر الشعوب الإسلامية، بل إلى الشعوب المستضعَفة، وأن الصحوة الإسلامية أخذت تتوسّع، والوعيَ الدينيّ والسياسيّ بدأ ينمو في أوساط الأُمة، جنّ جنونُهم، وانهمكوا في وضع الخطط والبرامج لإيقاف هذا الزحف الميمون، أو للحدّ من تقدّمه، وذلك بإشعال نار الفتن الداخلية، والحصار الاقتصادي، والغزو الفكري والثقافي، ودفع بعض الحمقى وأعوانهم ممّن تتحكّم بهم العُقد الطائفية، والروح الفرعونية إلى معاداة الثورة ومحاربتها إعلامياً وسياسياً، وشنّ‌</w:t>
      </w:r>
    </w:p>
    <w:p>
      <w:pPr>
        <w:pStyle w:val="BookText"/>
        <w:rPr/>
      </w:pPr>
      <w:r>
        <w:rPr>
          <w:rFonts w:ascii="Amiri" w:hAnsi="Amiri" w:eastAsia="Amiri" w:cs="Amiri"/>
          <w:color w:val="111111"/>
          <w:sz w:val="28"/>
          <w:sz w:val="28"/>
          <w:szCs w:val="28"/>
          <w:rtl w:val="true"/>
          <w:lang w:bidi="ar-SA"/>
        </w:rPr>
        <w:t>الحرب العسكرية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تأتِ هذه الأساليب أُكُلَها كما يشتهون ضمّوا إليها أسلوباً آخر، لعلّهم يتوصّلون به إلى تحقيق مآربهم الشريرة، وقد تمثّل هذا الأُسلوب في توجيه ضرباتٍ للمرجعية الدينية، والكيان الحوزوي، باعتبارهما قمّة الهرم في التحرك الجماهيري الواعي والمتّزن، والعملِ على فكّ الارتباط والالتحام بين المرجعية الدينية وبين القاعدة الشعبية العريضة التي تؤمن بقيادتها، وتستجيب لتوجيهاتها وإرشاداتها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وراء تحقيق هذا الغرض، كرّس الأعداء، وأصحاب المطامع والأهواء، ومن خسرت صفقتهم في سوق العقل والدليل والبرهان، كرّسوا جهودهم لتشويه صورة المرجعية الرشيدة، وإثارة الشبهات حولها، وتوجيه سهام الانتقادات إليها، ومحاولة تجفيف منابعها المالية التي تستعين بها على إقامة أمر الدين، وتعزيز الوجود الإسلامي، وإنعاش حياة المسلمين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لَيعجب من كثرة الكتابات التي تطرحها المطابع كل أسبوع، وبمختلف اللغات، وتُنشر على نطاق واسع، ولا غاية لها سوى تهميش وإلغاء دور المرجعية الدينية وكيانها المتمثل في العلماء المخلصين، وعزل الجماهير عنها، ليسهل لهم فيما بعدُ تمريرُ سياساتهم التي تضادّ مصالح الأُمّة، وتنفيذُ مآربهم في السيطرة على ثرواتها، والتحكّم بمقدّراتها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هذه الإصدارات كتاب نشر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بين الفريضة الشرعية والضريبة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سليمان بن صالح الخراشي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الكتاب قد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الالكتروني، كما تم تلخيصه وطبعه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جزية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أن مؤلفه شخص يُدعى‌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علاء عباس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يدل على أن المؤلف ليس فقيها حتّى في مذهبه الحنبلي ولا عارفاً بالفقه الشيعي، والشاهد عليه وجود التناقض في عباراته، فتارة ينكر وجوب الخمس في غير الغنائم، وأُخرى يُقرّ به ولكن يُنكر وجود الدليل على دفعه إلى الفقهاء، وثالثة يُصرّ على أن أئمة أهل البيت عليهم السلام قد أحلّوه في زمان الغيبة، إلى غير ذلك من المشاغبات العديدة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المؤلف حسب زعمه في الفصل الأوّل عن ثمان حقائق، اعتبرها خطيرة ومفيدة، ويبدو أن أكثر ما أقلق المؤلف هو دفع الخمس إلى الفقهاء، وإلّا فلا نراه يُبالي فيما إذا دُفع الخمس إلى السادة وسائر المستحقين، مباشرة وهذا يشير إلى ان الهدف هو تضعيف المرجعيّة، التي هي سند النهضة الإسلامية وعمادها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القارئ الكريم سيقف على زيف 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أشبه بالاوهام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نترك البحث فيها، وندخل في صلب الموضوع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في كتاب اللّه وسنة النبي صلى الله عليه و آله و سلم وأحاديث أئمة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ما دلّ على حلّية الخمس في موارد أو فترة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جهاز الوكالة في عصر الحضور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فريضة الخمس وتولّي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الكتاب وما فيه من خزايا وخطايا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التي طرحها الكاتب، واجوبتها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يوفقنا لما فيه رضاه، وأن يجمع شمل المسلمين، ويقطع ألسنة المفرِّقين الذين لا همّ لهم سوى إثارة الفتن والأحقاد بين أبناء الجسد الإسلامي الواحد، لكي يُرضوا أسيادهم وأولياء نعمتهم</w:t>
      </w:r>
      <w:r>
        <w:rPr>
          <w:rFonts w:eastAsia="Amiri" w:cs="Amiri" w:ascii="Amiri" w:hAnsi="Amiri"/>
          <w:color w:val="111111"/>
          <w:sz w:val="28"/>
          <w:szCs w:val="28"/>
          <w:rtl w:val="true"/>
          <w:lang w:bidi="ar-SA"/>
        </w:rPr>
        <w:t>.</w:t>
      </w:r>
      <w:bookmarkStart w:id="670" w:name="pg16780_177293"/>
    </w:p>
    <w:p>
      <w:pPr>
        <w:pStyle w:val="Heading4"/>
        <w:numPr>
          <w:ilvl w:val="3"/>
          <w:numId w:val="1"/>
        </w:numPr>
        <w:rPr/>
      </w:pPr>
      <w:bookmarkStart w:id="671" w:name="__RefHeading___Toc7189959_73709187"/>
      <w:bookmarkStart w:id="672" w:name="_Toc253"/>
      <w:bookmarkEnd w:id="670"/>
      <w:bookmarkEnd w:id="671"/>
      <w:r>
        <w:rPr>
          <w:rtl w:val="true"/>
        </w:rPr>
        <w:t>الفصل الأوّل الخمس في الكتاب والسنة</w:t>
      </w:r>
      <w:bookmarkEnd w:id="672"/>
    </w:p>
    <w:p>
      <w:pPr>
        <w:pStyle w:val="Heading5"/>
        <w:numPr>
          <w:ilvl w:val="4"/>
          <w:numId w:val="1"/>
        </w:numPr>
        <w:rPr/>
      </w:pPr>
      <w:bookmarkStart w:id="673" w:name="__RefHeading___Toc7189961_73709187"/>
      <w:bookmarkStart w:id="674" w:name="_Toc254"/>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سوف نتطرق في هذا الفصل إلى ما جاء في الكتاب والسنة، ممّا يدلّ على وجوب الخمس في كل ما يغنمه الإنسان ويفوز به</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7189963_73709187"/>
      <w:bookmarkStart w:id="676" w:name="_Toc255"/>
      <w:bookmarkEnd w:id="675"/>
      <w:r>
        <w:rPr>
          <w:rtl w:val="true"/>
        </w:rPr>
        <w:t>الخمس في الكتاب العزيز</w:t>
      </w:r>
      <w:bookmarkEnd w:id="676"/>
    </w:p>
    <w:p>
      <w:pPr>
        <w:pStyle w:val="Heading6"/>
        <w:numPr>
          <w:ilvl w:val="5"/>
          <w:numId w:val="1"/>
        </w:numPr>
        <w:rPr/>
      </w:pPr>
      <w:bookmarkStart w:id="677" w:name="__RefHeading___Toc7189965_73709187"/>
      <w:bookmarkStart w:id="678" w:name="_Toc256"/>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الأصل في ضريبة الخمس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في أنّ الآية نزلت في مورد خاص، أعني يوم الفرقان، يوم التقى الجمعان وهو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لكن الكلام 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عام لكل ما يفوز به الانسان في حياته، أو خاص بما يظفر به في الحرب من السلب والنهب‌؟</w:t>
      </w:r>
    </w:p>
    <w:p>
      <w:pPr>
        <w:pStyle w:val="BookText"/>
        <w:rPr/>
      </w:pPr>
      <w:r>
        <w:rPr>
          <w:rFonts w:ascii="Amiri" w:hAnsi="Amiri" w:eastAsia="Amiri" w:cs="Amiri"/>
          <w:color w:val="111111"/>
          <w:sz w:val="28"/>
          <w:sz w:val="28"/>
          <w:szCs w:val="28"/>
          <w:rtl w:val="true"/>
          <w:lang w:bidi="ar-SA"/>
        </w:rPr>
        <w:t>وعلى فرض كونه عامّاً، فهل المورد مخصّص أو لا؟</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7189967_73709187"/>
      <w:bookmarkStart w:id="680" w:name="_Toc257"/>
      <w:bookmarkEnd w:id="679"/>
      <w:r>
        <w:rPr>
          <w:rtl w:val="true"/>
        </w:rPr>
        <w:t>الأوّل</w:t>
      </w:r>
      <w:r>
        <w:rPr>
          <w:rtl w:val="true"/>
        </w:rPr>
        <w:t xml:space="preserve">: </w:t>
      </w:r>
      <w:r>
        <w:rPr>
          <w:rtl w:val="true"/>
        </w:rPr>
        <w:t>الغنيمة مطلق ما يفوز به الانسان</w:t>
      </w:r>
      <w:r>
        <w:rPr>
          <w:rtl w:val="true"/>
        </w:rPr>
        <w:t>:</w:t>
      </w:r>
      <w:bookmarkEnd w:id="68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فالظاهر من أئمّة اللغة أنّه في الأصل أعمّ ممّا يظفر به الانسان في ساحات الحرب، بل هو لغة لكلّ ما يفوز به الانسان وإليك بعض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والاغتنام انتهاز الغنم</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العِدَى وغيرهم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 وجمعه مغانم،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w:t>
      </w:r>
      <w:r>
        <w:rPr>
          <w:rStyle w:val="FootnoteAnchor"/>
          <w:rtl w:val="true"/>
        </w:rPr>
        <w:footnoteReference w:id="7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واحد يدلّ على إفادة شيء لم يُملك من قبل، ثمّ يختص بما أُخذ من المشركين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له غُنمه وعليه غُرمه،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ونماؤه وفاضل قيمته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لا بمشقّة، وأغنمه كذا تغنيماً نفله إيّاه، واغتنمه وتغنّمه، عدّه غنيمة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تعرب عن أنّ المادّة لم توضع لما يفوز به الانسان في الحروب، بل معناها أوسع من ذلك، وإن كانت لا تستعمل في العصور المتأخّرة عن نزول القرآن إلّافي ما يظفر به في ساحة الحرب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نجد أنّ المادة استعملت في مطلق ما يفوز به الانسان في الذكر الحكيم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استعمل القرآن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يفوز به الانسان، وإن لم يكن عن طريق القتال، بل كان عن طريق العمل العادي الدنيوي، أو ما يناله من نعيم في الآخرة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بالمغانم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أجر الآخرة، بدليل مقابلته لعرض الحياة الدنيا، فيدلّ على أنّ لفظ المغنم لا يختصّ بالأُمور والأشياء التي يحصل عليها الانسان في هذه الدنيا وفي ساحات الحرب فقط، بل هو عام لكلّ مكسب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وردت هذه اللفظة في الأحاديث وأُريد بها مطلق الفائدة الحاصلة للمرء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مغنماً ولا تجعلها مغرماً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وصف شهر رمضان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 سمّاه غنيمة لما فيه من الأجر والثواب</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681" w:name="pg16780_177299"/>
    </w:p>
    <w:p>
      <w:pPr>
        <w:pStyle w:val="BookText"/>
        <w:rPr/>
      </w:pPr>
      <w:bookmarkEnd w:id="681"/>
      <w:r>
        <w:rPr>
          <w:rFonts w:ascii="Amiri" w:hAnsi="Amiri" w:eastAsia="Amiri" w:cs="Amiri"/>
          <w:color w:val="111111"/>
          <w:sz w:val="28"/>
          <w:sz w:val="28"/>
          <w:szCs w:val="28"/>
          <w:rtl w:val="true"/>
          <w:lang w:bidi="ar-SA"/>
        </w:rPr>
        <w:t>فقد بان ممّا نقلناه من كلمات أئمّة اللغة وموارد استعمال تلك المادة في الكتاب والسنّة، أنّ العرب تستعملها في كل مورد يفوز به الانسان، من جهة العدى وغيرهم، وإنّما صار حقيقة متشرعة في خصوص ما يفوز به الانسان في ساحة الحرب في الأعصار المتأخّرة، وبعد نزول الآية في أوّل حرب خاضها المسلمون تحت لواء رسول اللّه صلى الله عليه و آله و سلم، ولم يكن الاستعمال إلّاتطبيقاً للمعنى الكلّي على مورد خاص</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7189969_73709187"/>
      <w:bookmarkStart w:id="683" w:name="_Toc258"/>
      <w:bookmarkEnd w:id="682"/>
      <w:r>
        <w:rPr>
          <w:rtl w:val="true"/>
        </w:rPr>
        <w:t>الثاني</w:t>
      </w:r>
      <w:r>
        <w:rPr>
          <w:rtl w:val="true"/>
        </w:rPr>
        <w:t xml:space="preserve">: </w:t>
      </w:r>
      <w:r>
        <w:rPr>
          <w:rtl w:val="true"/>
        </w:rPr>
        <w:t>المورد لا يخصّص</w:t>
      </w:r>
      <w:r>
        <w:rPr>
          <w:rtl w:val="true"/>
        </w:rPr>
        <w:t>:</w:t>
      </w:r>
      <w:bookmarkEnd w:id="683"/>
    </w:p>
    <w:p>
      <w:pPr>
        <w:pStyle w:val="BookText"/>
        <w:rPr/>
      </w:pPr>
      <w:r>
        <w:rPr>
          <w:rFonts w:ascii="Amiri" w:hAnsi="Amiri" w:eastAsia="Amiri" w:cs="Amiri"/>
          <w:color w:val="111111"/>
          <w:sz w:val="28"/>
          <w:sz w:val="28"/>
          <w:szCs w:val="28"/>
          <w:rtl w:val="true"/>
          <w:lang w:bidi="ar-SA"/>
        </w:rPr>
        <w:t>إذا كان مفهوم اللفظ عامّاً يشمل كافّة ما يفوز به الانسان، فلا يكون وروده في مورد خاص، مخصّصاً لمفهومه ومضيقاً لعمومه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وقفنا على أنّ التشريع الإسلامي فرض الخمس في الركاز والكنز والسيوب أوّلاً، وأرباح المكاسب ثانياً، فيكون ذلك التشريع مؤكّداً لإطلاق الآية، ولا يكون وروده في الغنائم الحربية رافعاً له</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7189971_73709187"/>
      <w:bookmarkStart w:id="685" w:name="_Toc259"/>
      <w:bookmarkEnd w:id="684"/>
      <w:r>
        <w:rPr>
          <w:rtl w:val="true"/>
        </w:rPr>
        <w:t>استدلال الفقهاء بالآية في غير مورد الغنيمة</w:t>
      </w:r>
      <w:bookmarkEnd w:id="685"/>
    </w:p>
    <w:p>
      <w:pPr>
        <w:pStyle w:val="BookText"/>
        <w:rPr/>
      </w:pPr>
      <w:r>
        <w:rPr>
          <w:rFonts w:ascii="Amiri" w:hAnsi="Amiri" w:eastAsia="Amiri" w:cs="Amiri"/>
          <w:color w:val="111111"/>
          <w:sz w:val="28"/>
          <w:sz w:val="28"/>
          <w:szCs w:val="28"/>
          <w:rtl w:val="true"/>
          <w:lang w:bidi="ar-SA"/>
        </w:rPr>
        <w:t>ما يدل على أن الغنيمة في الآية بمعنى مطلق ما يفوز به الإنسان وإن لم يكن عن طريق الحرب، هو استدلال الفقهاء على وجوب الخمس في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الحنفية والمالكية بوجوب الخمس على ما يُستخرج من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المعاصر وهبة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والرِّكاز أو الكنز بمعنى واحد وهو كل مال مدفون تحت الأرض، إلّاأن المعدن هو ما خلقه اللّه تعالى في الأرض يوم خلق الأرض، والركاز أو الكنز هو المال المدفون بفعل الناس الكفار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المعادن ثلاثة أنواع، وذكر من النوع الأوّل ما هو جامد يذوب</w:t>
      </w:r>
    </w:p>
    <w:p>
      <w:pPr>
        <w:pStyle w:val="BookText"/>
        <w:rPr/>
      </w:pPr>
      <w:r>
        <w:rPr>
          <w:rFonts w:ascii="Amiri" w:hAnsi="Amiri" w:eastAsia="Amiri" w:cs="Amiri"/>
          <w:color w:val="111111"/>
          <w:sz w:val="28"/>
          <w:sz w:val="28"/>
          <w:szCs w:val="28"/>
          <w:rtl w:val="true"/>
          <w:lang w:bidi="ar-SA"/>
        </w:rPr>
        <w:t>وينطبع بالنار كالنقدين والحديد والنحاس والرصاص ويلحق به الزئبق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الخمس إلّافي هذا النوع سواء وجد في أرض خراجية أو عُشرية، ويصرف الخمس مصارف خمس الغنيمة، ودليلهم الكتاب والسنة الصحيحة والقياس، 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ويُعدّ المعدن غنيمة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وغير خفيّ على النابه أن عدّ المعدن غنيمة لا يصح إلّاإذا فُسّرت بكل ما يفوز به الإنسان، وإلّا فلو خُصّت بما يفوز به الإنسان عن طريق الحرب، فليس المعدن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المعادن في أراضي الكفار واستولى المسلمون عليها عن طريق الحرب، ربّما يمكن عدّ المعادن من الغنائم، ولكن ليس كل معدن كذلك، فإن كثيراً منها في البلاد الإسلامية التي حكمها الإسلام منذ أربعة عشر قرناً، ولا يُعدُّ استخراجه بعد هذه الحقبة من الزمن استيلاءً على مال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الأثير عن مالك في وجه الخمس في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هو دفن يوجد من دفن الجاهلية ما لم يُطلب بمال ولم يتكلف فيه نفقة، ولا كبير عمل ولا مؤونة، فأما ما طُلب بمال وتُكلف فيه عمل كبير، فأُصيب مرة وأُخطئ مرة فليس بركاز</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وكأن ابن الأثير يُريد إدخال الركاز الّذي ورد فيه الخمس تحت عنوان الغنيمة إذا لم تتكلف فيه نفقة ولا كثير عمل ولا مؤونة، وهذا لا يصح إلّابتفسير الغنيمة بمطلق ما يفوز به الإنسان بسهولة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 ما رواه الصدوق عن الصادق عليه السلام عن آبائه في وصية</w:t>
      </w:r>
      <w:bookmarkStart w:id="686" w:name="pg16780_177303"/>
    </w:p>
    <w:p>
      <w:pPr>
        <w:pStyle w:val="BookText"/>
        <w:rPr/>
      </w:pPr>
      <w:bookmarkEnd w:id="686"/>
      <w:r>
        <w:rPr>
          <w:rFonts w:ascii="Amiri" w:hAnsi="Amiri" w:eastAsia="Amiri" w:cs="Amiri"/>
          <w:color w:val="111111"/>
          <w:sz w:val="28"/>
          <w:sz w:val="28"/>
          <w:szCs w:val="28"/>
          <w:rtl w:val="true"/>
          <w:lang w:bidi="ar-SA"/>
        </w:rPr>
        <w:t>النبيّ صلى الله عليه و آله و 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كنزاً فأخرج منه الخمس وتصدق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عموم المعنى، التعبير عما يجب فيه الخمس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كالصريحة في أن متعلقه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 حول الآية من القرائن والشواهد يكفي في الاستدلال به على وجوب الخمس في مطلق ما يفوز به الإنسان، فلنرجع إلى السنة الشريفة</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7189973_73709187"/>
      <w:bookmarkStart w:id="688" w:name="_Toc260"/>
      <w:bookmarkEnd w:id="687"/>
      <w:r>
        <w:rPr>
          <w:rtl w:val="true"/>
        </w:rPr>
        <w:t>الخمس في السنة النبويّة</w:t>
      </w:r>
      <w:bookmarkEnd w:id="688"/>
    </w:p>
    <w:p>
      <w:pPr>
        <w:pStyle w:val="Heading6"/>
        <w:numPr>
          <w:ilvl w:val="5"/>
          <w:numId w:val="1"/>
        </w:numPr>
        <w:rPr/>
      </w:pPr>
      <w:bookmarkStart w:id="689" w:name="__RefHeading___Toc7189975_73709187"/>
      <w:bookmarkStart w:id="690" w:name="_Toc261"/>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تضافرت الروايات عن النبي الأعظم صلى الله عليه و آله و سلم على وجوب الخمس في الركاز والكنز والسيوب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النصوص أوّلاً ثم تبيين ألفاظها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لفيف من الصحابة كابن عباس، وأبي هريرة، وجابر، وعُبادة بن الصامت، وأنس بن مالك، وجوب الخمس في الركاز والكنز والسيوب، وإليك قسماً ممّا روي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مسند أحمد وسنن ابن ماجة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 آله و سلم في الركاز، الخمس</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صحيحي مسلم والبخاري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 جُرْحُها جُبار</w:t>
      </w:r>
      <w:r>
        <w:rPr>
          <w:rStyle w:val="FootnoteAnchor"/>
          <w:rtl w:val="true"/>
        </w:rPr>
        <w:footnoteReference w:id="740"/>
      </w:r>
      <w:r>
        <w:rPr>
          <w:rFonts w:ascii="Amiri" w:hAnsi="Amiri" w:eastAsia="Amiri" w:cs="Amiri"/>
          <w:color w:val="111111"/>
          <w:sz w:val="28"/>
          <w:sz w:val="28"/>
          <w:szCs w:val="28"/>
          <w:rtl w:val="true"/>
          <w:lang w:bidi="ar-SA"/>
        </w:rPr>
        <w:t>، والمعدن جبار، وفي الرِّكاز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p>
    <w:p>
      <w:pPr>
        <w:pStyle w:val="BookText"/>
        <w:rPr/>
      </w:pPr>
      <w:r>
        <w:rPr>
          <w:rFonts w:ascii="Amiri" w:hAnsi="Amiri" w:eastAsia="Amiri" w:cs="Amiri"/>
          <w:color w:val="111111"/>
          <w:sz w:val="28"/>
          <w:sz w:val="28"/>
          <w:szCs w:val="28"/>
          <w:rtl w:val="true"/>
          <w:lang w:bidi="ar-SA"/>
        </w:rPr>
        <w:t>بعض الروايات عند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عقلها جبار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إذا عطبَ الرجل في قَليبٍ‌</w:t>
      </w:r>
      <w:r>
        <w:rPr>
          <w:rStyle w:val="FootnoteAnchor"/>
          <w:rtl w:val="true"/>
        </w:rPr>
        <w:footnoteReference w:id="742"/>
      </w:r>
      <w:r>
        <w:rPr>
          <w:rFonts w:ascii="Amiri" w:hAnsi="Amiri" w:eastAsia="Amiri" w:cs="Amiri"/>
          <w:color w:val="111111"/>
          <w:sz w:val="28"/>
          <w:sz w:val="28"/>
          <w:szCs w:val="28"/>
          <w:rtl w:val="true"/>
          <w:lang w:bidi="ar-SA"/>
        </w:rPr>
        <w:t>جعلوا القليب عَقَله، وإذا قتلته دابة جعلوها عقله، وإذا قتله معدن جعلوه عقله، فسأل سائل رسول اللّه صلى الله عليه و آله و سلم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 والمعدن جُبار، والبئر جُبار، 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الركاز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والفضة الذي خلقه اللّه في الأرض يوم خلقت</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السائمة جبار، والجُبّ جبار، والمعدن جبار، وفي 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العادي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قضاء رسول اللّه صلى الله عليه و آله و سلم أنّ المعدن جبار، والبئر جبار، والعجماء جرحها جبار، والعجماء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من الأنعام وغيرها، والجُبار هو الهَدَر الذي لا يُغرم، وقضى في الركاز الخمس</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و سلم إلى خيبر فدخل صاحب لنا إلى خربة يقضي حاجته، فتناول لبنة ليستطيب بها فانهارت عليه تبرا، فأخذها فأتى بها النبى صلى الله عليه و آله و سلم فأخبره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فوزنها فإدا مائتا درهم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ركاز وفيه الخمس</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bookmarkStart w:id="691" w:name="pg16780_177306"/>
    </w:p>
    <w:p>
      <w:pPr>
        <w:pStyle w:val="BookText"/>
        <w:rPr/>
      </w:pPr>
      <w:bookmarkEnd w:id="69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مزينة سأل رسول اللّه مسائل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فالكنز نجده في الخرب وفي الآرام‌؟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وفي الركاز الخمس</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أبو يعلى محمد بن الحسين الفرّاء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الرِّكاز، فهو كلّ مال وُجد مدفوناً من ضرب الجاهلية، وفي موات، أو طريق سابل، يكون لواجده وعليه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النهاية ولسان العرب وتاج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لوائل 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السُّيوب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من الذهب والفضة تَسيب في المعدن، أي تتكوّن فيه وتظهر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سَيْب،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النبي بالسيب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 في الجاهلية، أو المعدن لأنّه من فضل اللّه تعالى وعطائه لمن أصابه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7189977_73709187"/>
      <w:bookmarkStart w:id="693" w:name="_Toc262"/>
      <w:bookmarkEnd w:id="692"/>
      <w:r>
        <w:rPr>
          <w:rtl w:val="true"/>
        </w:rPr>
        <w:t>تفسير ألفاظ الأحاديث</w:t>
      </w:r>
      <w:r>
        <w:rPr>
          <w:rtl w:val="true"/>
        </w:rPr>
        <w:t>:</w:t>
      </w:r>
      <w:bookmarkEnd w:id="693"/>
    </w:p>
    <w:p>
      <w:pPr>
        <w:pStyle w:val="BookText"/>
        <w:rPr/>
      </w:pP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المنفلتة من صاحبها، فما أصابت في انفلاتها فلا غرم على صاحبها، والمعدن جبار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احتفر الرجل معدناً فوقع فيه انسان فلا غُرم عليه، وكذلك البئر إذا احتفرها الرجل للسبيل فوقع فيها إنسان فلا غرم على صاحبها، وفي الركاز الخمس، 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من دفن أهل الجاهلية، فمن وجد ركازاً أدّى منه الخمس إلى السلطان وما بقي له</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وهي حجارة تُجمع وتُنصب في المفازة يُهتدى بها،</w:t>
      </w:r>
      <w:bookmarkStart w:id="694" w:name="pg16780_177308"/>
    </w:p>
    <w:p>
      <w:pPr>
        <w:pStyle w:val="BookText"/>
        <w:rPr/>
      </w:pPr>
      <w:bookmarkEnd w:id="694"/>
      <w:r>
        <w:rPr>
          <w:rFonts w:ascii="Amiri" w:hAnsi="Amiri" w:eastAsia="Amiri" w:cs="Amiri"/>
          <w:color w:val="111111"/>
          <w:sz w:val="28"/>
          <w:sz w:val="28"/>
          <w:szCs w:val="28"/>
          <w:rtl w:val="true"/>
          <w:lang w:bidi="ar-SA"/>
        </w:rPr>
        <w:t>واحدها إرَم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عادة الجاهلية أنّهم إذا وجدوا شيئاً في طريقهم لا يمكنهم استصحابه، تركوا عليه حجارة يعرفونه بها حتى إذا عادوا أخذوه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العرب وغيره من معاجم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ركَزَه يركُزُه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ذهب وفضة تخرج من الأرض أو المعدن، واحده الركزة كأنّه ركز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جواهر الأرض المركوزة فيها وجمع الركزة 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تعرب عن كون وجوب الخمس في الكنز والمعادن، ضريبة غير الزكاة، وقد استند إليها أُستاذ الفقهاء أبو يوسف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نصّه</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7189979_73709187"/>
      <w:bookmarkStart w:id="696" w:name="_Toc263"/>
      <w:bookmarkEnd w:id="695"/>
      <w:r>
        <w:rPr>
          <w:rtl w:val="true"/>
        </w:rPr>
        <w:t>كلام أبي يوسف في المعدن والركاز</w:t>
      </w:r>
      <w:r>
        <w:rPr>
          <w:rtl w:val="true"/>
        </w:rPr>
        <w:t>:</w:t>
      </w:r>
      <w:bookmarkEnd w:id="69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أُصيب من المعادن من قليل أو كثير، الخمس، ولو أنّ رجلاً أصاب في معدن أقل من وزن مائتي درهم فضّة أو أقل من وزن عشرين مثقالاً ذهباً فإنّ فيه الخمس، وليس هذا على موضع الزكاة إنّما هو على موضع الغنائم</w:t>
      </w:r>
      <w:r>
        <w:rPr>
          <w:rStyle w:val="FootnoteAnchor"/>
          <w:rtl w:val="true"/>
        </w:rPr>
        <w:footnoteReference w:id="751"/>
      </w:r>
      <w:r>
        <w:rPr>
          <w:rFonts w:ascii="Amiri" w:hAnsi="Amiri" w:eastAsia="Amiri" w:cs="Amiri"/>
          <w:color w:val="111111"/>
          <w:sz w:val="28"/>
          <w:sz w:val="28"/>
          <w:szCs w:val="28"/>
          <w:rtl w:val="true"/>
          <w:lang w:bidi="ar-SA"/>
        </w:rPr>
        <w:t>، وليس في تراب ذلك شيء إنّما الخمس في الذهب الخالص والفضة الخالصة والحديد والنحاس والرصاص، ولا يحسب لمن استخرج ذلك من نفقته عليه شيء، وقد تكون النفقة تستغرق ذلك كلّه فلا يجب إذاً فيه خمس عليه، وفيه الخمس حين يفرغ من تصفيته قليلاً كان أو كثيراً، ولا يحسب له من</w:t>
      </w:r>
      <w:bookmarkStart w:id="697" w:name="pg16780_177310"/>
    </w:p>
    <w:p>
      <w:pPr>
        <w:pStyle w:val="BookText"/>
        <w:rPr/>
      </w:pPr>
      <w:bookmarkEnd w:id="697"/>
      <w:r>
        <w:rPr>
          <w:rFonts w:ascii="Amiri" w:hAnsi="Amiri" w:eastAsia="Amiri" w:cs="Amiri"/>
          <w:color w:val="111111"/>
          <w:sz w:val="28"/>
          <w:sz w:val="28"/>
          <w:szCs w:val="28"/>
          <w:rtl w:val="true"/>
          <w:lang w:bidi="ar-SA"/>
        </w:rPr>
        <w:t xml:space="preserve">نفقته شيء من ذلك وما استخرج من المعادن سوى ذلك من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الياقوت والفيروزج والكحل والزئبق والكبريت والمغرّة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في</w:t>
      </w:r>
      <w:r>
        <w:rPr>
          <w:rStyle w:val="FootnoteAnchor"/>
          <w:rtl w:val="true"/>
        </w:rPr>
        <w:footnoteReference w:id="752"/>
      </w:r>
      <w:r>
        <w:rPr>
          <w:rFonts w:ascii="Amiri" w:hAnsi="Amiri" w:eastAsia="Amiri" w:cs="Amiri"/>
          <w:color w:val="111111"/>
          <w:sz w:val="28"/>
          <w:sz w:val="28"/>
          <w:szCs w:val="28"/>
          <w:rtl w:val="true"/>
          <w:lang w:bidi="ar-SA"/>
        </w:rPr>
        <w:t>شيء من ذلك، إنّما ذلك كلّه بمنزلة الطين والتراب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الذي أصاب شيئاً من الذهب أو الفضة أو الحديد أو الرصاص أو النحاس، كان عليه دَين فادح لم يُبطل ذلك الخمس عنه، ألا ترى لو أنّ جنداً من الأجناد أصابوا غنيمة من أهل الحرب خُمِّسَت ولم ينظر أعليهم دين أم لا، ولو كان عليهم دين لم يمنع ذلك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الركاز فهو الذهب والفضة الذي خلقه اللّه عزّ وجلّ في الأرض يوم خلقت، فيه أيضاً الخمس، فمن أصاب كنزاً عاديّاً في غير ملك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ذهب أو فضة أو جوهر أو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الخمس وأربعة أخماسه للذي أصابه وهو بمنزلة الغنيمة يغنمها القوم فتخمَّس وما بقي 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حربياً وجد في دار الإسلام ركازاً و كان قد دخل بأمان، نزع ذلك كلّه منه ولا يكون له منه شيء، وإن كان ذمّياً أُخذ منه الخمس كما يؤخذ من المسلم، وسلِّم له أربعة أخماسه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المكاتب يجد ركازاً في دار الإسلام فهو له بعد الخمس</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7189981_73709187"/>
      <w:bookmarkStart w:id="699" w:name="_Toc264"/>
      <w:bookmarkEnd w:id="698"/>
      <w:r>
        <w:rPr>
          <w:rtl w:val="true"/>
        </w:rPr>
        <w:t>خمس أرباح المكاسب في الحديث النبوي</w:t>
      </w:r>
      <w:r>
        <w:rPr>
          <w:rtl w:val="true"/>
        </w:rPr>
        <w:t>:</w:t>
      </w:r>
      <w:bookmarkEnd w:id="69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غير واحد من الروايات أنّ النبيّ الأكرم أمر بإخراج الخمس من مطلق ما يغنمه الانسان من أرباح المكاسب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ما ورد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وفد عبد القيس لرسول اللّه صلى الله عليه و آله و سلم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بيننا وبينك المشركين وإنّا لا نصل إليك إلّافي الأشهر الحرم فمُرنا بجُمل الأمر، إن عَمِلنا به دخلنا الجنة وندعوا إليه مَن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وأنهاكم عن أربع، آمركم بالإيمان باللّه، وهل تدرون ما الإيمان، شهادة أن لا إله إلّااللّه وإقام الصلاة وإيتاء الزكاة وتعطوا الخمس من المغنم</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النبي صلى الله عليه و آله و سلم لم يطلب من بني عبد القيس أن يدفعوا غنائم الحرب، كيف‌؟ وهم لا يستطيعون الخروج من حيّهم في غير الأشهر الحرم، خوفاً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قصد المغنم بمعناه الحقيقي في لغة العرب وهو ما يفوزون به فعليهم أن يعطوا خمس ما يربحون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كتب ومواثيق، كتبها النبيّ وفرض فيها الخمس على أصحابها، وستتبيّن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الخمس في الأرباح، وإن لم تكن غنيمة مأخوذة من الكفّار في الحرب،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لعمرو بن حزم حين بعثه إلى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النبي رسول اللّه لعمرو بن حزم حين بعثه إلى اليمن، أمره بتقوى اللّه في أمره كلّه، وأن يأخذ من المغانم خمس اللّه، وما كتب على المؤمنين من الصدقة من العقار عُشر ما سقى البعل وسقت السماء، ونصف العُشر ممّا سقى الغرب</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والبعل ما سُقِيَ بعروقه،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إلى شرحبيل بن عبد كلال ونعيم بن عبد كلال والحارث بن عبد كلال قيل</w:t>
      </w:r>
      <w:r>
        <w:rPr>
          <w:rStyle w:val="FootnoteAnchor"/>
          <w:rtl w:val="true"/>
        </w:rPr>
        <w:footnoteReference w:id="756"/>
      </w:r>
      <w:r>
        <w:rPr>
          <w:rFonts w:ascii="Amiri" w:hAnsi="Amiri" w:eastAsia="Amiri" w:cs="Amiri"/>
          <w:color w:val="111111"/>
          <w:sz w:val="28"/>
          <w:sz w:val="28"/>
          <w:szCs w:val="28"/>
          <w:rtl w:val="true"/>
          <w:lang w:bidi="ar-SA"/>
        </w:rPr>
        <w:t>ذي رعين، ومعافر وهمدان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رجع رسولكم وأُعطيتم من المغانم خمس اللّه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إلى سعد هُذيم من قضاعة، وإلى جذام كتاباً واحداً يعلّمهم فرائض الصدقة، ويأمرهم أن يدفعوا الصدقة والخمس إلى رسوليه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وعنبسة أو من أرسلاه</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للفُجَيع 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النبيّ للفجيع،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وأقام الصلاةَ وآتى الزكاة، وأطاع اللّه ورسوله، وأعطى من المغانم خمس اللّه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لجنادة الأزدي وقومه 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الصلاة وآتوا الزكاة وأطاعوا اللّه ورسوله وأعطوا من المغانم خمس اللّه، وسهم النبي، وفارقوا المشركين، فإنّ لهم ذمّة اللّه وذمّة محمد بن عبد اللّه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لجهينة بن زيد فيما كتب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بطون الأرض وسهولها وتلاع الأودية وظهورها، على أن ترعوا نباتها وتشربوا ماءها، على أن تؤدّوا الخمس</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bookmarkStart w:id="700" w:name="pg16780_177316"/>
    </w:p>
    <w:p>
      <w:pPr>
        <w:pStyle w:val="BookText"/>
        <w:rPr/>
      </w:pPr>
      <w:bookmarkEnd w:id="70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لملوك حمير فيما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الزكاة، وأعطيتم من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وسهم النبي وصفيّه، وما كتب اللّه على المؤمنين من الصدقة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لبني ثعلبة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وأقام الصلاة وآتى الزكاة، وأعطى خمس المغنم، وسهم النبي والصفي</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إلى بعض أفخاذ جهينة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وأقام الصلاة وآتى الزكاة، وأطاع اللّه ورسوله، وأعطى من الغنائم الخمس</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7189983_73709187"/>
      <w:bookmarkStart w:id="702" w:name="_Toc265"/>
      <w:bookmarkEnd w:id="701"/>
      <w:r>
        <w:rPr>
          <w:rtl w:val="true"/>
        </w:rPr>
        <w:t>إيضاح الاستدلال بهذه المكاتيب</w:t>
      </w:r>
      <w:r>
        <w:rPr>
          <w:rtl w:val="true"/>
        </w:rPr>
        <w:t>:</w:t>
      </w:r>
      <w:bookmarkEnd w:id="702"/>
    </w:p>
    <w:p>
      <w:pPr>
        <w:pStyle w:val="BookText"/>
        <w:rPr/>
      </w:pPr>
      <w:r>
        <w:rPr>
          <w:rFonts w:ascii="Amiri" w:hAnsi="Amiri" w:eastAsia="Amiri" w:cs="Amiri"/>
          <w:color w:val="111111"/>
          <w:sz w:val="28"/>
          <w:sz w:val="28"/>
          <w:szCs w:val="28"/>
          <w:rtl w:val="true"/>
          <w:lang w:bidi="ar-SA"/>
        </w:rPr>
        <w:t xml:space="preserve">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الرسائل أنّ النبي صلى الله عليه و آله و سلم لم يكن يطلب منهم أن يدفعوا خمس غنائم الحرب التي اشتركوا فيها، بل كان يطلب ما استحقّ في أموالهم من خمس وصدقة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كان يطلب منهم الخمس دون أن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الحرب واكتساب الغنائم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الحاكم الإسلامي أو نائبه، هما اللّذان يليان بعد الفتح قبض جميع غنائم الحرب وتقسيمها بعد استخراج الخمس منها، ولا يَملِك أحد من الغزاة شيئاً من ذلك سوى ما يسلبه من القتيل، وإلّا كان سارقاً مغلّاً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إعلان الحرب وإخراج خمس الغنائم على عهد النبيّ صلى الله عليه و آله و سلم من شؤون النبي صلى الله عليه و آله و سلم فماذا يعني طلبه الخمس من الناس وتأكيده في كتاب بعد كتاب، وفي عهد بعد عهد؟</w:t>
      </w:r>
    </w:p>
    <w:p>
      <w:pPr>
        <w:pStyle w:val="BookText"/>
        <w:rPr/>
      </w:pPr>
      <w:r>
        <w:rPr>
          <w:rFonts w:ascii="Amiri" w:hAnsi="Amiri" w:eastAsia="Amiri" w:cs="Amiri"/>
          <w:color w:val="111111"/>
          <w:sz w:val="28"/>
          <w:sz w:val="28"/>
          <w:szCs w:val="28"/>
          <w:rtl w:val="true"/>
          <w:lang w:bidi="ar-SA"/>
        </w:rPr>
        <w:t>فيتبيّن أنّ ما كان يطلبه لم يكن مرتبطاً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بالغنيمة في هذه الرسائل هو ما كان يحصل الناس عليه في الجاهلية عن طريق النهب، كيف وقد نهى النبيّ صلى الله عليه و آله و سلم عن النهب بشدّة، ففي كتاب الفتن باب النهي عن النُّهبة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انتهب نهبة فليس منّا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لا تَحِلّ‌</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وفي صحيح البخاري ومسند أحمد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النبيّ صلى الله عليه و آله و سلم على أن لا ننهب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أبي داود، باب النهي عن النهبى، عن رجل من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فأصاب الناسَ حاجة شديدة وجهدٌ، وأصابوا غنماً فانتهبوها، فإنّ قدورنا لتغلي، إذ جاء رسول اللّه يمشي متّكئاً على قوسه فأكفأ قدورنا بقوسه، ثمّ جعل يُرمِّل اللحم بالتراب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ليست بأحلَّ من الميتة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و سلم عن النهبى والمثلة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الأحاديث التي وردت في كتاب الجهاد</w:t>
      </w:r>
      <w:r>
        <w:rPr>
          <w:rFonts w:eastAsia="Amiri" w:cs="Amiri" w:ascii="Amiri" w:hAnsi="Amiri"/>
          <w:color w:val="111111"/>
          <w:sz w:val="28"/>
          <w:szCs w:val="28"/>
          <w:rtl w:val="true"/>
          <w:lang w:bidi="ar-SA"/>
        </w:rPr>
        <w:t>.</w:t>
      </w:r>
      <w:bookmarkStart w:id="703" w:name="pg16780_177321"/>
    </w:p>
    <w:p>
      <w:pPr>
        <w:pStyle w:val="BookText"/>
        <w:rPr/>
      </w:pPr>
      <w:bookmarkEnd w:id="703"/>
      <w:r>
        <w:rPr>
          <w:rFonts w:ascii="Amiri" w:hAnsi="Amiri" w:eastAsia="Amiri" w:cs="Amiri"/>
          <w:color w:val="111111"/>
          <w:sz w:val="28"/>
          <w:sz w:val="28"/>
          <w:szCs w:val="28"/>
          <w:rtl w:val="true"/>
          <w:lang w:bidi="ar-SA"/>
        </w:rPr>
        <w:t xml:space="preserve">وقد كانت النهيبة والنهبى عند العرب تساوق الغنيمة 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في أخذ مال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النهب مسموحاً به في الدين، وإذا لم تكن الحروب التي يقوم بها أحد بغير إذن النبي صلى الله عليه و آله و سلم جائزة، لم تكن الغنيمة في هذه الوثائق تعني دائماً ما يؤخذ في القتال، بل كان معنى الغنيمة الواردة فيها، هو ما يفوز به الناس من غير طريق القتال بل من طريق الكسب وما شابهه، ولا محيص حينئذ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بالخمس الذي كان يطلبه النبيّ صلى الله عليه و آله و سلم هو خمس أرباح الكسب والفوائد الحاصلة للإنسان من غير طريق القتال، أو النهب الممنوع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الغنائم المطلوب في هذه الرسائل النبويّة أداء خُمُسها، إمّا أن يراد بها ما يستولي عليه أحد عن طريق النهب والإغارة، أو ما يستولي عليه عن طريق محاربة بصورة الجهاد، أو ما يستولي عليه عن طريق الكسب والكد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ممنوع، بنصّ الأحاديث السابقة فلا معنى أن يطلب النبي صلى الله عليه و آله و سلم خمس النهيبة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يكون أمر الغنائم فيه بيد النبي صلى الله عليه و آله و سلم مباشرة، فهو الذي يأخذ كل الغنائم ويضرب لكلّ من الفارس والراجل ما له من الأسهم، بعد أن يستخرج الخمس بنفسه من تلك الغنائم، فلا معنى لأن يطلبه النبيّ صلى الله عليه و آله و سلم من الغزاة، فيكون الثالث هو المتعيّن</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7189985_73709187"/>
      <w:bookmarkStart w:id="705" w:name="_Toc266"/>
      <w:bookmarkEnd w:id="704"/>
      <w:r>
        <w:rPr>
          <w:rtl w:val="true"/>
        </w:rPr>
        <w:t>الخمس في روايات أئمة أهل البيت عليهم السلام</w:t>
      </w:r>
      <w:bookmarkEnd w:id="705"/>
    </w:p>
    <w:p>
      <w:pPr>
        <w:pStyle w:val="Heading6"/>
        <w:numPr>
          <w:ilvl w:val="5"/>
          <w:numId w:val="1"/>
        </w:numPr>
        <w:rPr/>
      </w:pPr>
      <w:bookmarkStart w:id="706" w:name="__RefHeading___Toc7189987_73709187"/>
      <w:bookmarkStart w:id="707" w:name="_Toc267"/>
      <w:bookmarkEnd w:id="706"/>
      <w:r>
        <w:rPr>
          <w:rtl w:val="true"/>
        </w:rPr>
        <w:t>اشارة</w:t>
      </w:r>
      <w:bookmarkEnd w:id="70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وردت في وجوب الخمس روايات عن أئمة أهل البيت عليهم السلام في غير مورد الغنيمة المأخوذة من الكفار في الحرب نشير إلى عناوينها وشيء من أدلتها</w:t>
      </w:r>
      <w:r>
        <w:rPr>
          <w:rFonts w:eastAsia="Amiri" w:cs="Amiri" w:ascii="Amiri" w:hAnsi="Amiri"/>
          <w:color w:val="111111"/>
          <w:sz w:val="28"/>
          <w:szCs w:val="28"/>
          <w:rtl w:val="true"/>
          <w:lang w:bidi="ar-SA"/>
        </w:rPr>
        <w:t>:</w:t>
      </w:r>
      <w:bookmarkStart w:id="708" w:name="pg16780_177323"/>
    </w:p>
    <w:p>
      <w:pPr>
        <w:pStyle w:val="Heading6"/>
        <w:numPr>
          <w:ilvl w:val="5"/>
          <w:numId w:val="1"/>
        </w:numPr>
        <w:rPr/>
      </w:pPr>
      <w:bookmarkStart w:id="709" w:name="__RefHeading___Toc7189989_73709187"/>
      <w:bookmarkStart w:id="710" w:name="_Toc268"/>
      <w:bookmarkEnd w:id="708"/>
      <w:bookmarkEnd w:id="709"/>
      <w:r>
        <w:rPr/>
        <w:t>1</w:t>
      </w:r>
      <w:r>
        <w:rPr>
          <w:rtl w:val="true"/>
        </w:rPr>
        <w:t xml:space="preserve">. </w:t>
      </w:r>
      <w:r>
        <w:rPr>
          <w:rtl w:val="true"/>
        </w:rPr>
        <w:t>المعادن</w:t>
      </w:r>
      <w:bookmarkEnd w:id="710"/>
    </w:p>
    <w:p>
      <w:pPr>
        <w:pStyle w:val="BookText"/>
        <w:rPr/>
      </w:pPr>
      <w:r>
        <w:rPr>
          <w:rFonts w:ascii="Amiri" w:hAnsi="Amiri" w:eastAsia="Amiri" w:cs="Amiri"/>
          <w:color w:val="111111"/>
          <w:sz w:val="28"/>
          <w:sz w:val="28"/>
          <w:szCs w:val="28"/>
          <w:rtl w:val="true"/>
          <w:lang w:bidi="ar-SA"/>
        </w:rPr>
        <w:t xml:space="preserve">يجب الخمس في المعادن، 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والفضة والصفر والحديد والرصاص‌؟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7189991_73709187"/>
      <w:bookmarkStart w:id="712" w:name="_Toc269"/>
      <w:bookmarkEnd w:id="711"/>
      <w:r>
        <w:rPr/>
        <w:t>2</w:t>
      </w:r>
      <w:r>
        <w:rPr>
          <w:rtl w:val="true"/>
        </w:rPr>
        <w:t xml:space="preserve">. </w:t>
      </w:r>
      <w:r>
        <w:rPr>
          <w:rtl w:val="true"/>
        </w:rPr>
        <w:t>الكنز</w:t>
      </w:r>
      <w:bookmarkEnd w:id="712"/>
    </w:p>
    <w:p>
      <w:pPr>
        <w:pStyle w:val="BookText"/>
        <w:rPr/>
      </w:pPr>
      <w:r>
        <w:rPr>
          <w:rFonts w:ascii="Amiri" w:hAnsi="Amiri" w:eastAsia="Amiri" w:cs="Amiri"/>
          <w:color w:val="111111"/>
          <w:sz w:val="28"/>
          <w:sz w:val="28"/>
          <w:szCs w:val="28"/>
          <w:rtl w:val="true"/>
          <w:lang w:bidi="ar-SA"/>
        </w:rPr>
        <w:t xml:space="preserve">وممّا يجب فيه الخمس الكنز الّذي يُعثر عليه، روى الحلبي أنّه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الكنز، كم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771"/>
      </w:r>
    </w:p>
    <w:p>
      <w:pPr>
        <w:pStyle w:val="Heading6"/>
        <w:numPr>
          <w:ilvl w:val="5"/>
          <w:numId w:val="1"/>
        </w:numPr>
        <w:rPr/>
      </w:pPr>
      <w:bookmarkStart w:id="713" w:name="__RefHeading___Toc7189993_73709187"/>
      <w:bookmarkStart w:id="714" w:name="_Toc270"/>
      <w:bookmarkEnd w:id="713"/>
      <w:r>
        <w:rPr/>
        <w:t>3</w:t>
      </w:r>
      <w:r>
        <w:rPr>
          <w:rtl w:val="true"/>
        </w:rPr>
        <w:t xml:space="preserve">. </w:t>
      </w:r>
      <w:r>
        <w:rPr>
          <w:rtl w:val="true"/>
        </w:rPr>
        <w:t>ما يخرج من البحر بالغوص</w:t>
      </w:r>
      <w:bookmarkEnd w:id="714"/>
    </w:p>
    <w:p>
      <w:pPr>
        <w:pStyle w:val="BookText"/>
        <w:rPr/>
      </w:pPr>
      <w:r>
        <w:rPr>
          <w:rFonts w:ascii="Amiri" w:hAnsi="Amiri" w:eastAsia="Amiri" w:cs="Amiri"/>
          <w:color w:val="111111"/>
          <w:sz w:val="28"/>
          <w:sz w:val="28"/>
          <w:szCs w:val="28"/>
          <w:rtl w:val="true"/>
          <w:lang w:bidi="ar-SA"/>
        </w:rPr>
        <w:t>وممايجب فيه الخمس ما يخرج من البحر بالغوص فيما لو كان ذا قيمة نفيسة، روى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العنبر وغوص اللؤلؤ؟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772"/>
      </w:r>
    </w:p>
    <w:p>
      <w:pPr>
        <w:pStyle w:val="Heading6"/>
        <w:numPr>
          <w:ilvl w:val="5"/>
          <w:numId w:val="1"/>
        </w:numPr>
        <w:rPr/>
      </w:pPr>
      <w:bookmarkStart w:id="715" w:name="__RefHeading___Toc7189995_73709187"/>
      <w:bookmarkStart w:id="716" w:name="_Toc271"/>
      <w:bookmarkEnd w:id="715"/>
      <w:r>
        <w:rPr/>
        <w:t>4</w:t>
      </w:r>
      <w:r>
        <w:rPr>
          <w:rtl w:val="true"/>
        </w:rPr>
        <w:t xml:space="preserve">. </w:t>
      </w:r>
      <w:r>
        <w:rPr>
          <w:rtl w:val="true"/>
        </w:rPr>
        <w:t>أرض الذمي إذا اشتراها من مسلم</w:t>
      </w:r>
      <w:bookmarkEnd w:id="71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يجب فيه الخمس الأرض التي يشتريها الذمي من المسلم، روى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bookmarkStart w:id="717" w:name="pg16780_177325"/>
    </w:p>
    <w:p>
      <w:pPr>
        <w:pStyle w:val="Heading6"/>
        <w:numPr>
          <w:ilvl w:val="5"/>
          <w:numId w:val="1"/>
        </w:numPr>
        <w:rPr/>
      </w:pPr>
      <w:bookmarkStart w:id="718" w:name="__RefHeading___Toc7189997_73709187"/>
      <w:bookmarkStart w:id="719" w:name="_Toc272"/>
      <w:bookmarkEnd w:id="717"/>
      <w:bookmarkEnd w:id="718"/>
      <w:r>
        <w:rPr/>
        <w:t>5</w:t>
      </w:r>
      <w:r>
        <w:rPr>
          <w:rtl w:val="true"/>
        </w:rPr>
        <w:t xml:space="preserve">. </w:t>
      </w:r>
      <w:r>
        <w:rPr>
          <w:rtl w:val="true"/>
        </w:rPr>
        <w:t>الحلال المختلط بالحرام</w:t>
      </w:r>
      <w:bookmarkEnd w:id="719"/>
    </w:p>
    <w:p>
      <w:pPr>
        <w:pStyle w:val="BookText"/>
        <w:rPr/>
      </w:pPr>
      <w:r>
        <w:rPr>
          <w:rFonts w:ascii="Amiri" w:hAnsi="Amiri" w:eastAsia="Amiri" w:cs="Amiri"/>
          <w:color w:val="111111"/>
          <w:sz w:val="28"/>
          <w:sz w:val="28"/>
          <w:szCs w:val="28"/>
          <w:rtl w:val="true"/>
          <w:lang w:bidi="ar-SA"/>
        </w:rPr>
        <w:t xml:space="preserve">إذا اختلط الحلال بالحرام على وجه لا يُعرف مقدار الحرام كما لا يُعرف صاحبه، فلابد في تطهيره من دفع خُمُسه، روى الحسن بن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فإن اللّه عزّوجل قد رضي من المال بالخمس، واجتنب ما كان صاحبه يُعْلَم</w:t>
      </w:r>
      <w:r>
        <w:rPr>
          <w:rFonts w:eastAsia="Amiri" w:cs="Amiri" w:ascii="Amiri" w:hAnsi="Amiri"/>
          <w:color w:val="111111"/>
          <w:sz w:val="28"/>
          <w:szCs w:val="28"/>
          <w:rtl w:val="true"/>
          <w:lang w:bidi="ar-SA"/>
        </w:rPr>
        <w:t>».</w:t>
      </w:r>
      <w:r>
        <w:rPr>
          <w:rStyle w:val="FootnoteAnchor"/>
          <w:rtl w:val="true"/>
        </w:rPr>
        <w:footnoteReference w:id="774"/>
      </w:r>
    </w:p>
    <w:p>
      <w:pPr>
        <w:pStyle w:val="Heading6"/>
        <w:numPr>
          <w:ilvl w:val="5"/>
          <w:numId w:val="1"/>
        </w:numPr>
        <w:rPr/>
      </w:pPr>
      <w:bookmarkStart w:id="720" w:name="__RefHeading___Toc7189999_73709187"/>
      <w:bookmarkStart w:id="721" w:name="_Toc273"/>
      <w:bookmarkEnd w:id="720"/>
      <w:r>
        <w:rPr/>
        <w:t>6</w:t>
      </w:r>
      <w:r>
        <w:rPr>
          <w:rtl w:val="true"/>
        </w:rPr>
        <w:t xml:space="preserve">. </w:t>
      </w:r>
      <w:r>
        <w:rPr>
          <w:rtl w:val="true"/>
        </w:rPr>
        <w:t>أرباح التجارات والصناعات والزراعات</w:t>
      </w:r>
      <w:bookmarkEnd w:id="721"/>
    </w:p>
    <w:p>
      <w:pPr>
        <w:pStyle w:val="BookText"/>
        <w:rPr/>
      </w:pPr>
      <w:r>
        <w:rPr>
          <w:rFonts w:ascii="Amiri" w:hAnsi="Amiri" w:eastAsia="Amiri" w:cs="Amiri"/>
          <w:color w:val="111111"/>
          <w:sz w:val="28"/>
          <w:sz w:val="28"/>
          <w:szCs w:val="28"/>
          <w:rtl w:val="true"/>
          <w:lang w:bidi="ar-SA"/>
        </w:rPr>
        <w:t>ممّا يجب فيه الخمس ما زاد من أرباح التجارات والصناعات والزراعات بعد إخراج مؤونة السنة منها، وهذا هو المسمّى بأرباح المكاسب، وقد وردت الإشارة إليه في تعاليم الرسول الأكرم صلى الله عليه و آله و سلم التي أوصى بها الوافدين عليه من قبيلة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ما ورد عن أئمة أهل البيت عليهم السلام في هذا الصدد</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7190001_73709187"/>
      <w:bookmarkStart w:id="723" w:name="_Toc274"/>
      <w:bookmarkEnd w:id="722"/>
      <w:r>
        <w:rPr>
          <w:rtl w:val="true"/>
        </w:rPr>
        <w:t>الخمس في كلام الإمام الصادق عليه السلام</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الرجل يهدي إليه مولاه والمنقطع إليه هدية تبلغ ألفي درهم أو أقلّ أو أكثر، هل عليه فيها الخمس‌؟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الرجل يكون في داره البستان فيه الفاكهة يأكله العيال إنّما يبيع منه الشيء بمائة درهم أو خمسين درهماً، هل عليه الخمس‌؟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أكل فلا، وأما البيع فنعم، هوكسائر الضياع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6780_177327"/>
    </w:p>
    <w:p>
      <w:pPr>
        <w:pStyle w:val="Heading6"/>
        <w:numPr>
          <w:ilvl w:val="5"/>
          <w:numId w:val="1"/>
        </w:numPr>
        <w:rPr/>
      </w:pPr>
      <w:bookmarkStart w:id="725" w:name="__RefHeading___Toc7190003_73709187"/>
      <w:bookmarkStart w:id="726" w:name="_Toc275"/>
      <w:bookmarkEnd w:id="724"/>
      <w:bookmarkEnd w:id="725"/>
      <w:r>
        <w:rPr>
          <w:rtl w:val="true"/>
        </w:rPr>
        <w:t>الخمس في كلام الإمام الكاظم عليه السلام</w:t>
      </w:r>
      <w:bookmarkEnd w:id="7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سماعة، قال سألت أبا الحسن عليه السلام عن الخمس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حماد بن عيسى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ومن المعادن، ومن الملاحة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وما يعود إلى الإنسان من الملاحة فهو من أرباح المكاسب، ذكره الإمام بالخصوص لنكتة، هي كونه محلّ ابتلاء السائل أو شيئاً مغفولاً عنه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عمران بن موسى عن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فهو لرسوله، وما كان لرسوله فهو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يسّر اللّه على المؤمنين أرزاقهم بخمسة دراهم، جعلوا لربهم واحداً وأكلوا أربعة أحلاء،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حديثنا صعب مستصعب لا يعمل به ولا يصبر عليه إلّا ممتحن قلبه للإيمان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مطلق ما يفوز به الإنسان ويستفيده من عمله</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7190005_73709187"/>
      <w:bookmarkStart w:id="728" w:name="_Toc276"/>
      <w:bookmarkEnd w:id="727"/>
      <w:r>
        <w:rPr>
          <w:rtl w:val="true"/>
        </w:rPr>
        <w:t>الخمس في كلام الإمام الرضا عليه السلام</w:t>
      </w:r>
      <w:bookmarkEnd w:id="7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باسناده عن إبراهيم بن محمد الهمداني، أنّ في توقيعات الرضا عليه 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الخمس بعد المؤونة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ناظر إلى الأرباح التي يكسبها الإنسان من عمله، وأن الخمس يتعلق بما زاد على المؤونة أي مؤونة الكسب أو مؤونة الإنسان، ولا يمكن حمل الرواية على الغنائم الحربية لأنها من وظيفة الحاكم المسلم، والخطاب هنا لواحد من عامة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فقه الرضا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أفاده الناس فهو غنيمة، لا فرق بين الكنوز والمعادن والغوص ومال الفيء الّذي لم يختلف فيه وهو ما ادّعي فيه الرخصة، وهو ربح التجارة، وغلَّة الضيعة وسائر الفوائد من المكاسب والصناعات، والمواريث وغيرها، لأن الجميع غنيمة وفائدة ومن رزق اللّه عزوجل، فإنّه روي أن الخمس على الخياط من ابرته، والصانع من صناعته، فعلى كل من غنم من الوجوه مالاً فعليه الخمس</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رجل من تجّار فارس من بعض موالي أبي الحسن الرضا عليه السلام يسأله الإذن في الخمس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عوننا على ديننا وعلى عيالاتنا وعلى أموالنا، وما نبذله ونشتري من أعرافنا ممن نخاف سطوته، فلا تَزوُوه عنا، ولا تُحْرِموا انفسكم دعاءنا ما قدرتم عليه، فإنّ إخراجه مفتاح رزقكم، وتمحيص ذنوبكم، وماتمهدون لانفسكم ليوم فاقتكم</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خراسان على أبي الحسن الرضا عليه السلام فسألوه أن يجعلهم في حلّ من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أمحل هذا؟ تمحضونا المودّة بألسنتكم، وتزوون عنا حقّاًجعله اللّه لنا وجعلنا له،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729" w:name="pg16780_177331"/>
    </w:p>
    <w:p>
      <w:pPr>
        <w:pStyle w:val="Heading6"/>
        <w:numPr>
          <w:ilvl w:val="5"/>
          <w:numId w:val="1"/>
        </w:numPr>
        <w:rPr/>
      </w:pPr>
      <w:bookmarkStart w:id="730" w:name="__RefHeading___Toc7190007_73709187"/>
      <w:bookmarkStart w:id="731" w:name="_Toc277"/>
      <w:bookmarkEnd w:id="729"/>
      <w:bookmarkEnd w:id="730"/>
      <w:r>
        <w:rPr>
          <w:rtl w:val="true"/>
        </w:rPr>
        <w:t>الخمس في كلام الإمام الجواد عليه السلام</w:t>
      </w:r>
      <w:bookmarkEnd w:id="73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محمد بن الحسن الأشعري إلى الإمام الجواد عليه السلام وسأله عن الخمس،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وكثير من جميع الضروب وعلى الصناع، وكيف ذلك‌؟ فكتب الإمام عليه السلام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القرائن كانت تشهد بأن السائل يسأل عن كيفية تعلق الخمس، فهل هو على جميع ما يستفيد أو عليه بعد إخراج المؤونة، فكتب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إمامة الإمام الجواد عليه السلام من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وهذا يدل على أن الحكم بلغ من الوضوح إلى درجة تعلق فيها السؤال بالكيفية لا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الإمام الجواد عليه السلام في رسالة لعلي بن مهزيار عام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والغنائم والفوائد يرحمك اللّه فهي الغنيمة يغنمها المرء والفائدة يفيدها، والجائزة من الإنسان للإنسان التي لها خطر، والميراث الّذي لا يحتسب من غير أب ولا ابن</w:t>
      </w:r>
      <w:r>
        <w:rPr>
          <w:rFonts w:eastAsia="Amiri" w:cs="Amiri" w:ascii="Amiri" w:hAnsi="Amiri"/>
          <w:color w:val="111111"/>
          <w:sz w:val="28"/>
          <w:szCs w:val="28"/>
          <w:rtl w:val="true"/>
          <w:lang w:bidi="ar-SA"/>
        </w:rPr>
        <w:t>».</w:t>
      </w:r>
      <w:r>
        <w:rPr>
          <w:rStyle w:val="FootnoteAnchor"/>
          <w:rtl w:val="true"/>
        </w:rPr>
        <w:footnoteReference w:id="782"/>
      </w:r>
      <w:bookmarkStart w:id="732" w:name="pg16780_177333"/>
    </w:p>
    <w:p>
      <w:pPr>
        <w:pStyle w:val="Heading6"/>
        <w:numPr>
          <w:ilvl w:val="5"/>
          <w:numId w:val="1"/>
        </w:numPr>
        <w:rPr/>
      </w:pPr>
      <w:bookmarkStart w:id="733" w:name="__RefHeading___Toc7190009_73709187"/>
      <w:bookmarkStart w:id="734" w:name="_Toc278"/>
      <w:bookmarkEnd w:id="732"/>
      <w:bookmarkEnd w:id="733"/>
      <w:r>
        <w:rPr>
          <w:rtl w:val="true"/>
        </w:rPr>
        <w:t>الخمس في كلام الإمام الهادي عليه السلام</w:t>
      </w:r>
      <w:bookmarkEnd w:id="73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محمد بن شجاع النيسابوريّ‌، قال سألت أبا الحسن الثالث عليه السلام عن رجل أصاب من ضيعته من الحنطة مائة كرّ ما يُزكّى‌، فأخذ منه العشر عشرة أكرار وذهب منه بسبب عمارة الضيعة ثلاثون كرّاً وبقي في يده ستون كرّاً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الّذي يجب لك من ذلك‌؟ وهل يجب لأصحابه من ذلك عليه شيء؟</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الإمام يرجع إلى عصر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أبوعلي بن راشد قلت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اجيبه‌؟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وصنائعهم،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هذه اثنا عشر حديثاً اقتصرنا بها تيمُّنا بهذا العدد المبارك وهي تدل بوضوح على لزوم الخمس في الفوائد والأرباح وكل ما يستفيده الإنسان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يقف القارئ على كذب ما ذكره مؤلف الكتاب، حيث قال في الحقيقة الثالثة من حقائقه الثمان التي ادعى كشفها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النصوص تجعل حكم أداء الخمس للإمام نفسه وفي حال حضوره، الاستحباب أو التخيير بين الأداء وتركه، وليس الوجوب</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وكأن كاتب هذه الشبهات لم يقرأ هذه الأحاديث أو تجاهلها عمداً، أفيمكن تفسير قول الإمام الرضا عليه السلام بالاستحباب عندما سأله بعض الشيعة أن يجعلهم في حلّ من الخمس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 تمحضونا المودّة بألسنتكم، وتزوون عنا حقّاً جعله اللّه لنا وجعلنا له،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تشبث به في عدم وجوب الخمس بما دلّ على تحليله للشيعة، فسيأتي تفسير هذه الروايات في الفصل التالي فانتظر</w:t>
      </w:r>
      <w:r>
        <w:rPr>
          <w:rFonts w:eastAsia="Amiri" w:cs="Amiri" w:ascii="Amiri" w:hAnsi="Amiri"/>
          <w:color w:val="111111"/>
          <w:sz w:val="28"/>
          <w:szCs w:val="28"/>
          <w:rtl w:val="true"/>
          <w:lang w:bidi="ar-SA"/>
        </w:rPr>
        <w:t>.</w:t>
      </w:r>
      <w:bookmarkStart w:id="735" w:name="pg16780_177337"/>
    </w:p>
    <w:p>
      <w:pPr>
        <w:pStyle w:val="Heading4"/>
        <w:numPr>
          <w:ilvl w:val="3"/>
          <w:numId w:val="1"/>
        </w:numPr>
        <w:rPr/>
      </w:pPr>
      <w:bookmarkStart w:id="736" w:name="__RefHeading___Toc7190011_73709187"/>
      <w:bookmarkStart w:id="737" w:name="_Toc279"/>
      <w:bookmarkEnd w:id="735"/>
      <w:bookmarkEnd w:id="736"/>
      <w:r>
        <w:rPr>
          <w:rtl w:val="true"/>
        </w:rPr>
        <w:t>الفصل الثاني ما هو المقصود من تحليل الخمس في بعض الروايات</w:t>
      </w:r>
      <w:bookmarkEnd w:id="737"/>
    </w:p>
    <w:p>
      <w:pPr>
        <w:pStyle w:val="Heading5"/>
        <w:numPr>
          <w:ilvl w:val="4"/>
          <w:numId w:val="1"/>
        </w:numPr>
        <w:rPr/>
      </w:pPr>
      <w:bookmarkStart w:id="738" w:name="__RefHeading___Toc7190013_73709187"/>
      <w:bookmarkStart w:id="739" w:name="_Toc280"/>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قد مرّ أن الخمس فريضة شرعية، دلّ عليها الكتاب والسنة النبوية والأحاديث المروية عن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الشرعي، لم يُنسخ أبداً بل بقي على ما كان عليه في عصر الرسول صلى الله عليه و آله و سلم، وليس لأحد بعد رحلته صلى الله عليه و آله و سلم نسخ حكم شرعي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فكيف تُفسَّر الروايات الواردة عن أئمة أهل البيت عليهم السلام، والدالّة على تحليل الخمس لشيعتهم‌؟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تحليله كان في ظرف خاص، ولمصلحة مؤقتة اقتضت تجميد العمل به، ولم يكن تصرّفاً في الحكم الشرعيّ‌؛ بل هو باقٍ على ما كان عليه، ولن يتغيّر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هذه المصلحة في دفع الأخطار الناجمة عن تطبيق هذا الحكم الشرعيّ في بعض الأوقات، فلقد تعرّض الأئمة عليهم السلام وشيعتهم في بعض الفترات الزمنية لمضايقات جمّة، ولفنون الظلم والاضطهاد على أيدي حكّام الجور، الذين كانوا يبثّون العيون والجواسيس، لمراقبة تحركّاتهم واتصالاتهم ونشاطاتهم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في أن الحاكم المستبدّ، يجد في إيصال الأموال إلى الإمام المعصوم مصدر خطر كبير عليه وعلى نظامه، فبالإضافة إلى دور المال في</w:t>
      </w:r>
      <w:bookmarkStart w:id="740" w:name="pg16780_177339"/>
    </w:p>
    <w:p>
      <w:pPr>
        <w:pStyle w:val="BookText"/>
        <w:rPr/>
      </w:pPr>
      <w:bookmarkEnd w:id="740"/>
      <w:r>
        <w:rPr>
          <w:rFonts w:ascii="Amiri" w:hAnsi="Amiri" w:eastAsia="Amiri" w:cs="Amiri"/>
          <w:color w:val="111111"/>
          <w:sz w:val="28"/>
          <w:sz w:val="28"/>
          <w:szCs w:val="28"/>
          <w:rtl w:val="true"/>
          <w:lang w:bidi="ar-SA"/>
        </w:rPr>
        <w:t>تعزيز القاعدة الشعبية للإمام، فإنّه يرى فيه تعبيراً عن عدم الاعتراف بشرعيّة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يجد الأئمة عليهم السلام بُدّاً من تقديم الأهمّ على المهمّ‌، فأجازوا لشيعتهم إبقاء الخُمس في أيديهم، لما يترتّب على دفعه إليهم عليهم السلام من مخاطر وأضرار تلحق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 المهمّ‌، وثَمّة أسباب أُخرى للتحليل، تتضح عند دراسة الروايات الدالة على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الحاكية عن التحليل على أقسام خمسة، هي</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7190015_73709187"/>
      <w:bookmarkStart w:id="742" w:name="_Toc281"/>
      <w:bookmarkEnd w:id="741"/>
      <w:r>
        <w:rPr>
          <w:rtl w:val="true"/>
        </w:rPr>
        <w:t>القسم الأوّل</w:t>
      </w:r>
      <w:r>
        <w:rPr>
          <w:rtl w:val="true"/>
        </w:rPr>
        <w:t xml:space="preserve">: </w:t>
      </w:r>
      <w:r>
        <w:rPr>
          <w:rtl w:val="true"/>
        </w:rPr>
        <w:t>تحليل خمس الغنائم</w:t>
      </w:r>
      <w:bookmarkEnd w:id="742"/>
    </w:p>
    <w:p>
      <w:pPr>
        <w:pStyle w:val="BookText"/>
        <w:rPr/>
      </w:pPr>
      <w:r>
        <w:rPr>
          <w:rFonts w:ascii="Amiri" w:hAnsi="Amiri" w:eastAsia="Amiri" w:cs="Amiri"/>
          <w:color w:val="111111"/>
          <w:sz w:val="28"/>
          <w:sz w:val="28"/>
          <w:szCs w:val="28"/>
          <w:rtl w:val="true"/>
          <w:lang w:bidi="ar-SA"/>
        </w:rPr>
        <w:t xml:space="preserve">كان المسلمون خلال حياة الأئمة عليهم السلام يخوضون حروباً لنشر الإسلام في كافة أرجاء العالم، وكانوا يرجعون بغنائم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إماء ومتاع وأموال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تباع في الاسواق فتتداولها الأيدي بالبيع والشراء، وكان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جزء من هذا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الأمتعة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خمس الغنائم الّذي أوجبه اللّه وجعله من حق اللّه ورسوله كان لا يُخرج من هذه الغنائم، ولا يُدفع للإمام، والتكليف بالخمس لم يكن متوجهاً للشيعة أوّلاً وبالذات، بل يتعلّق بأموال وقعت في أيدي الشيعة، فأوجد هذا الأمر مشكلة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رفع هذه المشكلة، أحلّ الأئمةُ لهم خمسَ الغنائم التي تقع بأيديهم، وأكثر ما يدل على التحليل راجع إلى هذا القسم، وسنذكر بعض ما ورد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وزُرارة ومحمد بن مسلم،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w:t>
      </w:r>
    </w:p>
    <w:p>
      <w:pPr>
        <w:pStyle w:val="BookText"/>
        <w:rPr/>
      </w:pPr>
      <w:r>
        <w:rPr>
          <w:rFonts w:ascii="Amiri" w:hAnsi="Amiri" w:eastAsia="Amiri" w:cs="Amiri"/>
          <w:color w:val="111111"/>
          <w:sz w:val="28"/>
          <w:sz w:val="28"/>
          <w:szCs w:val="28"/>
          <w:rtl w:val="true"/>
          <w:lang w:bidi="ar-SA"/>
        </w:rPr>
        <w:t>في بطونهم وفروجهم لأنهم لم يؤدّوا إلينا حقنا، ألا وإن شيعتنا من ذلك وآباءهم في حلّ‌</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الإماء فيكون قرينة على أن المراد من بطونهم هو ما يتملكوه من غنائم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أين دخل على الناس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خمسنا أهل البيت عليهم السلام، إلّا لشيعتنا الأطيبين فإنهم محلَّل لهم ولميلادهم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العبارات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على الناس الزنا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لشيعتنا الأطيبين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ولميلادهم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دليل على أن مورد التحليل هو الإماء التي يتداولها الناس بالبيع والشراء، وهي من الغنائم الحربية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 أو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ما فيه 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وقد طيَّبنا ذلك لشيعتنا لتطيب ولادتهم ولتزكوا أولادهم</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شاهد على أن التحليل يتعلق بالسراري التي يشتريها الشيعة، وهي من الغنائم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فلنقتصر على هذا، ولنذكر شيئاً من الروايات التي تشير إلى تحليل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الحارث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أحللنا إذن لشيعتنا إلّالتطيب ولادتهم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حللهم من الخمس لتطيب ولادتهم</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وفي رواية إسحاق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ولادتهم ولا تخبث</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وفي رواية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مواليدهم ولا يكون أولادهم أولاد حرام</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فالناظر إلى هذه الروايات يذعن بأن مصب التحليل فيها راجع لما يقع في أيدي الناس من المناكح التي لم تُخمَّس، واشتراها الشيعة واستولدوها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بالمناكح السَّراري المغنومة من أهل الحرب في حالة الغَيبة، فإنّه يباح لنا شراؤها ووطؤها وإنْ كانت بأجمعها للإمام على القول بأنها من الأنفال، إذ كل جهاد مع العدو لم يكن بأذن الإمام، فالغنائم كلها للإمام عليه السلام على ما مرّ،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الآخر</w:t>
      </w:r>
      <w:r>
        <w:rPr>
          <w:rFonts w:eastAsia="Amiri" w:cs="Amiri" w:ascii="Amiri" w:hAnsi="Amiri"/>
          <w:color w:val="111111"/>
          <w:sz w:val="28"/>
          <w:szCs w:val="28"/>
          <w:rtl w:val="true"/>
          <w:lang w:bidi="ar-SA"/>
        </w:rPr>
        <w:t>.</w:t>
      </w:r>
      <w:r>
        <w:rPr>
          <w:rStyle w:val="FootnoteAnchor"/>
          <w:rtl w:val="true"/>
        </w:rPr>
        <w:footnoteReference w:id="794"/>
      </w:r>
      <w:bookmarkStart w:id="743" w:name="pg16780_177345"/>
    </w:p>
    <w:p>
      <w:pPr>
        <w:pStyle w:val="Heading5"/>
        <w:numPr>
          <w:ilvl w:val="4"/>
          <w:numId w:val="1"/>
        </w:numPr>
        <w:rPr/>
      </w:pPr>
      <w:bookmarkStart w:id="744" w:name="__RefHeading___Toc7190017_73709187"/>
      <w:bookmarkStart w:id="745" w:name="_Toc282"/>
      <w:bookmarkEnd w:id="743"/>
      <w:bookmarkEnd w:id="744"/>
      <w:r>
        <w:rPr>
          <w:rtl w:val="true"/>
        </w:rPr>
        <w:t>القسم الثاني</w:t>
      </w:r>
      <w:r>
        <w:rPr>
          <w:rtl w:val="true"/>
        </w:rPr>
        <w:t xml:space="preserve">: </w:t>
      </w:r>
      <w:r>
        <w:rPr>
          <w:rtl w:val="true"/>
        </w:rPr>
        <w:t>التحليل لمن ضاق عليه معاشه</w:t>
      </w:r>
      <w:bookmarkEnd w:id="745"/>
    </w:p>
    <w:p>
      <w:pPr>
        <w:pStyle w:val="BookText"/>
        <w:rPr/>
      </w:pPr>
      <w:r>
        <w:rPr>
          <w:rFonts w:ascii="Amiri" w:hAnsi="Amiri" w:eastAsia="Amiri" w:cs="Amiri"/>
          <w:color w:val="111111"/>
          <w:sz w:val="28"/>
          <w:sz w:val="28"/>
          <w:szCs w:val="28"/>
          <w:rtl w:val="true"/>
          <w:lang w:bidi="ar-SA"/>
        </w:rPr>
        <w:t>يظهر من بعض الروايات أن التحليل كان لطائفة خاصة من الناس الذين ضاق عليهم العيش، ويدل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في الفقيه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يقع في أيدينا الأرباح والأموال وتجارات تعلم أن حقك فيها ثابت وإنا عن ذلك مقصِّرون،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الحديث أن ملاك التحليل، هو عسر السائل وكثرة ورود الظلم على الشيعة من جانب المخالفين، فاقتضت المصلحة رد الخمس إليهم أو تحليله لهم،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الرواية ناظرة إلى القسم الثالث الآتي، إذ ربّما تقع الأموال غير المخمّسة في أيدي الشيعة عن طريق البيع والشراء، فتكليف الشيعة بإخراج خُمُسها كان إحراجاً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في الصحيح عن علي بن مهزيار قال قرأت في كتاب لأبي جعفر عليه السلام من رجل يسأله أن يجعله في حلّ من مأكله ومشربه من الخمس،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فهوفي 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46" w:name="__RefHeading___Toc7190019_73709187"/>
      <w:bookmarkStart w:id="747" w:name="_Toc283"/>
      <w:bookmarkEnd w:id="746"/>
      <w:r>
        <w:rPr>
          <w:rtl w:val="true"/>
        </w:rPr>
        <w:t>القسم الثالث</w:t>
      </w:r>
      <w:r>
        <w:rPr>
          <w:rtl w:val="true"/>
        </w:rPr>
        <w:t xml:space="preserve">: </w:t>
      </w:r>
      <w:r>
        <w:rPr>
          <w:rtl w:val="true"/>
        </w:rPr>
        <w:t>تحليل ما ينتقل إلى الشيعة من غير المخمّس</w:t>
      </w:r>
      <w:bookmarkEnd w:id="74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روايات أُخرى أن ملاك التحليل أن أكثر الناس كانوا غير معتقدين بوجوب التخميس في الأرباح والمكاسب، فربما تقع أموالهم عن طريق البيع والشراء بيد الشيعة، وفيها حقهم عليهم السلام، وهذا هو الّذي اباحه الأئمة</w:t>
      </w:r>
      <w:bookmarkStart w:id="748" w:name="pg16780_177347"/>
    </w:p>
    <w:p>
      <w:pPr>
        <w:pStyle w:val="BookText"/>
        <w:rPr/>
      </w:pPr>
      <w:bookmarkEnd w:id="748"/>
      <w:r>
        <w:rPr>
          <w:rFonts w:ascii="Amiri" w:hAnsi="Amiri" w:eastAsia="Amiri" w:cs="Amiri"/>
          <w:color w:val="111111"/>
          <w:sz w:val="28"/>
          <w:sz w:val="28"/>
          <w:szCs w:val="28"/>
          <w:rtl w:val="true"/>
          <w:lang w:bidi="ar-SA"/>
        </w:rPr>
        <w:t xml:space="preserve">للشيعة رفعاً للحرج والضرر، ويدل على ذلك ما رواه أبو سلمة 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أبو عبداللّه عليه السلام،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اوامرأة يتزوّجها، اوميراثاً يصيبه، أو تجارة أو شيئاً أعطيه،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لشيعتنا حلال، الشاهد منهم والغائب، الميّت منهم والحيّ‌، وما يولد منهم إلى يوم القيامة فهو لهم حلال، أما واللّه لا يحل إلّالمن أحللنا له، ولا واللّه ما أعطينا أحداً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عندنا لأحد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لأحد عندنا ميثاق</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فالرواية مشتملة على موضوعين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يقع في أيدي الشيعة من الغنائم،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يسألك خادماً يشتريها أو امرأة يتزوجها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يقع في أيدي الشيعة من الأموال غير المخمسة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ميراثاً يصيبه أو تجارة أو شيئاً أعطيه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هل التحليل يختص بأموال غير المعتقدين بالخمس، أو يعم الشيعة المعتقدين به ولكن يبيعون الأموال بلا تخميس‌؟</w:t>
      </w:r>
    </w:p>
    <w:p>
      <w:pPr>
        <w:pStyle w:val="BookText"/>
        <w:rPr/>
      </w:pPr>
      <w:r>
        <w:rPr>
          <w:rFonts w:ascii="Amiri" w:hAnsi="Amiri" w:eastAsia="Amiri" w:cs="Amiri"/>
          <w:color w:val="111111"/>
          <w:sz w:val="28"/>
          <w:sz w:val="28"/>
          <w:szCs w:val="28"/>
          <w:rtl w:val="true"/>
          <w:lang w:bidi="ar-SA"/>
        </w:rPr>
        <w:t>القدر المتيقن هو الأوّل وهو مصب الروايات، بقرينة التركيز على لفظ الشيعة</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7190021_73709187"/>
      <w:bookmarkStart w:id="750" w:name="_Toc284"/>
      <w:bookmarkEnd w:id="749"/>
      <w:r>
        <w:rPr>
          <w:rtl w:val="true"/>
        </w:rPr>
        <w:t>القسم الرابع</w:t>
      </w:r>
      <w:r>
        <w:rPr>
          <w:rtl w:val="true"/>
        </w:rPr>
        <w:t xml:space="preserve">: </w:t>
      </w:r>
      <w:r>
        <w:rPr>
          <w:rtl w:val="true"/>
        </w:rPr>
        <w:t>التحليل لمرحلة زمنية خاصّة</w:t>
      </w:r>
      <w:bookmarkEnd w:id="75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بعض الروايات على أن التحليل كان في فترة زمنية معيّنة، كان إيصال الأموال فيها إلى أئمة أهل البيت عليهم السلام أمراً مشكلاً وحرجياً ربّما يستعقب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حياة أئمة أهل البيت عليهم السلام وتضييق الحكام الأمويين على الإمامين الباقر والصادق، وإحراج العباسيين للإمام الصادق والكاظم، يقف على أن التضييق قد بلغ ذروته في بعض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السياسة العامة للأمويين وفترة من حكم العباسيين، هي إشخاص الإمام ومساءلته، أو إلقاء القبض عليه وإيداعه السجن، ثم استحدث المأمون سياسة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عليها الحكام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تقوم على نقل الإمام إلى عاصمة المُلك، وإخضاعه للمراقبة الشديدة، وقد عانى من هذه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 والجواد والهادي والعسكري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الاتصال بالإمام عليه السلام في مثل هذا الظرف القاسي، ونقل الأموال إليه يورث الحرج والخطر عليه وعلى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الخطر المحدق بالشيعة ما رواه الشيخ الطوسي في فصلٍ عقده لذكر الممدوحين من وكلاء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المعلّى بن خُنيس، وكان من قوّام أبي عبداللّه عليه السلام، وإنّما قتله داود بن علي بسببه وكان محموداً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على منهاجه، ولما قُتل عظمُ ذلك على أبي عبداللّه عليه السلام واشتد عليه،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يادواد على ما قتلت مولاي وقيّمي في مالي وعيالي‌؟ واللّه إنّه لا وجه عند اللّه منك</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ويدلّ عليه أيضاً، ما ورد في قصة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خلص أصحاب الإمامين الكاظم والرضا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حُبس في أيّام الرشيد ليدلّ على مواضع الشيعة وأصحاب موسى بن جعفر عليه السلام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أسواطاً بلغت منه، فكاد أن يُقرّ لعظيم الألم، فسمع محمد بن يونس بن عبدالرحمن،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بن أبي عمير، فصبر، ففرج اللّه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ويشهد على ما ذكرنا ما رواه حكيم مؤذن بني عبس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 إلّاأنّ أبي 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أبي جعل شيعتنا من ذلك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الحلّ كان راجعاً إلى فترة خاصة، وأما الإمام الصادق عليه السلام نفسه فقد سكت عن ذلك مشعراً بأن الحكم باق على فعليته، ولعله كان راجعاً إلى الفترة التي حصل فيها بعض الانفراج السياسي، بسبب سقوط الدولة الأموية على ايدي العباسيين وما نشب خلال ذلك من صراع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والنماذج التي حوتها كتب التاريخ كثيرة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الظروف المختلفة التي أدت إلى تحليل الخمس للشيعة تارة، وأخذه تارة أُخرى، صارت سبباً للإبهام، قام الإمام الجواد عليه السلام برفع الشبهة، وذلك ببيان قاطع، إذ كتب إلى بعض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أوجبتُ في سنتي هذه، وهذه سنة عشرين ومائتين، فقط لمعنى من المعاني، أكره تفسير المعنى كلّه خوفاً من الانتشار، وسأفسّر لك بعضه إن شاءللّه، إنّ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قصّروا فيما يجب عليهم، فعلمت ذلك فأحببت أن أطهِّرهم وأُزكيهم بما فعلت في عامي هذا من أمر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الغنيمة يغنمها المرء والفائدة يفيدها، والجائزة من الإنسان إلى الإنسان التي لها خطر، والميراث الّذي لا يحتسب من غير أب ولا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ذكره</w:t>
      </w:r>
      <w:r>
        <w:rPr>
          <w:rFonts w:eastAsia="Amiri" w:cs="Amiri" w:ascii="Amiri" w:hAnsi="Amiri"/>
          <w:color w:val="111111"/>
          <w:sz w:val="28"/>
          <w:szCs w:val="28"/>
          <w:rtl w:val="true"/>
          <w:lang w:bidi="ar-SA"/>
        </w:rPr>
        <w:t>.</w:t>
      </w:r>
      <w:r>
        <w:rPr>
          <w:rStyle w:val="FootnoteAnchor"/>
          <w:rtl w:val="true"/>
        </w:rPr>
        <w:footnoteReference w:id="800"/>
      </w:r>
      <w:bookmarkStart w:id="751" w:name="pg16780_177353"/>
    </w:p>
    <w:p>
      <w:pPr>
        <w:pStyle w:val="BookText"/>
        <w:rPr/>
      </w:pPr>
      <w:bookmarkEnd w:id="751"/>
      <w:r>
        <w:rPr>
          <w:rFonts w:ascii="Amiri" w:hAnsi="Amiri" w:eastAsia="Amiri" w:cs="Amiri"/>
          <w:color w:val="111111"/>
          <w:sz w:val="28"/>
          <w:sz w:val="28"/>
          <w:szCs w:val="28"/>
          <w:rtl w:val="true"/>
          <w:lang w:bidi="ar-SA"/>
        </w:rPr>
        <w:t>وهذه الروايات التي يفسر بعضها بعضاً، تدلّ على أن مسألة الخمس صارت تثير المشاكل في حين دون حين، ولذلك رخّص الأئمة عليهم السلام في تركه، ولما كثر السؤال عنه في عصر الإمام الجواد عليه السلام كتب هذه الرسالة وأعلن وجوب دفع الخمس في الموارد التي ذكرها</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7190023_73709187"/>
      <w:bookmarkStart w:id="753" w:name="_Toc285"/>
      <w:bookmarkEnd w:id="752"/>
      <w:r>
        <w:rPr>
          <w:rtl w:val="true"/>
        </w:rPr>
        <w:t>القسم الخامس</w:t>
      </w:r>
      <w:r>
        <w:rPr>
          <w:rtl w:val="true"/>
        </w:rPr>
        <w:t xml:space="preserve">: </w:t>
      </w:r>
      <w:r>
        <w:rPr>
          <w:rtl w:val="true"/>
        </w:rPr>
        <w:t>تحليل الأنفال</w:t>
      </w:r>
      <w:bookmarkEnd w:id="753"/>
    </w:p>
    <w:p>
      <w:pPr>
        <w:pStyle w:val="BookText"/>
        <w:rPr/>
      </w:pPr>
      <w:r>
        <w:rPr>
          <w:rFonts w:ascii="Amiri" w:hAnsi="Amiri" w:eastAsia="Amiri" w:cs="Amiri"/>
          <w:color w:val="111111"/>
          <w:sz w:val="28"/>
          <w:sz w:val="28"/>
          <w:szCs w:val="28"/>
          <w:rtl w:val="true"/>
          <w:lang w:bidi="ar-SA"/>
        </w:rPr>
        <w:t>إن الغنائم الحربية هي من نصيب المجاهدين، بعد إعطاء خمسها لأصحابه، وأما الأنفال اعني كل أرض ملكت بغير قتال، وكل موات، ورؤوس الجبال، وبطون الاودية، والآجام والغابات، وميراث من لا وارث له، وكافة ما يغنمه المقاتلون بغير إذن الإمام، وكافة المياه العامة والأحراش الطبيعية والمراتع التي ليست حريماً لأحد، وقطائع الملوك وصفاياهم غير المغصوبة، فالكل للّه ورسوله وبعده للإمام، وقد مرّ معنى كون الأنفال للرسول والإمام فلا يجوز التصرف فيها إلّاباذن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ومن جانب آخر، فإن بعض هذه الأُمور تقع في متناول الشيعة، وهذا ما أحلّه الأئمة عليهم السلام لهم خصوصاً ما يرجع إلى الأرض، ويدل عليه ما رواه أبو سيّار مِسْمَع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الغوص فأصبت أربعمائة ألف درهم، وقد جئت بخمسها ثمانين ألف درهم، وكرهت أن أحبسها عنك وأعرض لها، وهي حقك الّذي جعل اللّه تعالى لك في أموالنا،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ومالنا من الأرض وما أخرج اللّه منها إلّاالخمس‌؟ يا أبا سيّار،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وحللناك منه، فضمّ إليك مالك، وكلّ ما كان في أيدي شيعتنا من الأرض فهم فيه محللون، ومحلل لهم ذلك إلى أن يقوم قائمنا فيجبيهم طسق ما كان في أيدي سواهم، فإن كسبهم</w:t>
      </w:r>
      <w:bookmarkStart w:id="754" w:name="pg16780_177355"/>
    </w:p>
    <w:p>
      <w:pPr>
        <w:pStyle w:val="BookText"/>
        <w:rPr/>
      </w:pPr>
      <w:bookmarkEnd w:id="754"/>
      <w:r>
        <w:rPr>
          <w:rFonts w:ascii="Amiri" w:hAnsi="Amiri" w:eastAsia="Amiri" w:cs="Amiri"/>
          <w:color w:val="111111"/>
          <w:sz w:val="28"/>
          <w:sz w:val="28"/>
          <w:szCs w:val="28"/>
          <w:rtl w:val="true"/>
          <w:lang w:bidi="ar-SA"/>
        </w:rPr>
        <w:t>من الأرض حرام عليهم حتّى يقوم قائمنا، فيأخذ الأرض من أيديهم ويخرجهم منها صغرة</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لقد ظهر من هذا البحث الضافي أنّ روايات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وقعت ذريعة بأيدي بعض المناوئين لأئمة أهل البيت عليهم السلام وشيعتهم، لاسيّما المرجعية الدينية التي تتولى قيادة الشيعة في حياتهم الفردية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صلة لها بما يرتأيه البعض من تحليل الخمس في عامة الموارد وفي جميع الأزمنة، بل هي تدور حول الموضوعات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الغنائم في الحروب التي خاضتها الدولتان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 والعباسية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مال من ضاق عليه معاشه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الأموال غير المخمسة المنتقلة إلى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الخمس في فترة خاصة، كان إيصاله إلى الأئمة عليهم السلام يشكّل خطراً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الأنفال التي ترجع إلى اللّه ورسوله والإمام من بعده فأذنوا فيها للشيعة، خصوصاً ما يتعلّق بالأراضي الموات منها</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7190025_73709187"/>
      <w:bookmarkStart w:id="756" w:name="_Toc286"/>
      <w:bookmarkEnd w:id="755"/>
      <w:r>
        <w:rPr>
          <w:rtl w:val="true"/>
        </w:rPr>
        <w:t>الخمس بدل الزكاة لبني هاشم</w:t>
      </w:r>
      <w:bookmarkEnd w:id="756"/>
    </w:p>
    <w:p>
      <w:pPr>
        <w:pStyle w:val="BookText"/>
        <w:rPr/>
      </w:pPr>
      <w:r>
        <w:rPr>
          <w:rFonts w:ascii="Amiri" w:hAnsi="Amiri" w:eastAsia="Amiri" w:cs="Amiri"/>
          <w:color w:val="111111"/>
          <w:sz w:val="28"/>
          <w:sz w:val="28"/>
          <w:szCs w:val="28"/>
          <w:rtl w:val="true"/>
          <w:lang w:bidi="ar-SA"/>
        </w:rPr>
        <w:t>لقد حرّم اللّه سبحانه الزكاة على فقراء بني هاشم وجعل مكانها الخمس على ذلك اتفقت كلمة الفقهاء، من غير فرق بين الشيعة والسنة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اللّه هذا الخمس خاصة لهم دون مساكين الناس وأبناء سبيلهم عوضاً لهم من صدقات الناس، تنزيهاً من اللّه لهم لقرابتهم برسول اللّه صلى الله عليه و آله و سلم، وكرامة من اللّه لهم عن أوساخ الناس، فجعل لهم</w:t>
      </w:r>
    </w:p>
    <w:p>
      <w:pPr>
        <w:pStyle w:val="BookText"/>
        <w:rPr/>
      </w:pPr>
      <w:r>
        <w:rPr>
          <w:rFonts w:ascii="Amiri" w:hAnsi="Amiri" w:eastAsia="Amiri" w:cs="Amiri"/>
          <w:color w:val="111111"/>
          <w:sz w:val="28"/>
          <w:sz w:val="28"/>
          <w:szCs w:val="28"/>
          <w:rtl w:val="true"/>
          <w:lang w:bidi="ar-SA"/>
        </w:rPr>
        <w:t>خاصة من عنده ما يغنيهم به عن أن يصيرهم في موضع الذل والمسكنة، ولا بأس بصدقات بعضهم على بعض، وهؤلاء الذين جعل اللّه لهم الخمس هم قرابة النبي صلى الله عليه و آله و سلم الذين ذكرهم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وهم بنو عبدالمطلب أنفسهم الذكر منهم والأُنثى</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حياة فقرائهم معتمدة على الخمس، فكيف يمكن لأئمة أهل البيت عليهم السلام تحليله في عامة الازمنة إلى قيام القائم، إذ أن لازم ذلك إما أن يموتوا جوعاً أو أن يعتمدوا على الزكاة المحرَّمة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فهلم معي نسأل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جزية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 الحقيقة الثانية التي يدعي اكتشافها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اكتشف 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النصوص الواردة عن الأئمة تسقط الخمس عن الشيعة وتبيحه لهم خصوصاً في زمن الغيبة إلى حين ظهور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زعم من دلالة النصوص، فهي ناظرة إلى عصر الظهور لا إلى عصر الغيبة لأنها مروية عن الإمام الباقر والصادق والكاظم عليهم السلام فكيف تكون ناظرة إلى عصر الغيبة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مفاد النصوص لا يمت إلى ما يرتأيه بعضم بصلة، فأين الروايات التي تُدّعى دلالتها على تحليل الخمس بأنواعه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 الكنز، الغوص، المعادن، الحلال المختلط بالحرام، الأرض التي يشتريها الذمي من المسلم، خمس الارباح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مطلقاً في جميع الأزمنة والفترات إلى يومنا هذا، فمن ادّعى ذلك ونسبه إلى أئمة أهل البيت عليهم السلام، فهو إما جاهل أو متجاهل</w:t>
      </w:r>
      <w:r>
        <w:rPr>
          <w:rFonts w:eastAsia="Amiri" w:cs="Amiri" w:ascii="Amiri" w:hAnsi="Amiri"/>
          <w:color w:val="111111"/>
          <w:sz w:val="28"/>
          <w:szCs w:val="28"/>
          <w:rtl w:val="true"/>
          <w:lang w:bidi="ar-SA"/>
        </w:rPr>
        <w:t>.</w:t>
      </w:r>
      <w:bookmarkStart w:id="757" w:name="pg16780_177359"/>
    </w:p>
    <w:p>
      <w:pPr>
        <w:pStyle w:val="Heading4"/>
        <w:numPr>
          <w:ilvl w:val="3"/>
          <w:numId w:val="1"/>
        </w:numPr>
        <w:rPr/>
      </w:pPr>
      <w:bookmarkStart w:id="758" w:name="__RefHeading___Toc7190027_73709187"/>
      <w:bookmarkStart w:id="759" w:name="_Toc287"/>
      <w:bookmarkEnd w:id="757"/>
      <w:bookmarkEnd w:id="758"/>
      <w:r>
        <w:rPr>
          <w:rtl w:val="true"/>
        </w:rPr>
        <w:t>الفصل الثالث جهاز الوكالة في عصر الحضور</w:t>
      </w:r>
      <w:bookmarkEnd w:id="759"/>
    </w:p>
    <w:p>
      <w:pPr>
        <w:pStyle w:val="Heading5"/>
        <w:numPr>
          <w:ilvl w:val="4"/>
          <w:numId w:val="1"/>
        </w:numPr>
        <w:rPr/>
      </w:pPr>
      <w:bookmarkStart w:id="760" w:name="__RefHeading___Toc7190029_73709187"/>
      <w:bookmarkStart w:id="761" w:name="_Toc288"/>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انتهجت السلطتان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والعباسية في معظم فترات حكمهما، سياسة القمع والبطش، ومصادرة الحريات، لاسيما تجاه أتباع مدرسة أهل البيت عليهم السلام، الذين كان يصعب عليهم الاتصال بأئمتهم عليهم السلام، لِما يسبّبه لهم من مشاكل ومخاطر في حياتهم، قد تُفضي بهم أحياناً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التخفيف من وطأة هذه المخاطر، وتيسير حاجات الشيعة، تمّ إنشاء جهاز الوكالة، الّذي يضمّ مجموعة من الوكلاء، يتمّ توزيعهم على مختلف المناطق، ليقوموا بمهمة تعليم الأحكام، وتسلّم أموال الفرائض المالية، وغير ذلك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الأصل المهم في الوكالة، كون الرجل ثقة عادلاً تسكن إليه النفوس، وقد حفل تاريخ الأئمة عليهم السلام بذكر وكلائهم في أعصارهم، حتّى أن بعض هؤلاء الوكلاء قد استشهدوا بسبب وكالتهم للأئمة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أسماء عدد ممن كانوا مرجعاً لتعليم الاحكام، وأخذ الفرائض المالية</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7190031_73709187"/>
      <w:bookmarkStart w:id="763" w:name="_Toc289"/>
      <w:bookmarkEnd w:id="762"/>
      <w:r>
        <w:rPr/>
        <w:t>1</w:t>
      </w:r>
      <w:r>
        <w:rPr>
          <w:rtl w:val="true"/>
        </w:rPr>
        <w:t xml:space="preserve">. </w:t>
      </w:r>
      <w:r>
        <w:rPr>
          <w:rtl w:val="true"/>
        </w:rPr>
        <w:t>المُعَلّى بن خُنَيس</w:t>
      </w:r>
      <w:bookmarkEnd w:id="763"/>
    </w:p>
    <w:p>
      <w:pPr>
        <w:pStyle w:val="BookText"/>
        <w:rPr/>
      </w:pPr>
      <w:r>
        <w:rPr>
          <w:rFonts w:ascii="Amiri" w:hAnsi="Amiri" w:eastAsia="Amiri" w:cs="Amiri"/>
          <w:color w:val="111111"/>
          <w:sz w:val="28"/>
          <w:sz w:val="28"/>
          <w:szCs w:val="28"/>
          <w:rtl w:val="true"/>
          <w:lang w:bidi="ar-SA"/>
        </w:rPr>
        <w:t xml:space="preserve">كان المعلّى بن خنيس أحد وكلاء الإمام الصادق عليه السلام في أخذ الحقوق الشرعية، ولما وقف على ذلك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المدينة من قبل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ابن أبي نجران عن حماد الناب عن المسمعي،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أخذ داود بن علي المعلى بن خنيس حبسه وأراد قتله، فقال له المعلى بن</w:t>
      </w:r>
      <w:bookmarkStart w:id="764" w:name="pg16780_177361"/>
    </w:p>
    <w:p>
      <w:pPr>
        <w:pStyle w:val="BookText"/>
        <w:rPr/>
      </w:pPr>
      <w:bookmarkEnd w:id="764"/>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إلى الناس فإن لي دَيناً كثيراً ومالاً حتّى أشهد بذلك، فأخرجه إلى السوق،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معلى بن خنيس فمن عرفني فقد عرفني، اشهدوا أن ما تركت من مال من عين أو دين أو أمة أو عبد أو دار أو قليل أو كثير، فهو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صاحب شرطة داود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أبا عبداللّه عليه السلام خرج يجرّ ذيله حتّى دخل على داود بن علي، وإسماعيل ابنه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قتلت مولائي وأخذت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ولا أخذت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على من قتل مولائي وأخذ مالي</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داود المدينة من قابل أحضر المعلى وسأله عن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اكتبهم لي، وإلّا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واللّه لو كانت تحت أقدامي ما رفعتها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عنقه وصلبه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قتلت مولاي ووكيلي وما كفاك القتل حتّى صلبته</w:t>
      </w:r>
      <w:r>
        <w:rPr>
          <w:rFonts w:eastAsia="Amiri" w:cs="Amiri" w:ascii="Amiri" w:hAnsi="Amiri"/>
          <w:color w:val="111111"/>
          <w:sz w:val="28"/>
          <w:szCs w:val="28"/>
          <w:rtl w:val="true"/>
          <w:lang w:bidi="ar-SA"/>
        </w:rPr>
        <w:t>.</w:t>
      </w:r>
      <w:r>
        <w:rPr>
          <w:rStyle w:val="FootnoteAnchor"/>
          <w:rtl w:val="true"/>
        </w:rPr>
        <w:footnoteReference w:id="805"/>
      </w:r>
    </w:p>
    <w:p>
      <w:pPr>
        <w:pStyle w:val="Heading5"/>
        <w:numPr>
          <w:ilvl w:val="4"/>
          <w:numId w:val="1"/>
        </w:numPr>
        <w:rPr/>
      </w:pPr>
      <w:bookmarkStart w:id="765" w:name="__RefHeading___Toc7190033_73709187"/>
      <w:bookmarkStart w:id="766" w:name="_Toc290"/>
      <w:bookmarkEnd w:id="765"/>
      <w:r>
        <w:rPr/>
        <w:t>2</w:t>
      </w:r>
      <w:r>
        <w:rPr>
          <w:rtl w:val="true"/>
        </w:rPr>
        <w:t xml:space="preserve">. </w:t>
      </w:r>
      <w:r>
        <w:rPr>
          <w:rtl w:val="true"/>
        </w:rPr>
        <w:t>حُمران بن أعيَن</w:t>
      </w:r>
      <w:bookmarkEnd w:id="766"/>
    </w:p>
    <w:p>
      <w:pPr>
        <w:pStyle w:val="BookText"/>
        <w:rPr/>
      </w:pPr>
      <w:r>
        <w:rPr>
          <w:rFonts w:ascii="Amiri" w:hAnsi="Amiri" w:eastAsia="Amiri" w:cs="Amiri"/>
          <w:color w:val="111111"/>
          <w:sz w:val="28"/>
          <w:sz w:val="28"/>
          <w:szCs w:val="28"/>
          <w:rtl w:val="true"/>
          <w:lang w:bidi="ar-SA"/>
        </w:rPr>
        <w:t xml:space="preserve">ينتمي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عريق في العلم، والموالاة لأهل البيت عليهم السلام، وكان من أصحاب الباقر والصادق عليهما السلام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رسالة أبي غالب الزراري التي ألّفها في أحوال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بن أعين لقي سيدنا سيد العابدين علي بن الحسين عليهما السلام، وكان من أكبر مشايخ الشيعة المفضلين الذين لا يُشكّ فيهم، وكان أحد حملة القرآن، ومَن يُعدّ ويذكر اسمه في القراءات، وروي أنّه قرأ على أبي جعفر محمد بن علي عليهما السلام</w:t>
      </w:r>
      <w:r>
        <w:rPr>
          <w:rFonts w:eastAsia="Amiri" w:cs="Amiri" w:ascii="Amiri" w:hAnsi="Amiri"/>
          <w:color w:val="111111"/>
          <w:sz w:val="28"/>
          <w:szCs w:val="28"/>
          <w:rtl w:val="true"/>
          <w:lang w:bidi="ar-SA"/>
        </w:rPr>
        <w:t>.</w:t>
      </w:r>
      <w:r>
        <w:rPr>
          <w:rStyle w:val="FootnoteAnchor"/>
          <w:rtl w:val="true"/>
        </w:rPr>
        <w:footnoteReference w:id="806"/>
      </w:r>
      <w:bookmarkStart w:id="767" w:name="pg16780_177363"/>
    </w:p>
    <w:p>
      <w:pPr>
        <w:pStyle w:val="BookText"/>
        <w:rPr/>
      </w:pPr>
      <w:bookmarkEnd w:id="767"/>
      <w:r>
        <w:rPr>
          <w:rFonts w:ascii="Amiri" w:hAnsi="Amiri" w:eastAsia="Amiri" w:cs="Amiri"/>
          <w:color w:val="111111"/>
          <w:sz w:val="28"/>
          <w:sz w:val="28"/>
          <w:szCs w:val="28"/>
          <w:rtl w:val="true"/>
          <w:lang w:bidi="ar-SA"/>
        </w:rPr>
        <w:t>وكان مع ذلك عالماً بالنحو واللغة، وقد ذكر الكشي في رجاله روايات عديدة في مدحه</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وعدّه الشيخ الطوسيّ من وكلاء الأئمة المحمودين</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وهذا يدل على أن جهاز الوكالة كان موجوداً في عصر الباقر عليه السلام أيضاً، بل ربّما يستفاد من بعض الروايات وجوده في حياة الإمام الحسن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الحسن عليه السلام وسأله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عليه السلام بوكيله وجعل يحاسبه على نفقاته حتّى استقصاها،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الفاضل من الثلاثمائة ألف درهم</w:t>
      </w:r>
      <w:r>
        <w:rPr>
          <w:rFonts w:eastAsia="Amiri" w:cs="Amiri" w:ascii="Amiri" w:hAnsi="Amiri"/>
          <w:color w:val="111111"/>
          <w:sz w:val="28"/>
          <w:szCs w:val="28"/>
          <w:rtl w:val="true"/>
          <w:lang w:bidi="ar-SA"/>
        </w:rPr>
        <w:t>.</w:t>
      </w:r>
      <w:r>
        <w:rPr>
          <w:rStyle w:val="FootnoteAnchor"/>
          <w:rtl w:val="true"/>
        </w:rPr>
        <w:footnoteReference w:id="809"/>
      </w:r>
    </w:p>
    <w:p>
      <w:pPr>
        <w:pStyle w:val="Heading5"/>
        <w:numPr>
          <w:ilvl w:val="4"/>
          <w:numId w:val="1"/>
        </w:numPr>
        <w:rPr/>
      </w:pPr>
      <w:bookmarkStart w:id="768" w:name="__RefHeading___Toc7190035_73709187"/>
      <w:bookmarkStart w:id="769" w:name="_Toc291"/>
      <w:bookmarkEnd w:id="768"/>
      <w:r>
        <w:rPr/>
        <w:t>3</w:t>
      </w:r>
      <w:r>
        <w:rPr>
          <w:rtl w:val="true"/>
        </w:rPr>
        <w:t xml:space="preserve">. </w:t>
      </w:r>
      <w:r>
        <w:rPr>
          <w:rtl w:val="true"/>
        </w:rPr>
        <w:t>نصر بن قابوس اللخمي</w:t>
      </w:r>
      <w:bookmarkEnd w:id="769"/>
    </w:p>
    <w:p>
      <w:pPr>
        <w:pStyle w:val="BookText"/>
        <w:rPr/>
      </w:pPr>
      <w:r>
        <w:rPr>
          <w:rFonts w:ascii="Amiri" w:hAnsi="Amiri" w:eastAsia="Amiri" w:cs="Amiri"/>
          <w:color w:val="111111"/>
          <w:sz w:val="28"/>
          <w:sz w:val="28"/>
          <w:szCs w:val="28"/>
          <w:rtl w:val="true"/>
          <w:lang w:bidi="ar-SA"/>
        </w:rPr>
        <w:t>ذكره الشيخ الطوسي في وكلاء الإمام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وكيلاً لأبي عبداللّه عليه السلام عشرين سنة ولم يُعلَم أنّه وكيل، وكان خيّراً فاضلاً</w:t>
      </w:r>
      <w:r>
        <w:rPr>
          <w:rFonts w:eastAsia="Amiri" w:cs="Amiri" w:ascii="Amiri" w:hAnsi="Amiri"/>
          <w:color w:val="111111"/>
          <w:sz w:val="28"/>
          <w:szCs w:val="28"/>
          <w:rtl w:val="true"/>
          <w:lang w:bidi="ar-SA"/>
        </w:rPr>
        <w:t>.</w:t>
      </w:r>
      <w:r>
        <w:rPr>
          <w:rStyle w:val="FootnoteAnchor"/>
          <w:rtl w:val="true"/>
        </w:rPr>
        <w:footnoteReference w:id="810"/>
      </w:r>
    </w:p>
    <w:p>
      <w:pPr>
        <w:pStyle w:val="Heading5"/>
        <w:numPr>
          <w:ilvl w:val="4"/>
          <w:numId w:val="1"/>
        </w:numPr>
        <w:rPr/>
      </w:pPr>
      <w:bookmarkStart w:id="770" w:name="__RefHeading___Toc7190037_73709187"/>
      <w:bookmarkStart w:id="771" w:name="_Toc292"/>
      <w:bookmarkEnd w:id="770"/>
      <w:r>
        <w:rPr/>
        <w:t>4</w:t>
      </w:r>
      <w:r>
        <w:rPr>
          <w:rtl w:val="true"/>
        </w:rPr>
        <w:t xml:space="preserve">. </w:t>
      </w:r>
      <w:r>
        <w:rPr>
          <w:rtl w:val="true"/>
        </w:rPr>
        <w:t>عبدالرحمن بن الحجّاج</w:t>
      </w:r>
      <w:bookmarkEnd w:id="771"/>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الفقهاء في عصر الإمام الصادق عليه السلام أخذ عنه الفقه، وكان وكيلاً له ومات في عصر الإمام الرضا عليه السلام على ولايته</w:t>
      </w:r>
      <w:r>
        <w:rPr>
          <w:rFonts w:eastAsia="Amiri" w:cs="Amiri" w:ascii="Amiri" w:hAnsi="Amiri"/>
          <w:color w:val="111111"/>
          <w:sz w:val="28"/>
          <w:szCs w:val="28"/>
          <w:rtl w:val="true"/>
          <w:lang w:bidi="ar-SA"/>
        </w:rPr>
        <w:t>.</w:t>
      </w:r>
      <w:r>
        <w:rPr>
          <w:rStyle w:val="FootnoteAnchor"/>
          <w:rtl w:val="true"/>
        </w:rPr>
        <w:footnoteReference w:id="811"/>
      </w:r>
    </w:p>
    <w:p>
      <w:pPr>
        <w:pStyle w:val="Heading5"/>
        <w:numPr>
          <w:ilvl w:val="4"/>
          <w:numId w:val="1"/>
        </w:numPr>
        <w:rPr/>
      </w:pPr>
      <w:bookmarkStart w:id="772" w:name="__RefHeading___Toc7190039_73709187"/>
      <w:bookmarkStart w:id="773" w:name="_Toc293"/>
      <w:bookmarkEnd w:id="772"/>
      <w:r>
        <w:rPr/>
        <w:t>5</w:t>
      </w:r>
      <w:r>
        <w:rPr>
          <w:rtl w:val="true"/>
        </w:rPr>
        <w:t xml:space="preserve">. </w:t>
      </w:r>
      <w:r>
        <w:rPr>
          <w:rtl w:val="true"/>
        </w:rPr>
        <w:t>المُفضَّل بن عمر الجُعفي</w:t>
      </w:r>
      <w:bookmarkEnd w:id="77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المفضل بن عمر من أصحاب الإمام الصادق عليه السلام وقد أملى عليه الإمام رسالة التوحيد في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عن هشام بن الأحمر قال</w:t>
      </w:r>
      <w:r>
        <w:rPr>
          <w:rFonts w:eastAsia="Amiri" w:cs="Amiri" w:ascii="Amiri" w:hAnsi="Amiri"/>
          <w:color w:val="111111"/>
          <w:sz w:val="28"/>
          <w:szCs w:val="28"/>
          <w:rtl w:val="true"/>
          <w:lang w:bidi="ar-SA"/>
        </w:rPr>
        <w:t>:</w:t>
      </w:r>
      <w:bookmarkStart w:id="774" w:name="pg16780_177366"/>
    </w:p>
    <w:p>
      <w:pPr>
        <w:pStyle w:val="BookText"/>
        <w:rPr/>
      </w:pPr>
      <w:bookmarkEnd w:id="774"/>
      <w:r>
        <w:rPr>
          <w:rFonts w:ascii="Amiri" w:hAnsi="Amiri" w:eastAsia="Amiri" w:cs="Amiri"/>
          <w:color w:val="111111"/>
          <w:sz w:val="28"/>
          <w:sz w:val="28"/>
          <w:szCs w:val="28"/>
          <w:rtl w:val="true"/>
          <w:lang w:bidi="ar-SA"/>
        </w:rPr>
        <w:t>حملت إلى أبي إبراهيم عليه السلام إلى المدينة أموالاً،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فادفعها إلى المفضّل بن عمر، فرددتها إلى الجعفي فحططتها على باب المفضل</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وروى أيضاً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أبي الحسن عليه السلام فلم أكن أرى شيئاً يصل إليه إلّامن ناحية المفضّل، ولربّما رأيت الرجل يجيء بالشيء فلا يقبله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 إلى المفضل</w:t>
      </w:r>
      <w:r>
        <w:rPr>
          <w:rFonts w:eastAsia="Amiri" w:cs="Amiri" w:ascii="Amiri" w:hAnsi="Amiri"/>
          <w:color w:val="111111"/>
          <w:sz w:val="28"/>
          <w:szCs w:val="28"/>
          <w:rtl w:val="true"/>
          <w:lang w:bidi="ar-SA"/>
        </w:rPr>
        <w:t>.</w:t>
      </w:r>
      <w:r>
        <w:rPr>
          <w:rStyle w:val="FootnoteAnchor"/>
          <w:rtl w:val="true"/>
        </w:rPr>
        <w:footnoteReference w:id="813"/>
      </w:r>
    </w:p>
    <w:p>
      <w:pPr>
        <w:pStyle w:val="Heading5"/>
        <w:numPr>
          <w:ilvl w:val="4"/>
          <w:numId w:val="1"/>
        </w:numPr>
        <w:rPr/>
      </w:pPr>
      <w:bookmarkStart w:id="775" w:name="__RefHeading___Toc7190041_73709187"/>
      <w:bookmarkStart w:id="776" w:name="_Toc294"/>
      <w:bookmarkEnd w:id="775"/>
      <w:r>
        <w:rPr/>
        <w:t>6</w:t>
      </w:r>
      <w:r>
        <w:rPr>
          <w:rtl w:val="true"/>
        </w:rPr>
        <w:t xml:space="preserve">. </w:t>
      </w:r>
      <w:r>
        <w:rPr>
          <w:rtl w:val="true"/>
        </w:rPr>
        <w:t>عبداللّه بن جندب البجلي</w:t>
      </w:r>
      <w:bookmarkEnd w:id="776"/>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جندب البجلي، وكان وكيلاً لأبي إبراهيم وأبي الحسن الرضا عليهما السلام وكان عابداً رفيع المنزلة لديهما على ما روي في الأخبار</w:t>
      </w:r>
      <w:r>
        <w:rPr>
          <w:rFonts w:eastAsia="Amiri" w:cs="Amiri" w:ascii="Amiri" w:hAnsi="Amiri"/>
          <w:color w:val="111111"/>
          <w:sz w:val="28"/>
          <w:szCs w:val="28"/>
          <w:rtl w:val="true"/>
          <w:lang w:bidi="ar-SA"/>
        </w:rPr>
        <w:t>.</w:t>
      </w:r>
      <w:r>
        <w:rPr>
          <w:rStyle w:val="FootnoteAnchor"/>
          <w:rtl w:val="true"/>
        </w:rPr>
        <w:footnoteReference w:id="814"/>
      </w:r>
    </w:p>
    <w:p>
      <w:pPr>
        <w:pStyle w:val="Heading5"/>
        <w:numPr>
          <w:ilvl w:val="4"/>
          <w:numId w:val="1"/>
        </w:numPr>
        <w:rPr/>
      </w:pPr>
      <w:bookmarkStart w:id="777" w:name="__RefHeading___Toc7190043_73709187"/>
      <w:bookmarkStart w:id="778" w:name="_Toc295"/>
      <w:bookmarkEnd w:id="777"/>
      <w:r>
        <w:rPr/>
        <w:t>7</w:t>
      </w:r>
      <w:r>
        <w:rPr>
          <w:rtl w:val="true"/>
        </w:rPr>
        <w:t xml:space="preserve">. </w:t>
      </w:r>
      <w:r>
        <w:rPr>
          <w:rtl w:val="true"/>
        </w:rPr>
        <w:t>محمد بن سنان</w:t>
      </w:r>
      <w:bookmarkEnd w:id="778"/>
    </w:p>
    <w:p>
      <w:pPr>
        <w:pStyle w:val="BookText"/>
        <w:rPr/>
      </w:pPr>
      <w:r>
        <w:rPr>
          <w:rFonts w:ascii="Amiri" w:hAnsi="Amiri" w:eastAsia="Amiri" w:cs="Amiri"/>
          <w:color w:val="111111"/>
          <w:sz w:val="28"/>
          <w:sz w:val="28"/>
          <w:szCs w:val="28"/>
          <w:rtl w:val="true"/>
          <w:lang w:bidi="ar-SA"/>
        </w:rPr>
        <w:t>ذكره الشيخ الطوسي ضمن وكلاء الأئمة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الحسين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عليه السلام يذكر محمد بن سنان بخير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 برضائي عنه فما خالفني وما خالف أبي قط</w:t>
      </w:r>
      <w:r>
        <w:rPr>
          <w:rFonts w:eastAsia="Amiri" w:cs="Amiri" w:ascii="Amiri" w:hAnsi="Amiri"/>
          <w:color w:val="111111"/>
          <w:sz w:val="28"/>
          <w:szCs w:val="28"/>
          <w:rtl w:val="true"/>
          <w:lang w:bidi="ar-SA"/>
        </w:rPr>
        <w:t>».</w:t>
      </w:r>
      <w:r>
        <w:rPr>
          <w:rStyle w:val="FootnoteAnchor"/>
          <w:rtl w:val="true"/>
        </w:rPr>
        <w:footnoteReference w:id="815"/>
      </w:r>
    </w:p>
    <w:p>
      <w:pPr>
        <w:pStyle w:val="Heading5"/>
        <w:numPr>
          <w:ilvl w:val="4"/>
          <w:numId w:val="1"/>
        </w:numPr>
        <w:rPr/>
      </w:pPr>
      <w:bookmarkStart w:id="779" w:name="__RefHeading___Toc7190045_73709187"/>
      <w:bookmarkStart w:id="780" w:name="_Toc296"/>
      <w:bookmarkEnd w:id="779"/>
      <w:r>
        <w:rPr/>
        <w:t>8</w:t>
      </w:r>
      <w:r>
        <w:rPr>
          <w:rtl w:val="true"/>
        </w:rPr>
        <w:t xml:space="preserve">. </w:t>
      </w:r>
      <w:r>
        <w:rPr>
          <w:rtl w:val="true"/>
        </w:rPr>
        <w:t>علي بن مهزيار</w:t>
      </w:r>
      <w:bookmarkEnd w:id="780"/>
    </w:p>
    <w:p>
      <w:pPr>
        <w:pStyle w:val="BookText"/>
        <w:rPr/>
      </w:pPr>
      <w:r>
        <w:rPr>
          <w:rFonts w:ascii="Amiri" w:hAnsi="Amiri" w:eastAsia="Amiri" w:cs="Amiri"/>
          <w:color w:val="111111"/>
          <w:sz w:val="28"/>
          <w:sz w:val="28"/>
          <w:szCs w:val="28"/>
          <w:rtl w:val="true"/>
          <w:lang w:bidi="ar-SA"/>
        </w:rPr>
        <w:t>كان علي بن مهزيار من وكلاء الإمام الجواد عليه السلام ويدل على مكانته ومنزلته ما مرّ من الروايات حيث كاتب الإمام وكاتبه هو</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الطوسي ضمن وكلاء الإمام أبي جعفر الثاني</w:t>
      </w:r>
      <w:r>
        <w:rPr>
          <w:rFonts w:eastAsia="Amiri" w:cs="Amiri" w:ascii="Amiri" w:hAnsi="Amiri"/>
          <w:color w:val="111111"/>
          <w:sz w:val="28"/>
          <w:szCs w:val="28"/>
          <w:rtl w:val="true"/>
          <w:lang w:bidi="ar-SA"/>
        </w:rPr>
        <w:t>.</w:t>
      </w:r>
      <w:r>
        <w:rPr>
          <w:rStyle w:val="FootnoteAnchor"/>
          <w:rtl w:val="true"/>
        </w:rPr>
        <w:footnoteReference w:id="816"/>
      </w:r>
      <w:bookmarkStart w:id="781" w:name="pg16780_177368"/>
    </w:p>
    <w:p>
      <w:pPr>
        <w:pStyle w:val="Heading5"/>
        <w:numPr>
          <w:ilvl w:val="4"/>
          <w:numId w:val="1"/>
        </w:numPr>
        <w:rPr/>
      </w:pPr>
      <w:bookmarkStart w:id="782" w:name="__RefHeading___Toc7190047_73709187"/>
      <w:bookmarkStart w:id="783" w:name="_Toc297"/>
      <w:bookmarkEnd w:id="781"/>
      <w:bookmarkEnd w:id="782"/>
      <w:r>
        <w:rPr/>
        <w:t>9</w:t>
      </w:r>
      <w:r>
        <w:rPr>
          <w:rtl w:val="true"/>
        </w:rPr>
        <w:t xml:space="preserve">. </w:t>
      </w:r>
      <w:r>
        <w:rPr>
          <w:rtl w:val="true"/>
        </w:rPr>
        <w:t>أيوب بن نوح بن درّاج</w:t>
      </w:r>
      <w:bookmarkEnd w:id="783"/>
    </w:p>
    <w:p>
      <w:pPr>
        <w:pStyle w:val="BookText"/>
        <w:rPr/>
      </w:pPr>
      <w:r>
        <w:rPr>
          <w:rFonts w:ascii="Amiri" w:hAnsi="Amiri" w:eastAsia="Amiri" w:cs="Amiri"/>
          <w:color w:val="111111"/>
          <w:sz w:val="28"/>
          <w:sz w:val="28"/>
          <w:szCs w:val="28"/>
          <w:rtl w:val="true"/>
          <w:lang w:bidi="ar-SA"/>
        </w:rPr>
        <w:t>روى الشيخ في غَيبته عن عمرو بن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العسكري عليه السلام بصريا</w:t>
      </w:r>
      <w:r>
        <w:rPr>
          <w:rStyle w:val="FootnoteAnchor"/>
          <w:rtl w:val="true"/>
        </w:rPr>
        <w:footnoteReference w:id="817"/>
      </w:r>
      <w:r>
        <w:rPr>
          <w:rFonts w:ascii="Amiri" w:hAnsi="Amiri" w:eastAsia="Amiri" w:cs="Amiri"/>
          <w:color w:val="111111"/>
          <w:sz w:val="28"/>
          <w:sz w:val="28"/>
          <w:szCs w:val="28"/>
          <w:rtl w:val="true"/>
          <w:lang w:bidi="ar-SA"/>
        </w:rPr>
        <w:t>إذ دخل عليه أيوب بن نوح ووقف قُدّامه، فأمره بشيء ثم انصرف</w:t>
      </w:r>
      <w:r>
        <w:rPr>
          <w:rFonts w:eastAsia="Amiri" w:cs="Amiri" w:ascii="Amiri" w:hAnsi="Amiri"/>
          <w:color w:val="111111"/>
          <w:sz w:val="28"/>
          <w:szCs w:val="28"/>
          <w:rtl w:val="true"/>
          <w:lang w:bidi="ar-SA"/>
        </w:rPr>
        <w:t>.</w:t>
      </w:r>
      <w:r>
        <w:rPr>
          <w:rStyle w:val="FootnoteAnchor"/>
          <w:rtl w:val="true"/>
        </w:rPr>
        <w:footnoteReference w:id="818"/>
      </w:r>
    </w:p>
    <w:p>
      <w:pPr>
        <w:pStyle w:val="Heading5"/>
        <w:numPr>
          <w:ilvl w:val="4"/>
          <w:numId w:val="1"/>
        </w:numPr>
        <w:rPr/>
      </w:pPr>
      <w:bookmarkStart w:id="784" w:name="__RefHeading___Toc7190049_73709187"/>
      <w:bookmarkStart w:id="785" w:name="_Toc298"/>
      <w:bookmarkEnd w:id="784"/>
      <w:r>
        <w:rPr/>
        <w:t>10</w:t>
      </w:r>
      <w:r>
        <w:rPr>
          <w:rtl w:val="true"/>
        </w:rPr>
        <w:t xml:space="preserve">. </w:t>
      </w:r>
      <w:r>
        <w:rPr>
          <w:rtl w:val="true"/>
        </w:rPr>
        <w:t>علي بن جعفر الهمّاني</w:t>
      </w:r>
      <w:bookmarkEnd w:id="785"/>
    </w:p>
    <w:p>
      <w:pPr>
        <w:pStyle w:val="BookText"/>
        <w:rPr/>
      </w:pPr>
      <w:r>
        <w:rPr>
          <w:rFonts w:ascii="Amiri" w:hAnsi="Amiri" w:eastAsia="Amiri" w:cs="Amiri"/>
          <w:color w:val="111111"/>
          <w:sz w:val="28"/>
          <w:sz w:val="28"/>
          <w:szCs w:val="28"/>
          <w:rtl w:val="true"/>
          <w:lang w:bidi="ar-SA"/>
        </w:rPr>
        <w:t>قال الشيخ الطوسي في الفصل الّذي عقده لبيان وكلاء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مرضياً من وكلاء أبي الحسن وأبي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أنّه حج أبو طاهر من بلال فنظر إلى علي بن جعفر وهو ينفق النفقات العظيمة، فلما انصرف كتب بذلك إلى أبي محمد عليه السلام فوقّع في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كنا أمرنا بمائة ألف دينار، ثمّ أمرنا له بمثلها فأبى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علينا، ما للناس والدخول في أمرنا فيما لم ندخلهم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على أبي الحسن العسكري عليه السلام فأمر له بثلاثين ألف دينار</w:t>
      </w:r>
      <w:r>
        <w:rPr>
          <w:rFonts w:eastAsia="Amiri" w:cs="Amiri" w:ascii="Amiri" w:hAnsi="Amiri"/>
          <w:color w:val="111111"/>
          <w:sz w:val="28"/>
          <w:szCs w:val="28"/>
          <w:rtl w:val="true"/>
          <w:lang w:bidi="ar-SA"/>
        </w:rPr>
        <w:t>.</w:t>
      </w:r>
      <w:r>
        <w:rPr>
          <w:rStyle w:val="FootnoteAnchor"/>
          <w:rtl w:val="true"/>
        </w:rPr>
        <w:footnoteReference w:id="819"/>
      </w:r>
    </w:p>
    <w:p>
      <w:pPr>
        <w:pStyle w:val="Heading5"/>
        <w:numPr>
          <w:ilvl w:val="4"/>
          <w:numId w:val="1"/>
        </w:numPr>
        <w:rPr/>
      </w:pPr>
      <w:bookmarkStart w:id="786" w:name="__RefHeading___Toc7190051_73709187"/>
      <w:bookmarkStart w:id="787" w:name="_Toc299"/>
      <w:bookmarkEnd w:id="786"/>
      <w:r>
        <w:rPr/>
        <w:t>11</w:t>
      </w:r>
      <w:r>
        <w:rPr>
          <w:rtl w:val="true"/>
        </w:rPr>
        <w:t xml:space="preserve">. </w:t>
      </w:r>
      <w:r>
        <w:rPr>
          <w:rtl w:val="true"/>
        </w:rPr>
        <w:t>أبو علي الحسن بن راشد</w:t>
      </w:r>
      <w:bookmarkEnd w:id="787"/>
    </w:p>
    <w:p>
      <w:pPr>
        <w:pStyle w:val="BookText"/>
        <w:rPr/>
      </w:pPr>
      <w:r>
        <w:rPr>
          <w:rFonts w:ascii="Amiri" w:hAnsi="Amiri" w:eastAsia="Amiri" w:cs="Amiri"/>
          <w:color w:val="111111"/>
          <w:sz w:val="28"/>
          <w:sz w:val="28"/>
          <w:szCs w:val="28"/>
          <w:rtl w:val="true"/>
          <w:lang w:bidi="ar-SA"/>
        </w:rPr>
        <w:t>ذكره الشيخ الطوسي ضمن وكلاء الأئمة، وروى عن محمد بن عيسى أن الإمام العسكري عليه السلام كتب إلى الموالي ببغداد والمدائن والسواد وما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أقمت أبا علي بن راشد مقام علي بن الحسين بن عبد ربه ومَن قبله من وكلائي، وقد أوجبت في طاعته طاعتي، وفي عصيانه الخروج إلى عصياني</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عليّ بن راشد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bookmarkStart w:id="788" w:name="pg16780_177370"/>
    </w:p>
    <w:p>
      <w:pPr>
        <w:pStyle w:val="BookText"/>
        <w:rPr/>
      </w:pPr>
      <w:bookmarkEnd w:id="788"/>
      <w:r>
        <w:rPr>
          <w:rFonts w:ascii="Amiri" w:hAnsi="Amiri" w:eastAsia="Amiri" w:cs="Amiri"/>
          <w:color w:val="111111"/>
          <w:sz w:val="28"/>
          <w:sz w:val="28"/>
          <w:szCs w:val="28"/>
          <w:rtl w:val="true"/>
          <w:lang w:bidi="ar-SA"/>
        </w:rPr>
        <w:t>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لأبي عليه السلام بسبب الإمامة فهو لي، وماكان غير ذلك فهو 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821"/>
      </w:r>
    </w:p>
    <w:p>
      <w:pPr>
        <w:pStyle w:val="Heading5"/>
        <w:numPr>
          <w:ilvl w:val="4"/>
          <w:numId w:val="1"/>
        </w:numPr>
        <w:rPr/>
      </w:pPr>
      <w:bookmarkStart w:id="789" w:name="__RefHeading___Toc7190053_73709187"/>
      <w:bookmarkStart w:id="790" w:name="_Toc300"/>
      <w:bookmarkEnd w:id="789"/>
      <w:r>
        <w:rPr/>
        <w:t>12</w:t>
      </w:r>
      <w:r>
        <w:rPr>
          <w:rtl w:val="true"/>
        </w:rPr>
        <w:t xml:space="preserve">. </w:t>
      </w:r>
      <w:r>
        <w:rPr>
          <w:rtl w:val="true"/>
        </w:rPr>
        <w:t>صالح بن محمد بن سهل الهمداني</w:t>
      </w:r>
      <w:bookmarkEnd w:id="790"/>
    </w:p>
    <w:p>
      <w:pPr>
        <w:pStyle w:val="BookText"/>
        <w:rPr/>
      </w:pPr>
      <w:r>
        <w:rPr>
          <w:rFonts w:ascii="Amiri" w:hAnsi="Amiri" w:eastAsia="Amiri" w:cs="Amiri"/>
          <w:color w:val="111111"/>
          <w:sz w:val="28"/>
          <w:sz w:val="28"/>
          <w:szCs w:val="28"/>
          <w:rtl w:val="true"/>
          <w:lang w:bidi="ar-SA"/>
        </w:rPr>
        <w:t>روى الشيخ الطوسي عن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 دخل عليه صالح بن محمد ابن سهل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اجعلني من عشرة آلاف درهم في حلّ فإنّي أنفقتها،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r>
        <w:rPr>
          <w:rStyle w:val="FootnoteAnchor"/>
          <w:rtl w:val="true"/>
        </w:rPr>
        <w:footnoteReference w:id="822"/>
      </w:r>
    </w:p>
    <w:p>
      <w:pPr>
        <w:pStyle w:val="Heading5"/>
        <w:numPr>
          <w:ilvl w:val="4"/>
          <w:numId w:val="1"/>
        </w:numPr>
        <w:rPr/>
      </w:pPr>
      <w:bookmarkStart w:id="791" w:name="__RefHeading___Toc7190055_73709187"/>
      <w:bookmarkStart w:id="792" w:name="_Toc301"/>
      <w:bookmarkEnd w:id="791"/>
      <w:r>
        <w:rPr/>
        <w:t>13</w:t>
      </w:r>
      <w:r>
        <w:rPr>
          <w:rtl w:val="true"/>
        </w:rPr>
        <w:t xml:space="preserve">. </w:t>
      </w:r>
      <w:r>
        <w:rPr>
          <w:rtl w:val="true"/>
        </w:rPr>
        <w:t>علي بن أبي حمزة البطائني</w:t>
      </w:r>
      <w:bookmarkEnd w:id="792"/>
    </w:p>
    <w:p>
      <w:pPr>
        <w:pStyle w:val="Heading5"/>
        <w:numPr>
          <w:ilvl w:val="4"/>
          <w:numId w:val="1"/>
        </w:numPr>
        <w:rPr/>
      </w:pPr>
      <w:bookmarkStart w:id="793" w:name="__RefHeading___Toc7190057_73709187"/>
      <w:bookmarkStart w:id="794" w:name="_Toc302"/>
      <w:bookmarkEnd w:id="793"/>
      <w:r>
        <w:rPr/>
        <w:t>14</w:t>
      </w:r>
      <w:r>
        <w:rPr>
          <w:rtl w:val="true"/>
        </w:rPr>
        <w:t xml:space="preserve">. </w:t>
      </w:r>
      <w:r>
        <w:rPr>
          <w:rtl w:val="true"/>
        </w:rPr>
        <w:t>زياد بن مروان القندي</w:t>
      </w:r>
      <w:bookmarkEnd w:id="794"/>
    </w:p>
    <w:p>
      <w:pPr>
        <w:pStyle w:val="Heading5"/>
        <w:numPr>
          <w:ilvl w:val="4"/>
          <w:numId w:val="1"/>
        </w:numPr>
        <w:rPr/>
      </w:pPr>
      <w:bookmarkStart w:id="795" w:name="__RefHeading___Toc7190059_73709187"/>
      <w:bookmarkStart w:id="796" w:name="_Toc303"/>
      <w:bookmarkEnd w:id="795"/>
      <w:r>
        <w:rPr/>
        <w:t>15</w:t>
      </w:r>
      <w:r>
        <w:rPr>
          <w:rtl w:val="true"/>
        </w:rPr>
        <w:t xml:space="preserve">. </w:t>
      </w:r>
      <w:r>
        <w:rPr>
          <w:rtl w:val="true"/>
        </w:rPr>
        <w:t>عثمان بن عيسى الرواسي</w:t>
      </w:r>
      <w:bookmarkEnd w:id="796"/>
    </w:p>
    <w:p>
      <w:pPr>
        <w:pStyle w:val="BookText"/>
        <w:rPr/>
      </w:pPr>
      <w:r>
        <w:rPr>
          <w:rFonts w:ascii="Amiri" w:hAnsi="Amiri" w:eastAsia="Amiri" w:cs="Amiri"/>
          <w:color w:val="111111"/>
          <w:sz w:val="28"/>
          <w:sz w:val="28"/>
          <w:szCs w:val="28"/>
          <w:rtl w:val="true"/>
          <w:lang w:bidi="ar-SA"/>
        </w:rPr>
        <w:t>نقل الشيخ الطوسي عن محمد بن إسماعيل وعلي بن محمد الحسنيين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كانوا وكلاء لأبي الحسن موسى عليه السلام وكان عندهم أموال جزيلة، فلما مضى أبوالحسن موسى عليه السلام وقفوا طمعاً في الأموال، ودفعوا إمامة الرضا عليه السلام وجحدوه</w:t>
      </w:r>
      <w:r>
        <w:rPr>
          <w:rFonts w:eastAsia="Amiri" w:cs="Amiri" w:ascii="Amiri" w:hAnsi="Amiri"/>
          <w:color w:val="111111"/>
          <w:sz w:val="28"/>
          <w:szCs w:val="28"/>
          <w:rtl w:val="true"/>
          <w:lang w:bidi="ar-SA"/>
        </w:rPr>
        <w:t>.</w:t>
      </w:r>
      <w:r>
        <w:rPr>
          <w:rStyle w:val="FootnoteAnchor"/>
          <w:rtl w:val="true"/>
        </w:rPr>
        <w:footnoteReference w:id="823"/>
      </w:r>
    </w:p>
    <w:p>
      <w:pPr>
        <w:pStyle w:val="Heading5"/>
        <w:numPr>
          <w:ilvl w:val="4"/>
          <w:numId w:val="1"/>
        </w:numPr>
        <w:rPr/>
      </w:pPr>
      <w:bookmarkStart w:id="797" w:name="__RefHeading___Toc7190061_73709187"/>
      <w:bookmarkStart w:id="798" w:name="_Toc304"/>
      <w:bookmarkEnd w:id="797"/>
      <w:r>
        <w:rPr/>
        <w:t>16</w:t>
      </w:r>
      <w:r>
        <w:rPr>
          <w:rtl w:val="true"/>
        </w:rPr>
        <w:t xml:space="preserve">. </w:t>
      </w:r>
      <w:r>
        <w:rPr>
          <w:rtl w:val="true"/>
        </w:rPr>
        <w:t>عثمان بن سعيد العمري</w:t>
      </w:r>
      <w:bookmarkEnd w:id="79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بسنده عن محمد بن إسماعيل وعلي بن عبداللّه الحسنيين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محمد الحسن عليه السلام بسر من رأى وبين يديه</w:t>
      </w:r>
      <w:bookmarkStart w:id="799" w:name="pg16780_177372"/>
    </w:p>
    <w:p>
      <w:pPr>
        <w:pStyle w:val="BookText"/>
        <w:rPr/>
      </w:pPr>
      <w:bookmarkEnd w:id="799"/>
      <w:r>
        <w:rPr>
          <w:rFonts w:ascii="Amiri" w:hAnsi="Amiri" w:eastAsia="Amiri" w:cs="Amiri"/>
          <w:color w:val="111111"/>
          <w:sz w:val="28"/>
          <w:sz w:val="28"/>
          <w:szCs w:val="28"/>
          <w:rtl w:val="true"/>
          <w:lang w:bidi="ar-SA"/>
        </w:rPr>
        <w:t>جماعة من أوليائه وشيعته حتّى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نفر من شيعتنا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يسوقانه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أن قال الحسن عليه السلام 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فائتنا بعثمان بن سعيد العمريّ فما لبثنا إلّايسيراً حتّى دخل عثمان، فقال له سيّدنا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يا عثمان، فإنك الوكيل والثقة المأمون على مال اللّه، واقبض من هؤلاء النفر اليمنيين ما حملوه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ياسيّدنا، واللّه إنّ عثمان لمن خيار شيعتك، ولقد زدتنا علماً بموضعه من خدمتك، وإنّه وكيلك وثقتك على مال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واشهدوا أن عثمان بن سعيد العمري وكيلي، وأن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824"/>
      </w:r>
    </w:p>
    <w:p>
      <w:pPr>
        <w:pStyle w:val="Heading5"/>
        <w:numPr>
          <w:ilvl w:val="4"/>
          <w:numId w:val="1"/>
        </w:numPr>
        <w:rPr/>
      </w:pPr>
      <w:bookmarkStart w:id="800" w:name="__RefHeading___Toc7190063_73709187"/>
      <w:bookmarkStart w:id="801" w:name="_Toc305"/>
      <w:bookmarkEnd w:id="800"/>
      <w:r>
        <w:rPr/>
        <w:t>17</w:t>
      </w:r>
      <w:r>
        <w:rPr>
          <w:rtl w:val="true"/>
        </w:rPr>
        <w:t xml:space="preserve">. </w:t>
      </w:r>
      <w:r>
        <w:rPr>
          <w:rtl w:val="true"/>
        </w:rPr>
        <w:t>أبو جعفر محمد بن عثمان بن سعيد العمري</w:t>
      </w:r>
      <w:bookmarkEnd w:id="801"/>
    </w:p>
    <w:p>
      <w:pPr>
        <w:pStyle w:val="BookText"/>
        <w:rPr/>
      </w:pPr>
      <w:r>
        <w:rPr>
          <w:rFonts w:ascii="Amiri" w:hAnsi="Amiri" w:eastAsia="Amiri" w:cs="Amiri"/>
          <w:color w:val="111111"/>
          <w:sz w:val="28"/>
          <w:sz w:val="28"/>
          <w:szCs w:val="28"/>
          <w:rtl w:val="true"/>
          <w:lang w:bidi="ar-SA"/>
        </w:rPr>
        <w:t>روى الشيخ الطوسي عن أبي نصر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جعفر محمد بن عثمان العمري رحمه الله مات في آخر جمادي الأُولى سنة خمس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يتولى هذا الأمر نحواً من خمسين سنة، يحمل الناس إليه أموالهم ويُخرج لهم التوقيعات بالخط الّذي كان يخرج في حياة الحسن عليه السلام إليهم بالمهمات في أمر الدين والدنيا</w:t>
      </w:r>
      <w:r>
        <w:rPr>
          <w:rFonts w:eastAsia="Amiri" w:cs="Amiri" w:ascii="Amiri" w:hAnsi="Amiri"/>
          <w:color w:val="111111"/>
          <w:sz w:val="28"/>
          <w:szCs w:val="28"/>
          <w:rtl w:val="true"/>
          <w:lang w:bidi="ar-SA"/>
        </w:rPr>
        <w:t>.</w:t>
      </w:r>
      <w:r>
        <w:rPr>
          <w:rStyle w:val="FootnoteAnchor"/>
          <w:rtl w:val="true"/>
        </w:rPr>
        <w:footnoteReference w:id="825"/>
      </w:r>
    </w:p>
    <w:p>
      <w:pPr>
        <w:pStyle w:val="Heading5"/>
        <w:numPr>
          <w:ilvl w:val="4"/>
          <w:numId w:val="1"/>
        </w:numPr>
        <w:rPr/>
      </w:pPr>
      <w:bookmarkStart w:id="802" w:name="__RefHeading___Toc7190065_73709187"/>
      <w:bookmarkStart w:id="803" w:name="_Toc306"/>
      <w:bookmarkEnd w:id="802"/>
      <w:r>
        <w:rPr/>
        <w:t>18</w:t>
      </w:r>
      <w:r>
        <w:rPr>
          <w:rtl w:val="true"/>
        </w:rPr>
        <w:t xml:space="preserve">. </w:t>
      </w:r>
      <w:r>
        <w:rPr>
          <w:rtl w:val="true"/>
        </w:rPr>
        <w:t>الحسين بن روح النوبختي</w:t>
      </w:r>
      <w:bookmarkEnd w:id="80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بسنده عن أبي عبداللّه جعفر بن محمد المدائني المعروف بابن قزدا،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رسمي إذا حملت المال الّذي في يدي إلى</w:t>
      </w:r>
    </w:p>
    <w:p>
      <w:pPr>
        <w:pStyle w:val="BookText"/>
        <w:rPr/>
      </w:pPr>
      <w:r>
        <w:rPr>
          <w:rFonts w:ascii="Amiri" w:hAnsi="Amiri" w:eastAsia="Amiri" w:cs="Amiri"/>
          <w:color w:val="111111"/>
          <w:sz w:val="28"/>
          <w:sz w:val="28"/>
          <w:szCs w:val="28"/>
          <w:rtl w:val="true"/>
          <w:lang w:bidi="ar-SA"/>
        </w:rPr>
        <w:t>الشيخ أبي جعفر محمد بن عثمان العمري قدس سره أن أقول له ما لم يكن أحد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ومبلغه كذا وكذا للإمام عليه السلام،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دعه فأراجعه،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للإمام‌؟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للإمام عليه السلام فيقبضه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إليه آخر عهدي به قدس سره ومعي أربعمائة دينار، فقلت له على رسمي،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الحسين بن روح، 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 فردّ علي كالمنكر لقولي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أبي القاسم بن روح وهو في دار ضيّقة فعرّفته ما جرى فسرّ به وشكر اللّه عزوجل ودفعت إليه الدنانير، وما زلت أحمل إليه ما يحصل في يدي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الدنانير</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كانوا وكلاء أئمة أهل البيت عليهم السلام وقد حفظ التاريخ أسماء وأحوال قليل منهم، فإن طبيعة الحال تقتضي أن يكون جهاز الوكالة أوسع من ذلك، وقد عرفت وجوده من عصر الإمام الحسن المجتبى إلى نهاية الغيبة الصغرى، فهل يجتمع ذلك مع تحليل الفريضة المالية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عامة الظروف والاحوال‌؟</w:t>
      </w:r>
      <w:bookmarkStart w:id="804" w:name="pg16780_177376"/>
    </w:p>
    <w:p>
      <w:pPr>
        <w:pStyle w:val="Heading4"/>
        <w:numPr>
          <w:ilvl w:val="3"/>
          <w:numId w:val="1"/>
        </w:numPr>
        <w:rPr/>
      </w:pPr>
      <w:bookmarkStart w:id="805" w:name="__RefHeading___Toc7190067_73709187"/>
      <w:bookmarkStart w:id="806" w:name="_Toc307"/>
      <w:bookmarkEnd w:id="804"/>
      <w:bookmarkEnd w:id="805"/>
      <w:r>
        <w:rPr>
          <w:rtl w:val="true"/>
        </w:rPr>
        <w:t>الفصل الرابع فريضة الخمس وتولّي الفقيه</w:t>
      </w:r>
      <w:bookmarkEnd w:id="806"/>
    </w:p>
    <w:p>
      <w:pPr>
        <w:pStyle w:val="Heading5"/>
        <w:numPr>
          <w:ilvl w:val="4"/>
          <w:numId w:val="1"/>
        </w:numPr>
        <w:rPr/>
      </w:pPr>
      <w:bookmarkStart w:id="807" w:name="__RefHeading___Toc7190069_73709187"/>
      <w:bookmarkStart w:id="808" w:name="_Toc308"/>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قد تبين من الفصل السابق وجوب الخمس في الأنواع السبعة، وأن شيعة أهل البيت عليهم السلام كانوا يدفعون تلك الفريضة إلى أئمتهم أو إلى وكلائهم عبر قرون، إنّما الكلام في وجوب دفعه إلى المرجع الديني في عصر الغيبة، وهذا هوالّذي أقلق الكاتب، وجعله محور البحث في كتيِّبه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وراء تلك الكلمة سياسة مُغرضة، ترمي إلى تضعيف المرجعية ومن ثم تضعيف الشيعة، لأن القائم بأُمور الدين والدنيا في عصر الغيبة هم الفقهاء الذين هم أُمناء الأمة وزعماء الدين، والزعامة تتوقف على إمكانات مالية تُيسِّر إنجاز مسؤولياتها حيال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هذا الأمر صار هو الهدف الأصلي للكاتب وأسياده، فهو يركّز عليه أكثر من كل شيء، ويثير الشكوك حوله، ويقول بانّه لا دليل على وجوب إعطاء الخمس للفقيه، وليس المهم عنده إخراج الخمس أو عدم اخراجه، بل ما يهمّه هو عدم وجوب إعطائه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المؤلف بعيد عن دراسة الفقه الإمامي، فلذا زعم أن المسألة تفقد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الخمس إلى ستة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للّه سبحانه، وسهم للنبي صلى الله عليه و آله و سلم، وسهم للإمام عليه السلام، فما كان للّه وللرسول فهو للإمام الحيّ‌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وثلاثة أسهم أُخرى هي للأيتام والمساكين وأبناء السبيل، من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الفقهاء في النصف الأخير أعني ما يصرف في مورد الأيتام والمساكين وابن السبيل، بعد اتفاقهم على وجوب صرف سهامهم عليهم في عصر الغيبة، فقال بعضهم بأنّه يجوز للمالك دفعها إليهم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قسماً من الفقهاء قالوا بأن الأحوط فيه أيضاً الدفع إلى المجتهد أو بإذنه، لأنّه أعرف بمواقعه والمرجِّحات التي ينبغي 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مقتضى الأدلّة تولّي نائب الإمام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النصف الثاني، وأما النصف الأوّل فالمشهور هو دفعه إلى المرجع الديني، وهذا هو الّذي أثار حفيظة الكاتب، وأصر مؤكِدّاً أنّه لا دليل على دفعه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عنده من الدليل أن الشيخ المفيد وتلميذه الشيخ الطوسي لم يذكرا ذلك، ولو كان دفعُ هذه الأسهم الثلاثة إلى الفقيه أمراً لازماً لنبّها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جعل قول الشيخين دليلاً على المدّعى ولم يعتد بفتوى الآخرين الذين جاءوا بعدهما وأقاموا صرح الفقه وأكملوه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 لأن ما استنتجه من قول العلمين موافق لرأيه وفكره، ولذلك اهتم برأيهما ولم يعتد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استنتاجه من كلام العلمين غير صحيح جدّاً، حيث مرّ على كلامهما مروراً عابراً، أو اعتمد في ذلك على نقل الآخرين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الشيخ المفيد، فقد اختار في نصيب الإمام الإيصاء إلى من يثق به إلى أن يظهر الإمام، ولم يقل بصرفه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يرى عزله لصاحب الأمر عليه السلام، فإن خشي إدراك المنيّة قبل ظهوره، وصّى به إلى من يثق به في عقله وديانته، ليسلِّمه إلى الإمام عليه السلام إن أدرك قيامه، وإلّا وصّى به إلى من يقوم مقامه في الثقة 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هذا الشرط إلى أن يظهر إمام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عندي أوضح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حفظه عليه إلى وقت إيابه، أو التمكن من إيصاله إليه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ترى أن الشيخ المفيد أفتى بالحفظ لا بالصرف، ومع هذا لا يبقى موضوع للدفع إلى الفقيه أو إلى غيره، حتّى يتخذ عدم ذكره دليلاً على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بعد هذا عدّ الشيخ المفيد ممن لا يعتبر لزوم الإعطاء للفقيه‌؟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كلامنا على القول بعدم سقوط سهم الإمام ولزوم صرفه، فعلى هذا الأصل يقع الكلام في لزوم الدفع إلى الفقيه وعدمه، وأما إذا كان القائل قد اختار لزوم الحفظ فلا يبقى موضوع للبحث والاستناد إلى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مقصود الشيخ الطوسي حيث إنّه اختار أحد الأمرين، الدفع أو الوصاية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إنساناً استعمل الاحتياط، وعمل على أحد الأقوال المتقدم ذكرها من الدفن أو الوصاة، لم يكن مأثوماً</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ترى أن الشيخ اختار مذهب أُستاذه بوجه أوسع، حيث ضمّ الدفن إلى الوصاية، ومعه لا يبقى موضوع للبحث عن وجوب دفعه إلى الفقيه، أو تولي صاحب المال تقسيمه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التمويه وإسدال الستر على الحقائق لإثبات مطلبه، حيث استدل بكلام العلَمين على ضد المشهور عند الإمامية، مع أن كلامهما خارج عن موضوع البحث</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فطاحل الشيعة وفقهاءهم الذين يرون صرف الخمس في محاله من غير فرق بين سهم السادة وسهم الإمام، يُصرّون على وجوب دفعه إلى الفقيه، خصوصاً فيما يرجع إلى سهم الإمام، وإن كان الأمر في</w:t>
      </w:r>
    </w:p>
    <w:p>
      <w:pPr>
        <w:pStyle w:val="BookText"/>
        <w:rPr/>
      </w:pPr>
      <w:r>
        <w:rPr>
          <w:rFonts w:ascii="Amiri" w:hAnsi="Amiri" w:eastAsia="Amiri" w:cs="Amiri"/>
          <w:color w:val="111111"/>
          <w:sz w:val="28"/>
          <w:sz w:val="28"/>
          <w:szCs w:val="28"/>
          <w:rtl w:val="true"/>
          <w:lang w:bidi="ar-SA"/>
        </w:rPr>
        <w:t>سهم السادة أسهل في نظر بعضهم، وها نحن نذكر بعض مَنْ وقفنا عليه فإن الاستقصاء يورث 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الزكاة والخمس إلى سلطان الإسلام المنصوب من قبله تعالى أو إلى من ينصبه لقبض ذلك من شيعته ليضعه في مواضعه فإنْ تعذّر الأمران فإلى الفقيه المأمون</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إلى الإمام ان كان حاضراً، وإلى من وجب عليه الخمس إن كان الإمام غائباً وعرف صاحبه المستحق وأحسن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دفع إلى بعض الفقهاء الديانين ليتولى القسمة كان أفضل، وإن لم يحسن القسمة وجب عليه أن يدفع إلى من يحسن القسمة من أهل العلم بالفقه</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ولعل كلامه ظاهر في مجموع السهام لا في خصوص نصيب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يتولى صرف حصة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الأصناف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إليه الحكم بحق النيابة، كما يتولّى أداء ما يجب على الغائب</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حضوره عليه السلام يجب دفع الخمس إليه، ومع الغيبة يتخيّر المكلّف بين الحفظ بالوصية إلى أن يسلّم إليه، وبين صرف النصف إلى أربابه وحفظ الباقي، وبين قسمة حقّه على الأصناف، وإنّما يتولّى قسمة حقه عليه السلام الحاكم</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يتولى صرف حصة الإمام في</w:t>
      </w:r>
    </w:p>
    <w:p>
      <w:pPr>
        <w:pStyle w:val="BookText"/>
        <w:rPr/>
      </w:pPr>
      <w:r>
        <w:rPr>
          <w:rFonts w:ascii="Amiri" w:hAnsi="Amiri" w:eastAsia="Amiri" w:cs="Amiri"/>
          <w:color w:val="111111"/>
          <w:sz w:val="28"/>
          <w:sz w:val="28"/>
          <w:szCs w:val="28"/>
          <w:rtl w:val="true"/>
          <w:lang w:bidi="ar-SA"/>
        </w:rPr>
        <w:t>الأصناف الموجودين مَن إليه الحكم بحق النيابة، كما يتولّى أداء ما يجب على الغائب</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فالمحقّق والعلّامة قائلان بوجوب صرف سهم السادة في أنفسهم، وصرف سهم الإمام في تلك الأصناف أيضاً، إلّاأن المتولّي في الصرف هو من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بالفقيه المأمون الجامع لشرائط الفتوى والحكم، فإنْ تولّى ذلك غيره كان ضامناً</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صرف نصيب الأصناف عليهم والتخيير في نصيب الإمام بين الدفن والايصاء، وصلة الأصناف مع الإعواز بإذن نائب الغيبة، وهو الفقيه العدل الإمامي الجامع لشرائط الفتوى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الشهيد وسّع الأمر في نصيب الإمام، وضمّ إلى الدفن والإيصاء، الصرف في الأصناف الثلاثة مع إعوازهم، وجعل المتولي هو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الغيبة يصرف النصف إلى مستحقه ويصرف مستحقه عليه السلام إلى الأصناف مع قصور كفايتهم ويتولّى ذلك الفقيه</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الثاني، عبدالعالي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يتولّى قسمة حقّه عليه السلام الحاكم</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إخراجه بنفسه إلى الاصناف مطلقاً، ولا لغير</w:t>
      </w:r>
    </w:p>
    <w:p>
      <w:pPr>
        <w:pStyle w:val="BookText"/>
        <w:rPr/>
      </w:pPr>
      <w:r>
        <w:rPr>
          <w:rFonts w:ascii="Amiri" w:hAnsi="Amiri" w:eastAsia="Amiri" w:cs="Amiri"/>
          <w:color w:val="111111"/>
          <w:sz w:val="28"/>
          <w:sz w:val="28"/>
          <w:szCs w:val="28"/>
          <w:rtl w:val="true"/>
          <w:lang w:bidi="ar-SA"/>
        </w:rPr>
        <w:t>الحاكم الشرعي، فإن تولاه غيره ضمن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العلماء قد صرّحوا بأنّ صاحب الخمس لو تولّى دفع حصّة الإمام عليه السلام لم تبرأ ذمّته، بل يجب عليه دفعها إلى العالم المحدث العادل، وظنيّ أنّ هذا الحكم جار في جميع الخمس</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مباشرة النائب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إذنه في تقسيم نصف الأصناف على الحق للأصل خلافاً لبعضهم فاشترط ونسبه بعض الأجلة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تشترط مباشرته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نصيب الإمام كما هو صريح جماعة، أم لا؟ والحق هو الأوّل، إذ قد عرفت أن المناط في الحكم بالتقسيم هو الإذن المعلوم بشاهد الحال، وثبوته عند من يجوّز التقسيم، إجماعيّ ولغيره غير معلوم، لاسيّما مع اشتهار عدم جواز توليّ الغير، بل الإجماع على عدم جواز تولية التصرف في المال الغائب، الّذي هذا أيضاً منه، خصوصاً مع وجود النائب العام، الّذي هو أعرف بأحكام التقسيم وأبصر بمواقعه</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محمد كاظم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الدفع إلى المجتهد أو بإذنه؛ لأنّه اعرف بمواقعه والمرجِّحات التي ينبغي ملاحظتها</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الدالة على لزوم دفع نصيب الإمام، أو كله إلى</w:t>
      </w:r>
      <w:bookmarkStart w:id="809" w:name="pg16780_177387"/>
    </w:p>
    <w:p>
      <w:pPr>
        <w:pStyle w:val="BookText"/>
        <w:rPr/>
      </w:pPr>
      <w:bookmarkEnd w:id="809"/>
      <w:r>
        <w:rPr>
          <w:rFonts w:ascii="Amiri" w:hAnsi="Amiri" w:eastAsia="Amiri" w:cs="Amiri"/>
          <w:color w:val="111111"/>
          <w:sz w:val="28"/>
          <w:sz w:val="28"/>
          <w:szCs w:val="28"/>
          <w:rtl w:val="true"/>
          <w:lang w:bidi="ar-SA"/>
        </w:rPr>
        <w:t>الحاكم، والمهم هو بيان الدليل عليه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7190071_73709187"/>
      <w:bookmarkStart w:id="811" w:name="_Toc309"/>
      <w:bookmarkEnd w:id="810"/>
      <w:r>
        <w:rPr>
          <w:rtl w:val="true"/>
        </w:rPr>
        <w:t>بيان ما يدل على تولّي الفقيه</w:t>
      </w:r>
      <w:bookmarkEnd w:id="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الخمس في عامة الأنواع ليس ملكاً شخصياً للرسول أو الإمام، وإنّما هو ملك للمنصب الّذي يتقلده الرسول صلى الله عليه و آله و سلم والإمام عليه السلام من بعده، وبعبارة أُخرى هو ملك لمقام الإمامة والزعامة، التي يتقلدها الأئمة واحداً بعد الآخر، ويدل على ذلك صحيح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نؤتى بالشيء فيقال هذا كان لأبي جعفر عليه السلام عندنا فكيف نصنع‌؟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عليه السلام بسبب الإمامة فهو لي، وما كان غير ذلك فهو 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الخمس راجعاً لمقام الإمامة، وهو أمر غير قابل للتعطيل، فإن من يقوم مقام الإمامة ويشغل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نائباً عنه في شؤون الإمامة كافة، ومنها ما يتعلق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إلّاالفقيه العارف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تعطيل ما يرجع إلى شؤون الإمامة يؤدي إلى محق الدين وذهاب الشريعة، فإنّ الإمام وإن غاب لكن وظائف الإمامة ليست منقطعة عن الأُمّة، ففرض التعليم، ونشر الدين، ومكافحة البدع، وإرشاد الناشئة إلى الحق المبين، وصيانتهم من تأثير التيارات الإلحادية والفلسفات المادية، كلّ ذلك من وظائف الإمامة المستمرة والّتي قوامها بذل المال في سبيل تحقق هذه الأهداف</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الأموال في عصر الحضور كانت تجلب إلى الأئمة عليهم السلام، بما أنّهم كانوا هم القائمين بوظائف الإمامة في عصرهم، فمقتضى نيابة الفقهاء كونه كذلك في غيبتهم، واحتمال اختصاص ذلك بعصر الحضور ينافي القول</w:t>
      </w:r>
    </w:p>
    <w:p>
      <w:pPr>
        <w:pStyle w:val="BookText"/>
        <w:rPr/>
      </w:pPr>
      <w:r>
        <w:rPr>
          <w:rFonts w:ascii="Amiri" w:hAnsi="Amiri" w:eastAsia="Amiri" w:cs="Amiri"/>
          <w:color w:val="111111"/>
          <w:sz w:val="28"/>
          <w:sz w:val="28"/>
          <w:szCs w:val="28"/>
          <w:rtl w:val="true"/>
          <w:lang w:bidi="ar-SA"/>
        </w:rPr>
        <w:t>باستمرار وظائف الإمامة وإن انقطعت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تولّي أرباب الأموال تقسيم الخمس بأنفسهم يستلزم الهرج، من دون أن يصرف المال في مواقعه الصحيحة والتي تصب في صالح وظائف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الصادق عليه السلام جعل الفقيه العارف بأحكام اللّه الناظر في الحلال والحرام حاكماً على الشيعة،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ممّن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لقد نصب الإمام الصادق عليه السلام، الفقيه حاكماً، نظير الحكام المنصوبين من جانب الخلفاء، ومن الواضح أن الفرائض المالية كالزكاة والخمس والخراج كانت بيد حكامهم، فكل شيء كان أمره بيد الحاكم في الخلافة العباسية، فهو بيد الفقيه لتنزيله منزلة الحاكم عندهم، فيدل الحديث بمقتضى عموم التنزيل ان الفرائض المالية بيد الفقهاء الأمناء على الدين والدنيا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نفترض أنّه ليس هناك دليل على دفع الخمس أو نصفه إلى الفقيه القائم بأُمور المجتمع، وعلى ذلك فيدور الأمر بين صرف كل شخص سهم الإمام وسهم السادة في مصارفهما، وبين دفعه إلى المجتهد القائم بأُمور المجتمع ليصرفه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فأيهما أقرب إلى الصواب‌؟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صرف الفرائض المالية يُتصوّر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الملوك والأمراء ليصرفوها كما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من قبل المكلّف نفسه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الفقيه التقي، الّذي تقلد زعامة الأُمّة وتدبير 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هذه الوجوه يقبله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مع وجود أمين الشخص وخليفته وحجّته والحاكم من جانبه ووارثه، الأعلم بمصالح أمواله، والأبصر بمواقع صرفه، الأبعد عن الأغراض، الأعدل في التقسيم ولو ظناً، لا يعلم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الغيرومباشرته، فلا 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الوصول إلى الفقيه جاز تولي المالك، كما استظهره بعض المتأخرين،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تعسّر</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كل من يقول بجواز صرف الفريضة المالية في مظانها مباشرة، من دون أن يكون هناك جهاز عام ينجز هذا الأمر، قد نظر إلى الإسلام نظرة قاصرة، فإن الإسلام دين عالمي، وما هوكذلك فلابد أن يكون متكامل الأركان، ومن أركانه المهمة وجود القدرة المالية لدى الحاكم، ليستطيع من خلالها القيام بمسؤولياته الهامة تجاه المجتمع الإسلامي، وليس هو عند الشيعة سوى الفقيه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المسؤولية ليست منحصرة في دفع عيلة الفقير والمسكين وابن السبيل من الهاشميين، حتّى يقوم كل بواجبه بل المسؤولية الكبرى هي الالتفات إلى كافة الجوانب المتعلقة بتقدم المجتمع ورفاهه، فالمجتمعات تحتاج إلى جامعات ومدارس ومراكز أبحاث ومستشفيات ومصانع ومؤسّسات إدارية وخَدَمية، وغير ذلك، وتحقيق هذه الأُمور رهن توفر إمكانات مادية كبيرة، ومنها</w:t>
      </w:r>
      <w:bookmarkStart w:id="812" w:name="pg16780_177393"/>
    </w:p>
    <w:p>
      <w:pPr>
        <w:pStyle w:val="BookText"/>
        <w:rPr/>
      </w:pPr>
      <w:bookmarkEnd w:id="812"/>
      <w:r>
        <w:rPr>
          <w:rFonts w:ascii="Amiri" w:hAnsi="Amiri" w:eastAsia="Amiri" w:cs="Amiri"/>
          <w:color w:val="111111"/>
          <w:sz w:val="28"/>
          <w:sz w:val="28"/>
          <w:szCs w:val="28"/>
          <w:rtl w:val="true"/>
          <w:lang w:bidi="ar-SA"/>
        </w:rPr>
        <w:t>نصيب الخمس الراجع إلى منصب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دائر بين التعيين والتخيير، فإما أن يكون الدفع إلى الفقيه أمراً متعيِّناً أو يكون صاحب المال مخيّراً بين دفعه إليه وبين صرفه بنفسه في الموارد المذكورة، وفي مثله يحكم العقل بالأول، لأن فيه الامتثال القطعي بخلاف الثاني فالامتثال فيه محتمل، فإذا دار الأمر بين الامتثالين، فالقطعي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تظهر ضآلة ما ذكره مؤلف الكتيب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الخمس إلى الإمام أمر مستحب، فكيف ارتقت درجة أدائه إلى الفقيه فصار الدفع إلى الفقيه أمراً واجباً، فكيف تغير الحكم وارتفع من درجة الاستحباب إلى الوجوب‌؟</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الخمس إلى الإمام كان أمراً واجباً وبقي على وجوبه إلى زماننا هذا ولم يتبدل إلى الاستحباب، وأما كون الدفع إلى الفقيه واجباً فإنّماهو مقتضى كونه نائباً عنه، فمقتضى المنطق ان يكون حكم الدفع إليهما على نحو سواء، فلو كان الدفع إلى الفقيه أمراً مستحباً لانتقض المنطق</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7190073_73709187"/>
      <w:bookmarkStart w:id="814" w:name="_Toc310"/>
      <w:bookmarkEnd w:id="813"/>
      <w:r>
        <w:rPr>
          <w:rtl w:val="true"/>
        </w:rPr>
        <w:t>بانت الحقيقة بأجلى صورها</w:t>
      </w:r>
      <w:bookmarkEnd w:id="814"/>
    </w:p>
    <w:p>
      <w:pPr>
        <w:pStyle w:val="BookText"/>
        <w:rPr/>
      </w:pPr>
      <w:r>
        <w:rPr>
          <w:rFonts w:ascii="Amiri" w:hAnsi="Amiri" w:eastAsia="Amiri" w:cs="Amiri"/>
          <w:color w:val="111111"/>
          <w:sz w:val="28"/>
          <w:sz w:val="28"/>
          <w:szCs w:val="28"/>
          <w:rtl w:val="true"/>
          <w:lang w:bidi="ar-SA"/>
        </w:rPr>
        <w:t>لقد ظهر ممّا ذكرنا أن الخمس فريضة مالية يتولاها الإمام في حياته، ونائبه في غيبته، وقد ثبتت نيابة الفقيه عن الإمام في غيبته في ما يرجع إلى وظائف الإمامة، فإن الإمامة وإن انقطعت ولكن الوظائف بعده مستمرة، فالقائم بها هو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أنهم عليهم السلام يتولَّونه في حال حضورهم، فإن نوّابهم من الفقهاء يتولّونه عند الغيبة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 عن القدماء من الدفن أو الايصاء إلى من يثق به، فإن كل ذلك</w:t>
      </w:r>
    </w:p>
    <w:p>
      <w:pPr>
        <w:pStyle w:val="BookText"/>
        <w:rPr/>
      </w:pPr>
      <w:r>
        <w:rPr>
          <w:rFonts w:ascii="Amiri" w:hAnsi="Amiri" w:eastAsia="Amiri" w:cs="Amiri"/>
          <w:color w:val="111111"/>
          <w:sz w:val="28"/>
          <w:sz w:val="28"/>
          <w:szCs w:val="28"/>
          <w:rtl w:val="true"/>
          <w:lang w:bidi="ar-SA"/>
        </w:rPr>
        <w:t>كان مبنياً على أن الإمام الغائب عليه السلام سيظهر قريباً، فلذلك أفتوا بهذين الأمرين، ولو كانوا واقفين على أنّه ستطول غيبته لما أفتوا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فتوى كل من المفيد والطوسي بالوصاية أو الدفن كانت مبنية على تلك الفكرة، ولذلك توقفا عن صرف نصيب الإمام، ولو كانا شاهدين لما نشاهد، لما أفتيا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إفتاء كثير من العلماء بتولّي صاحب المال تقسيم نصيب السادة عليهم، فذلك مبنيّ على زعم أنّه فريضة فردية، وليس راجعاً إلى منصب الإمامة، وأمّا على ما ذكرنا فلا فرق بين نصيب السادة ونصيب الإمام حسب رواية أبي علي بن راشد</w:t>
      </w:r>
      <w:r>
        <w:rPr>
          <w:rStyle w:val="FootnoteAnchor"/>
          <w:rtl w:val="true"/>
        </w:rPr>
        <w:footnoteReference w:id="845"/>
      </w:r>
      <w:r>
        <w:rPr>
          <w:rFonts w:ascii="Amiri" w:hAnsi="Amiri" w:eastAsia="Amiri" w:cs="Amiri"/>
          <w:color w:val="111111"/>
          <w:sz w:val="28"/>
          <w:sz w:val="28"/>
          <w:szCs w:val="28"/>
          <w:rtl w:val="true"/>
          <w:lang w:bidi="ar-SA"/>
        </w:rPr>
        <w:t>في أن المتولي هو الإمام أو من يقوم مقامه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المؤلف يعتمد على قول الشيخ الطوسي، فلينظر إلى قوله فيمن يقول بالتحليل، حيث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فيه على ما تضمنه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 لشيعتهم التصرف في حقوقهم ممّا تعلق بالأخماس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ضدّ الاحتياط، والأولى اجتنابه حسب ما قدمناه</w:t>
      </w:r>
      <w:r>
        <w:rPr>
          <w:rFonts w:eastAsia="Amiri" w:cs="Amiri" w:ascii="Amiri" w:hAnsi="Amiri"/>
          <w:color w:val="111111"/>
          <w:sz w:val="28"/>
          <w:szCs w:val="28"/>
          <w:rtl w:val="true"/>
          <w:lang w:bidi="ar-SA"/>
        </w:rPr>
        <w:t>.</w:t>
      </w:r>
      <w:r>
        <w:rPr>
          <w:rStyle w:val="FootnoteAnchor"/>
          <w:rtl w:val="true"/>
        </w:rPr>
        <w:footnoteReference w:id="846"/>
      </w:r>
      <w:bookmarkStart w:id="815" w:name="pg16780_177397"/>
    </w:p>
    <w:p>
      <w:pPr>
        <w:pStyle w:val="Heading4"/>
        <w:numPr>
          <w:ilvl w:val="3"/>
          <w:numId w:val="1"/>
        </w:numPr>
        <w:rPr/>
      </w:pPr>
      <w:bookmarkStart w:id="816" w:name="__RefHeading___Toc7190075_73709187"/>
      <w:bookmarkStart w:id="817" w:name="_Toc311"/>
      <w:bookmarkEnd w:id="815"/>
      <w:bookmarkEnd w:id="816"/>
      <w:r>
        <w:rPr>
          <w:rtl w:val="true"/>
        </w:rPr>
        <w:t>الفصل الخامس دراسة نقدية للكتاب</w:t>
      </w:r>
      <w:bookmarkEnd w:id="817"/>
    </w:p>
    <w:p>
      <w:pPr>
        <w:pStyle w:val="Heading5"/>
        <w:numPr>
          <w:ilvl w:val="4"/>
          <w:numId w:val="1"/>
        </w:numPr>
        <w:rPr/>
      </w:pPr>
      <w:bookmarkStart w:id="818" w:name="__RefHeading___Toc7190077_73709187"/>
      <w:bookmarkStart w:id="819" w:name="_Toc312"/>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جزية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نُشر لغايات سياسية لا علمية، إذ لم يكن الكاتب مؤهّلاً للخوض في هذه المسائل، وإنّما جمعه من كتابين لشخصين خرجا عن المنهج السليم في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والتصحيح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الموسوي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تطور الفكر السياسي الشيعي من الشورى إلى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على ذينك الكتابين في تأليف هذه الرسالة اعتماداً كاملاً، كما اعتمد على قضائهما في مورد الخمس ومصارفه وأدلته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المؤلف لا يعرف بُعد هذين الكاتبين عن الموضوعية والحياد في البحث العلميّ‌، ولايعرف نَزَعاتهما، ولا منزلتهما عند الشيعة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وسنخصّص هذا الفصل لتشريح الكتاب وبيان خصوصياته، حتّى تقف 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أخطائه وأوهامه، ومواطن ضعفه، وتهافُت أفكاره، بعون اللّه تعالى، ويقع ذلك ضمن أُمور</w:t>
      </w:r>
      <w:r>
        <w:rPr>
          <w:rFonts w:eastAsia="Amiri" w:cs="Amiri" w:ascii="Amiri" w:hAnsi="Amiri"/>
          <w:color w:val="111111"/>
          <w:sz w:val="28"/>
          <w:szCs w:val="28"/>
          <w:rtl w:val="true"/>
          <w:lang w:bidi="ar-SA"/>
        </w:rPr>
        <w:t>:</w:t>
      </w:r>
      <w:bookmarkStart w:id="820" w:name="pg16780_177399"/>
    </w:p>
    <w:p>
      <w:pPr>
        <w:pStyle w:val="Heading5"/>
        <w:numPr>
          <w:ilvl w:val="4"/>
          <w:numId w:val="1"/>
        </w:numPr>
        <w:rPr/>
      </w:pPr>
      <w:bookmarkStart w:id="821" w:name="__RefHeading___Toc7190079_73709187"/>
      <w:bookmarkStart w:id="822" w:name="_Toc313"/>
      <w:bookmarkEnd w:id="820"/>
      <w:bookmarkEnd w:id="821"/>
      <w:r>
        <w:rPr>
          <w:rtl w:val="true"/>
        </w:rPr>
        <w:t>الأوّل</w:t>
      </w:r>
      <w:r>
        <w:rPr>
          <w:rtl w:val="true"/>
        </w:rPr>
        <w:t xml:space="preserve">: </w:t>
      </w:r>
      <w:r>
        <w:rPr>
          <w:rtl w:val="true"/>
        </w:rPr>
        <w:t>افتراؤه على السيد محمد الصدر</w:t>
      </w:r>
      <w:bookmarkEnd w:id="822"/>
    </w:p>
    <w:p>
      <w:pPr>
        <w:pStyle w:val="BookText"/>
        <w:rPr/>
      </w:pPr>
      <w:r>
        <w:rPr>
          <w:rFonts w:ascii="Amiri" w:hAnsi="Amiri" w:eastAsia="Amiri" w:cs="Amiri"/>
          <w:color w:val="111111"/>
          <w:sz w:val="28"/>
          <w:sz w:val="28"/>
          <w:szCs w:val="28"/>
          <w:rtl w:val="true"/>
          <w:lang w:bidi="ar-SA"/>
        </w:rPr>
        <w:t>ذكر المؤلف أنّ السيد الشهيد محمد الصدر قدس سره قد ذكر صدر الحديثين ولم يذكر ذيلهما، وقد اتهمه بأنّه بتر الحديثين لأجل أن الصدر ينفعه دون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سوء ظن بعالم كبير، وقف نفسه لإصلاح الأُمّة حتّى استشهد في سبيل ذلك، لأن تقطيع الحديث أمر رائج بين الفقهاء حيث إنّه يأتي بما له صلة بمقصوده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اتهمه بتهمة أشنع، وهي اختراع روايتين وليس منهما أثر في المصادر الروائية القديمة الأربعة</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جانب يتهم السيد الشهيد باختراع الحديث ومن جانب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عدم وجدانه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المصادر غير منحصرة بالقديمة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الروايتين مع الإشارة إلى مصادرهما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مالنا شيئاً فإنّما يأكل في بطنه ناراً وسيصلى سعيراً</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والملائكة والناس أجمعين على كل من أكل من مالنا درهماً حراماً</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ياسعد الابل</w:t>
      </w:r>
      <w:r>
        <w:rPr>
          <w:rFonts w:eastAsia="Amiri" w:cs="Amiri" w:ascii="Amiri" w:hAnsi="Amiri"/>
          <w:color w:val="111111"/>
          <w:sz w:val="28"/>
          <w:szCs w:val="28"/>
          <w:rtl w:val="true"/>
          <w:lang w:bidi="ar-SA"/>
        </w:rPr>
        <w:t>».</w:t>
      </w:r>
      <w:bookmarkStart w:id="823" w:name="pg16780_177401"/>
    </w:p>
    <w:p>
      <w:pPr>
        <w:pStyle w:val="Heading5"/>
        <w:numPr>
          <w:ilvl w:val="4"/>
          <w:numId w:val="1"/>
        </w:numPr>
        <w:rPr/>
      </w:pPr>
      <w:bookmarkStart w:id="824" w:name="__RefHeading___Toc7190081_73709187"/>
      <w:bookmarkStart w:id="825" w:name="_Toc314"/>
      <w:bookmarkEnd w:id="823"/>
      <w:bookmarkEnd w:id="824"/>
      <w:r>
        <w:rPr>
          <w:rtl w:val="true"/>
        </w:rPr>
        <w:t>الثاني</w:t>
      </w:r>
      <w:r>
        <w:rPr>
          <w:rtl w:val="true"/>
        </w:rPr>
        <w:t xml:space="preserve">: </w:t>
      </w:r>
      <w:r>
        <w:rPr>
          <w:rtl w:val="true"/>
        </w:rPr>
        <w:t>تحريفه لكلام الشيخ الطوسي</w:t>
      </w:r>
      <w:bookmarkEnd w:id="825"/>
    </w:p>
    <w:p>
      <w:pPr>
        <w:pStyle w:val="BookText"/>
        <w:rPr/>
      </w:pPr>
      <w:r>
        <w:rPr>
          <w:rFonts w:ascii="Amiri" w:hAnsi="Amiri" w:eastAsia="Amiri" w:cs="Amiri"/>
          <w:color w:val="111111"/>
          <w:sz w:val="28"/>
          <w:sz w:val="28"/>
          <w:szCs w:val="28"/>
          <w:rtl w:val="true"/>
          <w:lang w:bidi="ar-SA"/>
        </w:rPr>
        <w:t>ربّما يظنّ القارئ أن ما نسبه إلى الشهيد الصدر كان هفوة أو زلّة قلم، ولم يكن عن قصد وعنادٍ، ولكنه عندما يصل إلى ما نسبه إلى الشيخ الطوسي من الرأي الساقط ثمّ يقارنه بفتوى السيد الخوئي ويحكم بأن بين الرأيين بوناً شاسعاً واختلافاً غير قابل للجمع، ولكنه عندما يصل إلى ذلك يذعن بأن الأول كالثاني نابع عن الجهل بالواقع أو 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نسب إلى الشيخ الطوسي الرأي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الطوسي الخمس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مصدره مكاسب وأرباح التجارات والمساكن والمناكح، يختار هو إباحته وإسقاطه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 هو الّذي يرد ممّا تبقّى من أنواع المال والكنوز وغيرها كما يعبّر الطوسي، وهذا يرجّح قسمته أيضاً نصفين، والنصف الّذي هو حق الإمام لا يجيز التصرف به لأيّ كان، بل إما يدفن أو يوصى به والنصف الآخر هو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أيتامهم ومساكينهم وأبناء سبيلهم، مرجعه إلى المالك مع ترجيح قسمته عليهم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ارتكب في كلامه خطأين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أفتى بحلِّيّة التصرف في المناكح والمتاجر والمساكن فقط، ومراده من المناكح الإماء والسراري التي يغنمها الغزاة، كما أن مراده من المتاجر الأموال والأمتعة التي يستولي عليها المجاهدون ثم تتداول في أيدي الناس ومنهم الشيعة، ولا يريد بها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المساكن الأنفال، كالمملوكة بغير قتال وغيرها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ذلك أنّه ذكر إباحة الخمس في الأُمور الثلاثة في ذيل</w:t>
      </w:r>
    </w:p>
    <w:p>
      <w:pPr>
        <w:pStyle w:val="BookText"/>
        <w:rPr/>
      </w:pPr>
      <w:r>
        <w:rPr>
          <w:rFonts w:ascii="Amiri" w:hAnsi="Amiri" w:eastAsia="Amiri" w:cs="Amiri"/>
          <w:color w:val="111111"/>
          <w:sz w:val="28"/>
          <w:sz w:val="28"/>
          <w:szCs w:val="28"/>
          <w:rtl w:val="true"/>
          <w:lang w:bidi="ar-SA"/>
        </w:rPr>
        <w:t>القتال والجهاد،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قاتل قوم أهل حرب من غير أمر الإمام فغنموا كانت غنيمتهم للإمام خاصّة دون غيره، وليس لأحد أن يتصرّف في ما يستحقّه الإمام من الأنفال والأخماس إلّابإذنه، فمن تصرَّف في شيء من ذلك، كان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ظهور الإمام، وأما في حال الغيبة فقد رخّصوا لشيعتم التصرُّف في حقوقهم ممّا يتعلق بالأخماس وغيرها فيما لابد لهم منه من المناكح والمتاجر والمساكن، فأمّا ما عدا ذلك فلا يجوز له التصرف فيه على حالٍ‌</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فنلفت نظر القارئ إلى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مصبّ البحث في كلامه الغنائم الحربية، فلو كان هناك استثناء وإباحة فإنما يرجع إليها أو إلى ما يناسبها كالأنفال في المساكن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الطوسي وصف المستثنى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المناكح والمتاجر والمساكن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لابد لهم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أقوى قرينة على ما ذكرنا، حيث إن الشيعة كان يعيشون مع إخوانهم السنة جنباً إلى جنب، فلم يكن لهم بدّ من شراء الإماء أو الأمتعة المغنومة، غير المخمّسة، فأين هذا من إباحة أرباح المكاسب والمتاجر التي يمارسها الشيعة أنفسهم‌؟</w:t>
      </w:r>
    </w:p>
    <w:p>
      <w:pPr>
        <w:pStyle w:val="BookText"/>
        <w:rPr/>
      </w:pPr>
      <w:r>
        <w:rPr>
          <w:rFonts w:ascii="Amiri" w:hAnsi="Amiri" w:eastAsia="Amiri" w:cs="Amiri"/>
          <w:color w:val="111111"/>
          <w:sz w:val="28"/>
          <w:sz w:val="28"/>
          <w:szCs w:val="28"/>
          <w:rtl w:val="true"/>
          <w:lang w:bidi="ar-SA"/>
        </w:rPr>
        <w:t xml:space="preserve">وبما أن الكاتب كان جاهلاً بالمصطلح، وضع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الشيخ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 وأرباح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غير واحد من فقهاء الشيعة المصطلحات الثلاثة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إباحة المناكح والمساكن والمتاجر في حال الغيبة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بالمناكح السراري المغنومة من أهل الحرب</w:t>
      </w:r>
    </w:p>
    <w:p>
      <w:pPr>
        <w:pStyle w:val="BookText"/>
        <w:rPr/>
      </w:pPr>
      <w:r>
        <w:rPr>
          <w:rFonts w:ascii="Amiri" w:hAnsi="Amiri" w:eastAsia="Amiri" w:cs="Amiri"/>
          <w:color w:val="111111"/>
          <w:sz w:val="28"/>
          <w:sz w:val="28"/>
          <w:szCs w:val="28"/>
          <w:rtl w:val="true"/>
          <w:lang w:bidi="ar-SA"/>
        </w:rPr>
        <w:t>في حال الغيبة، فإنّه يباح لنا شراؤها وإن كانت بأجمعها للإمام، أو بعضها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بالمساكن، ما يتخذه منه في الاراضي المختصة به عليه السلام كالمملوكة بغير قتال ورؤوس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يشترى من الغنائم المأخوذة في الحرب حالة الغيبة أو ما يشترى ممن لا يعتقد الخمس</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وممّا يدل على ذلك هو أن الشيخ بعد مافرغ من حليّة الموضوعات الثلاثة بدأ الكلام في غيرها،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يستحقونه من الأخماس، في الكنوز وغيرها في حال الغيبة، فقد اختلف قول أصحابنا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في أوّل الفصل الّذي عقده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الخمس 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واجب في جميع ما يغنمه الإنسان، ثم عدّ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الغنائم أي كل ما يؤخذ بالسيف من أهل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أرباح التجارات والزراعات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الكنوز المُدَّخرة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الذميّ إذا اشترى من المسلم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في كلامه</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أنّه لم يورد ذكر الفقيه في كل تفاصيل الفتوى أبداً، بل صرح الشيخ الطوسي ان المتولّي لذلك ليس بظاهر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المتولي لذلك ليس</w:t>
      </w:r>
      <w:bookmarkStart w:id="826" w:name="pg16780_177407"/>
    </w:p>
    <w:p>
      <w:pPr>
        <w:pStyle w:val="BookText"/>
        <w:rPr/>
      </w:pPr>
      <w:bookmarkEnd w:id="826"/>
      <w:r>
        <w:rPr>
          <w:rFonts w:ascii="Amiri" w:hAnsi="Amiri" w:eastAsia="Amiri" w:cs="Amiri"/>
          <w:color w:val="111111"/>
          <w:sz w:val="28"/>
          <w:sz w:val="28"/>
          <w:szCs w:val="28"/>
          <w:rtl w:val="true"/>
          <w:lang w:bidi="ar-SA"/>
        </w:rPr>
        <w:t>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النصف الآخر الّذي هو لبني هاشم فقط،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هذه الثلاثة أقسام مستحقها ظاهر، وإن كان المتولّي لتفريق ذلك فيهم ليس 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فتوسيع كلامه إلى مطلق النصفين خطأ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الفقيه في النصف الأوّل، لأجل انّه اختار فيه الدفن أو الإيداع، ومعه لايبقى موضوع لذكر الفقيه، فإن تولّي الفقيه مبني على القول بصرفه في مظانه، وأما على القول بعدم الصرف، فلايكون وجه لذكر الفقيه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صوّره من الجدول وقارن فيه بين فتوى الشيخ الطوسي وبين فتوى السيد الخوئي، مستنتجاً مخالفتهما، مبنيٌّ على استنتاجاته الخاطئة من كلام الطوسي، وبذلك ذهبت جهوده في الجدول سدىً‌، ولا حاجة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آخر الجدول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أنّ فتوى الخوئي مخالفة جملة وتفصيلاً لفتوى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والمخالفة الجزئية بين الفقهاء أمر رائج</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7190083_73709187"/>
      <w:bookmarkStart w:id="828" w:name="_Toc315"/>
      <w:bookmarkEnd w:id="827"/>
      <w:r>
        <w:rPr>
          <w:rtl w:val="true"/>
        </w:rPr>
        <w:t>الثالث</w:t>
      </w:r>
      <w:r>
        <w:rPr>
          <w:rtl w:val="true"/>
        </w:rPr>
        <w:t>: «</w:t>
      </w:r>
      <w:r>
        <w:rPr>
          <w:rtl w:val="true"/>
        </w:rPr>
        <w:t>حقائق ثمانية</w:t>
      </w:r>
      <w:r>
        <w:rPr>
          <w:rtl w:val="true"/>
        </w:rPr>
        <w:t xml:space="preserve">» </w:t>
      </w:r>
      <w:r>
        <w:rPr>
          <w:rtl w:val="true"/>
        </w:rPr>
        <w:t>أو انطباعات خاطئة‌؟</w:t>
      </w:r>
      <w:r>
        <w:rPr>
          <w:rtl w:val="true"/>
        </w:rPr>
        <w:t>!</w:t>
      </w:r>
      <w:bookmarkEnd w:id="828"/>
    </w:p>
    <w:p>
      <w:pPr>
        <w:pStyle w:val="Heading6"/>
        <w:numPr>
          <w:ilvl w:val="5"/>
          <w:numId w:val="1"/>
        </w:numPr>
        <w:rPr/>
      </w:pPr>
      <w:bookmarkStart w:id="829" w:name="__RefHeading___Toc7190085_73709187"/>
      <w:bookmarkStart w:id="830" w:name="_Toc316"/>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قدّم الكاتب في ديباجة كتابه أُموراً ثمانية زعم أنّه اكتشفها بعد ما كانت خافية عن أنظار العالمين، وكأنّه يتبجّح بذلك، وها نحن نذكر خلاصة تلك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يثمنها القارئ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أداء خمس المكاسب إلى الفقيه لا يستند إلى أي دليل ولا أصل له بتاتاً في أي مصدر من المصادر الحديثية الشيعية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كثيراً من النصوص الواردة عن الأئمة تُسقط الخمس عن الشيعة وتبيحه لهم، خصوصاً في زمن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النصوص تجعل حكم أداء الخمس للإمام نفسه في حال حضوره الاستحباب أو التخيير بين الأداء وتركه، وليس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أحداً من علماء المذهب الأقدمين لم يذكر قط مسألة إعطاء الخمس للفقهاء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حكم أداء الخمس إلى الإمام في كثير من الروايات المعتبرة الاستحباب، وصار أداؤه إلى الفقيه واجباً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الخمس في أصل تكوينه يقسم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الأوّل حق اللّه تعالى ورسوله وذي القربى، وامّا النصف الآخر، فهو لليتامى والمساكين وابن السبيل، إلّاأن الواقع المشاهد أن الفقيه يأخذ الخمس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نصف الخمس لفقراء بني هاشم لا للأغنياء، فما يفعله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الأموال باسم الخمس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إخراج الخمس وإعطاؤه للفقهاء لا يستند إلى أي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فلندرس تلك الحقائق الهامة التي أخذ الكاتب يركز عليها ويناور بها وهي في الحقيقة أمّا ادعاءات متكررة أو متناقضة أو انطباعات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التكرار، فالحقيقة الأُولى، والثامنة، وهكذا الرابعة، كلّها في الواقع ادعاء واحد، وهو عدم الدليل على إعطاء الخمس للفقيه، غاية الأمر يدّعي في الأُولى والثامنة عدم الدليل في الكتاب والسنة، وفي الرابعة عدم الفتوى بين الأقدمين، ومرجع الجميع واحد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التناقض فيدّعي في الحقيقة الثانية سقوط الخمس عن الشيعة، ولكنه في الحقيقة السادسة يسلّم بوجوب الخمس، وأنه يقسم قسمين</w:t>
      </w:r>
      <w:r>
        <w:rPr>
          <w:rFonts w:eastAsia="Amiri" w:cs="Amiri" w:ascii="Amiri" w:hAnsi="Amiri"/>
          <w:color w:val="111111"/>
          <w:sz w:val="28"/>
          <w:szCs w:val="28"/>
          <w:rtl w:val="true"/>
          <w:lang w:bidi="ar-SA"/>
        </w:rPr>
        <w:t>:</w:t>
      </w:r>
      <w:bookmarkStart w:id="831" w:name="pg16780_177411"/>
    </w:p>
    <w:p>
      <w:pPr>
        <w:pStyle w:val="BookText"/>
        <w:rPr/>
      </w:pPr>
      <w:bookmarkEnd w:id="831"/>
      <w:r>
        <w:rPr>
          <w:rFonts w:ascii="Amiri" w:hAnsi="Amiri" w:eastAsia="Amiri" w:cs="Amiri"/>
          <w:color w:val="111111"/>
          <w:sz w:val="28"/>
          <w:sz w:val="28"/>
          <w:szCs w:val="28"/>
          <w:rtl w:val="true"/>
          <w:lang w:bidi="ar-SA"/>
        </w:rPr>
        <w:t>الصنف الأوّل ورسوله وذي القربى، والنصف الآخر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أيتامهم ومساكينهم وأبناء سبيلهم، ولكنه يعترض على أداءه للفقيه، الّذي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دون مراعاة هذه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نفس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انطباعاته الخاطئة، فنذكرها واحداً بعد الآخر</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7190087_73709187"/>
      <w:bookmarkStart w:id="833" w:name="_Toc317"/>
      <w:bookmarkEnd w:id="832"/>
      <w:r>
        <w:rPr/>
        <w:t>1</w:t>
      </w:r>
      <w:r>
        <w:rPr>
          <w:rtl w:val="true"/>
        </w:rPr>
        <w:t xml:space="preserve">. </w:t>
      </w:r>
      <w:r>
        <w:rPr>
          <w:rtl w:val="true"/>
        </w:rPr>
        <w:t>عدم الدليل على إعطاء الخمس للفقيه</w:t>
      </w:r>
      <w:bookmarkEnd w:id="833"/>
    </w:p>
    <w:p>
      <w:pPr>
        <w:pStyle w:val="BookText"/>
        <w:rPr/>
      </w:pPr>
      <w:r>
        <w:rPr>
          <w:rFonts w:ascii="Amiri" w:hAnsi="Amiri" w:eastAsia="Amiri" w:cs="Amiri"/>
          <w:color w:val="111111"/>
          <w:sz w:val="28"/>
          <w:sz w:val="28"/>
          <w:szCs w:val="28"/>
          <w:rtl w:val="true"/>
          <w:lang w:bidi="ar-SA"/>
        </w:rPr>
        <w:t xml:space="preserve">إن الرسالة تهدف إلى التشكيك في صلاحية الفقيه لأخذ الخمس، وهو قلِق من هذا الموضوع، ونحن نلفت نظره إلى الفصل الثاني، حيث ذكرنا دلائل وجوب إعطائه للفقيه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يدلّ على تولّي الفقيه</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7190089_73709187"/>
      <w:bookmarkStart w:id="835" w:name="_Toc318"/>
      <w:bookmarkEnd w:id="834"/>
      <w:r>
        <w:rPr/>
        <w:t>2</w:t>
      </w:r>
      <w:r>
        <w:rPr>
          <w:rtl w:val="true"/>
        </w:rPr>
        <w:t xml:space="preserve">. </w:t>
      </w:r>
      <w:r>
        <w:rPr>
          <w:rtl w:val="true"/>
        </w:rPr>
        <w:t>خلوّ القرآن والسنة عن ذكر الخمس</w:t>
      </w:r>
      <w:bookmarkEnd w:id="835"/>
    </w:p>
    <w:p>
      <w:pPr>
        <w:pStyle w:val="BookText"/>
        <w:rPr/>
      </w:pPr>
      <w:r>
        <w:rPr>
          <w:rFonts w:ascii="Amiri" w:hAnsi="Amiri" w:eastAsia="Amiri" w:cs="Amiri"/>
          <w:color w:val="111111"/>
          <w:sz w:val="28"/>
          <w:sz w:val="28"/>
          <w:szCs w:val="28"/>
          <w:rtl w:val="true"/>
          <w:lang w:bidi="ar-SA"/>
        </w:rPr>
        <w:t>يذكر هو في الحقيقة الثانية سقوط الخمس عن الشيعة، ولكن في ثنايا الكتاب ينكر وجوب الخمس في الشريعة الإسلامية المقدسة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خلا القرآن الكريم وخلت سنة النبي صلى الله عليه و آله و سلم وسيرته وكذلك سيرة الخلفاء الراشدين وغيرهم من حكام المسلمين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تاريخ الإسلام ولا غيره ضريبة كانت تفرض على أموال الناس وتجاراتهم بهذا القدر</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كبرت كلمة تخرج من افواههم، وكأنه لم يقرع سمعه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يقرأ شيئاً من أحاديث الرسول حيث قضى رسول اللّه صلى الله عليه و آله و سلم في الركاز الخمس</w:t>
      </w:r>
      <w:r>
        <w:rPr>
          <w:rFonts w:eastAsia="Amiri" w:cs="Amiri" w:ascii="Amiri" w:hAnsi="Amiri"/>
          <w:color w:val="111111"/>
          <w:sz w:val="28"/>
          <w:szCs w:val="28"/>
          <w:rtl w:val="true"/>
          <w:lang w:bidi="ar-SA"/>
        </w:rPr>
        <w:t>.</w:t>
      </w:r>
      <w:r>
        <w:rPr>
          <w:rStyle w:val="FootnoteAnchor"/>
          <w:rtl w:val="true"/>
        </w:rPr>
        <w:footnoteReference w:id="856"/>
      </w:r>
      <w:bookmarkStart w:id="836" w:name="pg16780_177413"/>
    </w:p>
    <w:p>
      <w:pPr>
        <w:pStyle w:val="BookText"/>
        <w:rPr/>
      </w:pPr>
      <w:bookmarkEnd w:id="836"/>
      <w:r>
        <w:rPr>
          <w:rFonts w:ascii="Amiri" w:hAnsi="Amiri" w:eastAsia="Amiri" w:cs="Amiri"/>
          <w:color w:val="111111"/>
          <w:sz w:val="28"/>
          <w:sz w:val="28"/>
          <w:szCs w:val="28"/>
          <w:rtl w:val="true"/>
          <w:lang w:bidi="ar-SA"/>
        </w:rPr>
        <w:t xml:space="preserve">وقوله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وفد إليه عبدالقيس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 المشركين وإنا لا نصل إليك إلّافي الأشهر الحرم فمرنا بجمل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بأربع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الأربع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وإقام الصلاة وإيتاء الزكاة وتعطوا الخمس من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في محله إن المراد مطلق ما يفوز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الصلافة،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خلا القرآن الكريم وخلت سنة النبي وسيرته وكذلك سيرة الخلفاء الراشدين وغيرهم من حكّام المسلمين من ذكر الخمس</w:t>
      </w:r>
      <w:r>
        <w:rPr>
          <w:rFonts w:eastAsia="Amiri" w:cs="Amiri" w:ascii="Amiri" w:hAnsi="Amiri"/>
          <w:color w:val="111111"/>
          <w:sz w:val="28"/>
          <w:szCs w:val="28"/>
          <w:rtl w:val="true"/>
          <w:lang w:bidi="ar-SA"/>
        </w:rPr>
        <w:t>.</w:t>
      </w:r>
      <w:r>
        <w:rPr>
          <w:rStyle w:val="FootnoteAnchor"/>
          <w:rtl w:val="true"/>
        </w:rPr>
        <w:footnoteReference w:id="857"/>
      </w:r>
    </w:p>
    <w:p>
      <w:pPr>
        <w:pStyle w:val="Heading6"/>
        <w:numPr>
          <w:ilvl w:val="5"/>
          <w:numId w:val="1"/>
        </w:numPr>
        <w:rPr/>
      </w:pPr>
      <w:bookmarkStart w:id="837" w:name="__RefHeading___Toc7190091_73709187"/>
      <w:bookmarkStart w:id="838" w:name="_Toc319"/>
      <w:bookmarkEnd w:id="837"/>
      <w:r>
        <w:rPr/>
        <w:t>3</w:t>
      </w:r>
      <w:r>
        <w:rPr>
          <w:rtl w:val="true"/>
        </w:rPr>
        <w:t xml:space="preserve">. </w:t>
      </w:r>
      <w:r>
        <w:rPr>
          <w:rtl w:val="true"/>
        </w:rPr>
        <w:t>ارتقاء الحكم من الاستحباب إلى الوجوب</w:t>
      </w:r>
      <w:bookmarkEnd w:id="838"/>
    </w:p>
    <w:p>
      <w:pPr>
        <w:pStyle w:val="BookText"/>
        <w:rPr/>
      </w:pPr>
      <w:r>
        <w:rPr>
          <w:rFonts w:ascii="Amiri" w:hAnsi="Amiri" w:eastAsia="Amiri" w:cs="Amiri"/>
          <w:color w:val="111111"/>
          <w:sz w:val="28"/>
          <w:sz w:val="28"/>
          <w:szCs w:val="28"/>
          <w:rtl w:val="true"/>
          <w:lang w:bidi="ar-SA"/>
        </w:rPr>
        <w:t>يذكر في الحقيقة الخامسة أن أداء الخمس في كثير من الروايات المعتبرة إلى الإمام نفسه مستحب، ولكنه ارتقت درجة أدائه إلى الفقيه فصار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كلام شعري يستحسنه ذوقه وشعوره، فإن حكم الخمس لم يزل واجباً ولم يتبدل حكمه إلى الآن وبقي اداؤه إلى الفقيه على الحكم السابق، وأمّا الترخيص للشيعة فقد عرفت أنّه بين ما لا يمتّ إلى الخمس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أو ما يرجع إليه ولكنه أُحلّ لهم بسبب الظروف القاسية، التي كان إيصاله فيها إلى الإمام ينجم عنه مخاطر ومشاكل كبيرة للشيعة وللأئمة أنفسهم</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7190093_73709187"/>
      <w:bookmarkStart w:id="840" w:name="_Toc320"/>
      <w:bookmarkEnd w:id="839"/>
      <w:r>
        <w:rPr/>
        <w:t>4</w:t>
      </w:r>
      <w:r>
        <w:rPr>
          <w:rtl w:val="true"/>
        </w:rPr>
        <w:t xml:space="preserve">. </w:t>
      </w:r>
      <w:r>
        <w:rPr>
          <w:rtl w:val="true"/>
        </w:rPr>
        <w:t>أخذ الفقيه الخمس كلّه</w:t>
      </w:r>
      <w:bookmarkEnd w:id="84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يقسم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نصف للإمام ونصف للسادة، إلّاان الفقيه يأخذ الخمس كله من دون مراعاة هذه القسمة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bookmarkStart w:id="841" w:name="pg16780_177415"/>
    </w:p>
    <w:p>
      <w:pPr>
        <w:pStyle w:val="BookText"/>
        <w:rPr/>
      </w:pPr>
      <w:bookmarkEnd w:id="841"/>
      <w:r>
        <w:rPr>
          <w:rFonts w:ascii="Amiri" w:hAnsi="Amiri" w:eastAsia="Amiri" w:cs="Amiri"/>
          <w:color w:val="111111"/>
          <w:sz w:val="28"/>
          <w:sz w:val="28"/>
          <w:szCs w:val="28"/>
          <w:rtl w:val="true"/>
          <w:lang w:bidi="ar-SA"/>
        </w:rPr>
        <w:t>لا ادري أين شاهد ذلك مع أن عامة الرسائل العملية والكتب الاستدلالية تصرح بأن الخمس يقسم إلى نصفين على النحو المذكور حتّى أن كثيراً من الفقهاء، قالوا بوجوب صرف نصيب الإمام في حاجات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أيتامهم ومساكينهم وأبناء سبيلهم، وقد عرفت أن المحقّق الحلّي وغيره، تبنّوا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أخذه الفقيه كله، فإنّما يأخذه ليصرفه في مصارفه كالإمام المعصوم نفسه، لكونه زعيم الشيعة</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7190095_73709187"/>
      <w:bookmarkStart w:id="843" w:name="_Toc321"/>
      <w:bookmarkEnd w:id="842"/>
      <w:r>
        <w:rPr/>
        <w:t>5</w:t>
      </w:r>
      <w:r>
        <w:rPr>
          <w:rtl w:val="true"/>
        </w:rPr>
        <w:t xml:space="preserve">. </w:t>
      </w:r>
      <w:r>
        <w:rPr>
          <w:rtl w:val="true"/>
        </w:rPr>
        <w:t>أخذ اغنياء بني هاشم الخمس</w:t>
      </w:r>
      <w:bookmarkEnd w:id="843"/>
    </w:p>
    <w:p>
      <w:pPr>
        <w:pStyle w:val="BookText"/>
        <w:rPr/>
      </w:pPr>
      <w:r>
        <w:rPr>
          <w:rFonts w:ascii="Amiri" w:hAnsi="Amiri" w:eastAsia="Amiri" w:cs="Amiri"/>
          <w:color w:val="111111"/>
          <w:sz w:val="28"/>
          <w:sz w:val="28"/>
          <w:szCs w:val="28"/>
          <w:rtl w:val="true"/>
          <w:lang w:bidi="ar-SA"/>
        </w:rPr>
        <w:t>ادّعى في الحقيقة السابقة أن الاغنياء من بني هاشم يأخذون الأموال باسم الخمس بحجة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يدعي أن هذه الحقيقة مجهولة من قبل عامة من يقول بدفع الخمس، إذ يدفعون الخمس لكل من يدّعي النسبة</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أدرى بما فيه، وفي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أدرى بشعابها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المؤمنين يمسكون عن دفع المال إلّابعد إحراز الفقر والحاجة، ولو أقدم بعضهم على دفع الخمس بلا تحقيق، فلا يكون ذلك دليلاً على العموم، على أن ذلك اجنبي عن البحث العلمي، ولعلّ الكاتب لا يعرف منهج البحث العلمي</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7190097_73709187"/>
      <w:bookmarkStart w:id="845" w:name="_Toc322"/>
      <w:bookmarkEnd w:id="844"/>
      <w:r>
        <w:rPr/>
        <w:t>6</w:t>
      </w:r>
      <w:r>
        <w:rPr>
          <w:rtl w:val="true"/>
        </w:rPr>
        <w:t xml:space="preserve">. </w:t>
      </w:r>
      <w:r>
        <w:rPr>
          <w:rtl w:val="true"/>
        </w:rPr>
        <w:t>لم يذكر أحد المتقدمين تولّي الفقيه</w:t>
      </w:r>
      <w:bookmarkEnd w:id="845"/>
    </w:p>
    <w:p>
      <w:pPr>
        <w:pStyle w:val="BookText"/>
        <w:rPr/>
      </w:pPr>
      <w:r>
        <w:rPr>
          <w:rFonts w:ascii="Amiri" w:hAnsi="Amiri" w:eastAsia="Amiri" w:cs="Amiri"/>
          <w:color w:val="111111"/>
          <w:sz w:val="28"/>
          <w:sz w:val="28"/>
          <w:szCs w:val="28"/>
          <w:rtl w:val="true"/>
          <w:lang w:bidi="ar-SA"/>
        </w:rPr>
        <w:t>قال في الحقيقة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من علماء المذهب الأقدمين، لم يذكر قط مسألة إعطاء الخمس للفقهاء بل لم يخطر لهم على بال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يقول ذلك مع ان الشيخ أبا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تعيّن عليه فرض زكاة أو فطرة أو خمس أو أنفال ان</w:t>
      </w:r>
      <w:bookmarkStart w:id="846" w:name="pg16780_177417"/>
    </w:p>
    <w:p>
      <w:pPr>
        <w:pStyle w:val="BookText"/>
        <w:rPr/>
      </w:pPr>
      <w:bookmarkEnd w:id="846"/>
      <w:r>
        <w:rPr>
          <w:rFonts w:ascii="Amiri" w:hAnsi="Amiri" w:eastAsia="Amiri" w:cs="Amiri"/>
          <w:color w:val="111111"/>
          <w:sz w:val="28"/>
          <w:sz w:val="28"/>
          <w:szCs w:val="28"/>
          <w:rtl w:val="true"/>
          <w:lang w:bidi="ar-SA"/>
        </w:rPr>
        <w:t xml:space="preserve">يُخرج ما وجب عليه من ذلك إلى سلطان الإسلام المنصوب من قبله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من يُنصِّبه لقبض ذلك من شيعته ليضعه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تندر الأمران فإلى الفقيه المأمون، فإن تعذّر تولّى ذلك نفسه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والشيخ الحلبي أقدم من الطوسي ولادة ووفاة، وقد ذكره الطوسي في رجاله فلاحظ</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7190099_73709187"/>
      <w:bookmarkStart w:id="848" w:name="_Toc323"/>
      <w:bookmarkEnd w:id="847"/>
      <w:r>
        <w:rPr>
          <w:rtl w:val="true"/>
        </w:rPr>
        <w:t>الرابع</w:t>
      </w:r>
      <w:r>
        <w:rPr>
          <w:rtl w:val="true"/>
        </w:rPr>
        <w:t xml:space="preserve">: </w:t>
      </w:r>
      <w:r>
        <w:rPr>
          <w:rtl w:val="true"/>
        </w:rPr>
        <w:t>مصدر شرعية الخمس</w:t>
      </w:r>
      <w:bookmarkEnd w:id="848"/>
    </w:p>
    <w:p>
      <w:pPr>
        <w:pStyle w:val="BookText"/>
        <w:rPr/>
      </w:pPr>
      <w:r>
        <w:rPr>
          <w:rFonts w:ascii="Amiri" w:hAnsi="Amiri" w:eastAsia="Amiri" w:cs="Amiri"/>
          <w:color w:val="111111"/>
          <w:sz w:val="28"/>
          <w:sz w:val="28"/>
          <w:szCs w:val="28"/>
          <w:rtl w:val="true"/>
          <w:lang w:bidi="ar-SA"/>
        </w:rPr>
        <w:t>يستمد الخمس شرعيته من الكتاب والسنة حسب ما عرفته في الفصل الأوّل، وأن جميع الفقهاء يستدلون على وجوب الخمس بما ورد في الكتاب والسنة النبوية وأحاديث العترة الطاهرة، غير أن الكاتب نسب إلى بعض علماء الشيعة أنّه يدافع عن أخذ الخمس بأنها تصرف على المدارس الدينية والحوزات العلمية والشؤون المذهبية الأُخرى</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كالغريق يتشبث بكل طحلب، ولم يجد مصدراً صالحاً سوى ما أشار إليه في الهامش، ومؤلِّفٍ لم يُعتمد عليه، وهو معروف لدى الأوساط التي يعيش فيها بأنّه لا يتمتع بمؤهّلات كريمة تجعله صالحاً لأن يكون مصدراً في القضايا العلمية الإسلامية، والعاقل تكفيه الإشارة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وياليته اشار إلى فقيه اعتمد في ايجاب الخمس على شرعية المصرف، ومن ذكرها فإنّما ذكرها كمصرفٍ للخمس، دون أن تكون شرعية المصرف دليلاً على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الخمس راجع إلى مقام الإمامة، ومن شؤون الإمامة</w:t>
      </w:r>
      <w:bookmarkStart w:id="849" w:name="pg16780_177418"/>
    </w:p>
    <w:p>
      <w:pPr>
        <w:pStyle w:val="BookText"/>
        <w:rPr/>
      </w:pPr>
      <w:bookmarkEnd w:id="849"/>
      <w:r>
        <w:rPr>
          <w:rFonts w:ascii="Amiri" w:hAnsi="Amiri" w:eastAsia="Amiri" w:cs="Amiri"/>
          <w:color w:val="111111"/>
          <w:sz w:val="28"/>
          <w:sz w:val="28"/>
          <w:szCs w:val="28"/>
          <w:rtl w:val="true"/>
          <w:lang w:bidi="ar-SA"/>
        </w:rPr>
        <w:t>قيادة المجتمع روحياً ودينياً، وهي رهن إعداد الدعاة والمبلغين لنشر الإسلام في العالم، وبذلك يظهر أن إطنابه في هذا الموضوع فضول من الكلام، لا يليق أن يُنقض ويردّ</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7190101_73709187"/>
      <w:bookmarkStart w:id="851" w:name="_Toc324"/>
      <w:bookmarkEnd w:id="850"/>
      <w:r>
        <w:rPr>
          <w:rtl w:val="true"/>
        </w:rPr>
        <w:t>الخامس</w:t>
      </w:r>
      <w:r>
        <w:rPr>
          <w:rtl w:val="true"/>
        </w:rPr>
        <w:t xml:space="preserve">: </w:t>
      </w:r>
      <w:r>
        <w:rPr>
          <w:rtl w:val="true"/>
        </w:rPr>
        <w:t>مهمّات الشرع رهن الدليل القاطع</w:t>
      </w:r>
      <w:bookmarkEnd w:id="851"/>
    </w:p>
    <w:p>
      <w:pPr>
        <w:pStyle w:val="BookText"/>
        <w:rPr/>
      </w:pPr>
      <w:r>
        <w:rPr>
          <w:rFonts w:ascii="Amiri" w:hAnsi="Amiri" w:eastAsia="Amiri" w:cs="Amiri"/>
          <w:color w:val="111111"/>
          <w:sz w:val="28"/>
          <w:sz w:val="28"/>
          <w:szCs w:val="28"/>
          <w:rtl w:val="true"/>
          <w:lang w:bidi="ar-SA"/>
        </w:rPr>
        <w:t>عقد الكاتب فصلاً لغاية إثبات أن مهمّات الشرع رهن أدلّة واضحة قطعية الدلالة، غير قابلة للردّ أو التأويل كالصلاة والزكاة وبرّ الوالدين وحرمة الربا وحرمة الزنا حتّى يكون الطريق مسدوداً أمام الراغبين في التفلّت من التكاليف الشرعيّة، ولكن خمس المكاسب لم تثبت بمثل هذه الأدلّة أي النصوص القرآنية، والأدلّة القاطعة، ثمّ بدأ بتفسير آية الخمس وأن موردها الغنائم المأخوذة من الكفّار المحاربين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يُركِّز على خمس المكاسب دون سائر أنواع الخمس كالمعدن والكنز والغوص والمال الحلال المختلط بالحرام والأرض التي اشتراها الذمي من المسلم إلى غير ذلك، لأن موارده قليلة لا تنتفع به المرجعية الدينية في أداء وظائفها الملقاة على عاتقها، وإنّما تنتفع بأرباح المكاسب، فلذلك يصرّ على عدم الدليل على لزوم الخمس فيها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نسي أنّه قد سلّم في بعض الحقائق الثمانية بلزوم الخمس، وإنّما انكر وجوب دفعه إلى الفقيه، وعلى كل تقدير، فمن قرأ الآية برأي مسبق، يخصّها بالغنائم المأخوذة من الكفار، وأما من قرأها مجرَّداً عن ذلك، ومن دون أن يتأثر بالمناقشات المذهبية، فسيجد دلالتها على لزوم الخمس في كل ما يفوز به الإنسان أمراً واضحاً بشهادة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فلفظة الشيء نكرة تشمل كل ما يغنم، وقد أثبت العلماء في محلّه أن</w:t>
      </w:r>
      <w:bookmarkStart w:id="852" w:name="pg16780_177420"/>
    </w:p>
    <w:p>
      <w:pPr>
        <w:pStyle w:val="BookText"/>
        <w:rPr/>
      </w:pPr>
      <w:bookmarkEnd w:id="852"/>
      <w:r>
        <w:rPr>
          <w:rFonts w:ascii="Amiri" w:hAnsi="Amiri" w:eastAsia="Amiri" w:cs="Amiri"/>
          <w:color w:val="111111"/>
          <w:sz w:val="28"/>
          <w:sz w:val="28"/>
          <w:szCs w:val="28"/>
          <w:rtl w:val="true"/>
          <w:lang w:bidi="ar-SA"/>
        </w:rPr>
        <w:t>المورد لا يخصّص إذا كانت القاعدة كلية، ولذلك اعتمد على الآية فقهاء الأحناف في ثبوت الخمس في المعادن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ونظراً لعزوفه عن سائر المصادر، فإنّه لم يقف على مصادر الخمس في السنة النبوية، وقد ذكرنا شيئاً من ذلك في الفصل الأوّل، كما أنّه أسدل الستار على أحاديث العترة الطاهرة الذين هم أعدال الكتاب وقرناؤه وأحد الثقلين الذين بهما تناط سعادة الإنسان في الدارين، وقد ذكرنا اثني عشر حديثاً تدلّ بوضوح على وجوب الخمس في الأرباح والمكاسب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Style w:val="FootnoteAnchor"/>
          <w:rtl w:val="true"/>
        </w:rPr>
        <w:footnoteReference w:id="863"/>
      </w:r>
    </w:p>
    <w:p>
      <w:pPr>
        <w:pStyle w:val="Heading5"/>
        <w:numPr>
          <w:ilvl w:val="4"/>
          <w:numId w:val="1"/>
        </w:numPr>
        <w:rPr/>
      </w:pPr>
      <w:bookmarkStart w:id="853" w:name="__RefHeading___Toc7190103_73709187"/>
      <w:bookmarkStart w:id="854" w:name="_Toc325"/>
      <w:bookmarkEnd w:id="853"/>
      <w:r>
        <w:rPr>
          <w:rtl w:val="true"/>
        </w:rPr>
        <w:t>السادس</w:t>
      </w:r>
      <w:r>
        <w:rPr>
          <w:rtl w:val="true"/>
        </w:rPr>
        <w:t xml:space="preserve">: </w:t>
      </w:r>
      <w:r>
        <w:rPr>
          <w:rtl w:val="true"/>
        </w:rPr>
        <w:t>تكرّر ذكر الزكاة دون الخمس</w:t>
      </w:r>
      <w:bookmarkEnd w:id="854"/>
    </w:p>
    <w:p>
      <w:pPr>
        <w:pStyle w:val="BookText"/>
        <w:rPr/>
      </w:pPr>
      <w:r>
        <w:rPr>
          <w:rFonts w:ascii="Amiri" w:hAnsi="Amiri" w:eastAsia="Amiri" w:cs="Amiri"/>
          <w:color w:val="111111"/>
          <w:sz w:val="28"/>
          <w:sz w:val="28"/>
          <w:szCs w:val="28"/>
          <w:rtl w:val="true"/>
          <w:lang w:bidi="ar-SA"/>
        </w:rPr>
        <w:t>اعتمد الكاتب على نفي وجوب الخمس إلى تكرّر ذكر الزكاة في عشرات الآيات، بينما لم يرد لخمس المكاسب ذكر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منها في السور المكية، والباقي في السور المدنية، والجميع يدعو إلى تزكية المال وليس جميع هذه الآيات تشير إلى الزكاة المصطلحة في الكتب الفقهية، وذلك لأن الزكاة بالمعنى الخاص فرضت في المدينة في السنة الثانية للهجرة الشريفة، فلايمكن أن يكون الجميع ناظراً لما لم يُشرَّع ولم تُبيّن كيفيّته، بل وجبت صدقة الفطرة قبل وجوب الزكاة بالمعنى الخاص</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عند أحمد وابن خزيمة أيضاً والنسائي وابن ماجة</w:t>
      </w:r>
    </w:p>
    <w:p>
      <w:pPr>
        <w:pStyle w:val="BookText"/>
        <w:rPr/>
      </w:pPr>
      <w:r>
        <w:rPr>
          <w:rFonts w:ascii="Amiri" w:hAnsi="Amiri" w:eastAsia="Amiri" w:cs="Amiri"/>
          <w:color w:val="111111"/>
          <w:sz w:val="28"/>
          <w:sz w:val="28"/>
          <w:szCs w:val="28"/>
          <w:rtl w:val="true"/>
          <w:lang w:bidi="ar-SA"/>
        </w:rPr>
        <w:t>والحاكم في حديث 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و سلم بصدقة الفطر قبل أن تنزل الزكاة ثم نزلت فريضة الزكاة فلم يأمرنا ولم ينهنا ونحن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وهودالّ على أن فرض صدقة الفطر، كان قبل فرض الزكاة، فيقتضي وقوعها بعد فرض رمضان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وعلى هذا فقد وجب صوم شهر رمضان فوجبت صدقة الفطر ثم وجبت الزكاة بالمعنى الخاصّ‌، كل ذلك يلزمنا بأن كثيراً من موارد استعمال الزكاة القرآن المجيد يراد بها تزكية المال، وهو بالمعنى الجامع يشمل فريضة الخمس، وصدقة الفطر، والزكاة، بل يشمل سائر ما يجب على المسلم من الفرائض المالية حتّى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الآيات تدلّ على التزكية بالمعنى الجامع، وأمّا الخصوصيات فإنّما وردت في السنة النبوية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الزكاة في الذكر الحكيم يراد بها مطلق تطهير المال، لا الزكاة بالمعنى الخاص ورود وجوبها في الشرائع السابقة، كما ينقل سبحانه عن لسان عيسى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ينقل عن لسان إسماعيل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ونحن نسأل الكاتب هل الآيات الواردة في السور المكية وقبل وجوب فريضة الزكاة تهدف إلى المعنى العام، فيدخل الخمس في ضمنه‌؟ أو أنها تهدف إلى الزكاة بالمعنى الخاص قبل إيجابها، وهو ممّا لا يتفوّه به فقيه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دراسة الآيات التالية تدلّ على أن الشريعة المقدّسة تأمر بإنفاق ما</w:t>
      </w:r>
    </w:p>
    <w:p>
      <w:pPr>
        <w:pStyle w:val="BookText"/>
        <w:rPr/>
      </w:pPr>
      <w:r>
        <w:rPr>
          <w:rFonts w:ascii="Amiri" w:hAnsi="Amiri" w:eastAsia="Amiri" w:cs="Amiri"/>
          <w:color w:val="111111"/>
          <w:sz w:val="28"/>
          <w:sz w:val="28"/>
          <w:szCs w:val="28"/>
          <w:rtl w:val="true"/>
          <w:lang w:bidi="ar-SA"/>
        </w:rPr>
        <w:t>زاد،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ما ذا يُنْفِقُونَ‌</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نقل الطبري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العفو من أموال الناس وهو الفضل، وأمر بذلك قبل نزول الزكاة</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سُئل عبداللّه بن عمر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حقوقاً سوى ذلك، ونقل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المال حقّاً سوى الزكاة، وعن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المال حقّ سوى الزكاة</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وعلى ضوء ما ذكرنا، فلفظة الخمس وإن لم ترد في القرآن الكريم إلّامرة واحدة إلّاأن المضمون بشكل عام قد ورد في غير واحدة من الآيات المكية وحتّى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نقول إن من يدرس الموضوع على ضوء عقائده المسبقة لا يستطيع أن ينظر بواقعية وموضوعية للأدلّة التي ذكرناها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يدرس الموضوع بعيداً عن العصبية المذهبية والطائفية، فيكفيه قليل ممّا ذكرنا من الأدلّة على وجوب الخمس في الأرباح</w:t>
      </w:r>
      <w:r>
        <w:rPr>
          <w:rFonts w:eastAsia="Amiri" w:cs="Amiri" w:ascii="Amiri" w:hAnsi="Amiri"/>
          <w:color w:val="111111"/>
          <w:sz w:val="28"/>
          <w:szCs w:val="28"/>
          <w:rtl w:val="true"/>
          <w:lang w:bidi="ar-SA"/>
        </w:rPr>
        <w:t>.</w:t>
      </w:r>
      <w:bookmarkStart w:id="855" w:name="pg16780_177426"/>
    </w:p>
    <w:p>
      <w:pPr>
        <w:pStyle w:val="Heading5"/>
        <w:numPr>
          <w:ilvl w:val="4"/>
          <w:numId w:val="1"/>
        </w:numPr>
        <w:rPr/>
      </w:pPr>
      <w:bookmarkStart w:id="856" w:name="__RefHeading___Toc7190105_73709187"/>
      <w:bookmarkStart w:id="857" w:name="_Toc326"/>
      <w:bookmarkEnd w:id="855"/>
      <w:bookmarkEnd w:id="856"/>
      <w:r>
        <w:rPr>
          <w:rtl w:val="true"/>
        </w:rPr>
        <w:t>السابع</w:t>
      </w:r>
      <w:r>
        <w:rPr>
          <w:rtl w:val="true"/>
        </w:rPr>
        <w:t xml:space="preserve">: </w:t>
      </w:r>
      <w:r>
        <w:rPr>
          <w:rtl w:val="true"/>
        </w:rPr>
        <w:t>المقارنة بين الزكاة وخمس المكاسب</w:t>
      </w:r>
      <w:bookmarkEnd w:id="857"/>
    </w:p>
    <w:p>
      <w:pPr>
        <w:pStyle w:val="Heading6"/>
        <w:numPr>
          <w:ilvl w:val="5"/>
          <w:numId w:val="1"/>
        </w:numPr>
        <w:rPr/>
      </w:pPr>
      <w:bookmarkStart w:id="858" w:name="__RefHeading___Toc7190107_73709187"/>
      <w:bookmarkStart w:id="859" w:name="_Toc327"/>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يفرض على اغنيائنا ربع العشر من اموالهم أي من كل اربعين واحداً ومن كل مأة، اثنين ونصف إذا بلغت النصاب وهو ما يعادل عشرين مثقالاً من الذهب مرّة واحدة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يوجب على عباده في الأرباح والفوائد الخمس وهو يزيد على فريضة الزكاة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بلغ رأس ماله عشرين ديناراً يجب عليه دفع أربعة دنانير لأجل الخمس ونصف دينار لأجل الزكاة، فكيف فرض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القاطعة ولم يفرض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بل ولا يذكره ولو مرة واحدة مع أنّه اضخم منها واكبر اضعافاً مضاعفة‌؟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ذكر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ولكنه ذُكر الأكثر أيضاً بمثله، لما عرفت من انّ الآيات الدالة على تزكية الأموال آيات عامّة تشمل كل فريضة مالية ولا تختص بالزكاة بالمعنى الخاص على أن السنة النبوية وأحاديث العترة الطاهرة فرضت ذلك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نستعرض الخلط الّذي وقع فيه، حيث تصور أن فريضة الزكاة في الدينار أقل من فريضة الخمس، لأن الفريضة هناك وهنا ولكنه غفل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زكاة النقدين تُخرج قبل إخراج المؤونة السنويّة، بخلاف الخمس الّذي يتعلّق بما فضل عن المؤونة، وقد تضافر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فإخراج الأقل حسب فرضه واجب على من ملك النصاب سواء كان فقيراً أو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دائناً أو غير دائن، مالكاً لمؤونة سنته أو لا، بخلاف الخمس فإنّه يُخرج</w:t>
      </w:r>
      <w:bookmarkStart w:id="860" w:name="pg16780_177428"/>
    </w:p>
    <w:p>
      <w:pPr>
        <w:pStyle w:val="BookText"/>
        <w:rPr/>
      </w:pPr>
      <w:bookmarkEnd w:id="860"/>
      <w:r>
        <w:rPr>
          <w:rFonts w:ascii="Amiri" w:hAnsi="Amiri" w:eastAsia="Amiri" w:cs="Amiri"/>
          <w:color w:val="111111"/>
          <w:sz w:val="28"/>
          <w:sz w:val="28"/>
          <w:szCs w:val="28"/>
          <w:rtl w:val="true"/>
          <w:lang w:bidi="ar-SA"/>
        </w:rPr>
        <w:t>إذا لم يكن فقيراً، مالكاً لمؤونة سنة، غير 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الزكاة تتعلّق بالنقدين في كل عام مالم ينزل عن النصاب فلو ملك أربعين ديناراً فيجب عليه في كلّ سنة اعطاء من باب الزكاة حتّى ينزل عن النصاب ويصير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بخلاف الخمس فلو دفع ثمانية دنانير مرّة واحدة في العمر صار المال مُخمَّساً والمُخمَّس لا يُخمّس، فعندئذ تنعكس الأقلية والأكثرية، وترتفع فريضة الزكاة على فريضة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بشرط أن يكون المال جامعاً لشرائط وجوب الخمس بأن زاد على مؤونة سنة ولم يكن دائنا في نفس السنة إلى غير ذلك من الشروط</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7190109_73709187"/>
      <w:bookmarkStart w:id="862" w:name="_Toc328"/>
      <w:bookmarkEnd w:id="861"/>
      <w:r>
        <w:rPr>
          <w:rtl w:val="true"/>
        </w:rPr>
        <w:t>تمثيل باطل للمقارنة</w:t>
      </w:r>
      <w:r>
        <w:rPr>
          <w:rtl w:val="true"/>
        </w:rPr>
        <w:t>!!</w:t>
      </w:r>
      <w:bookmarkEnd w:id="862"/>
    </w:p>
    <w:p>
      <w:pPr>
        <w:pStyle w:val="BookText"/>
        <w:rPr/>
      </w:pPr>
      <w:r>
        <w:rPr>
          <w:rFonts w:ascii="Amiri" w:hAnsi="Amiri" w:eastAsia="Amiri" w:cs="Amiri"/>
          <w:color w:val="111111"/>
          <w:sz w:val="28"/>
          <w:sz w:val="28"/>
          <w:szCs w:val="28"/>
          <w:rtl w:val="true"/>
          <w:lang w:bidi="ar-SA"/>
        </w:rPr>
        <w:t>إن الكاتب حاول أن يكبّر فريضة الخمس ويصغر فريضة الزكاة في الكمية في الفقه الشيعي، فافترض مثالاً،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أن رجلاً يمتلك بيتاً وبستاناً وسيارة ومالاً على شكل نقد، فما مقدار الزكاة الواجبة عليه، وما مورد الخمس‌؟</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زكاة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إلّاعلى ثماره عند جنيها إذا بلغت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بالغة النصاب فلا زكاة عليها، والنصاب ما يعادل عشرين مثقال ذهب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رجلاً ملك هذه الأموال وبلغت نقوده مليون دينار، وحال عليه الحول، فيجب عليه خمسة وعشرون الف دينار هذا هو حال الزكاة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الخمس، لو فرضنا أن قيمة كل من البيت والبستان والسيارة ثلاثة ملايين وكان عند هذا الرجل قيمة النصاب مليون دينار، فيكون المجموع عشرة ملايين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خمسها في الفقه الشيعي يساوي مليونين أي ما يعادل الزكاة الواجبة عليه ثمانين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فقيه الأُمة وفقيه الإسلام وفقيه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العبقرية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 وفقه الإمامية‌؟ عجباً إنّه ينقض ويبرم، وهو لا يعرف أبجدية فقه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لا خمس عليه، لأنّه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خمس عليها لأنها من المؤونة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البستان، فلا خمس على رقبته إذا كان من محاويج الرجل ولا على ثماره إذا كانت كذلك، إلّاإذا فضلت عن مؤونة سنته ومؤونة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إلّانقوده التي فرضها مليون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فالخمس وإن كان يزيد على الزكاة في الظاهر، لكنه لا يزيد عليها في الواقع، إنْ لم يكن الأمر على العكس لما عرفت من أن الخمس يجب مرة واحدة في العمر، والزكاة في كل سنة حتّى ينزل المال عن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فالخمس في مليون دينار يكون مئتي الف دينار بشروطه، ولكن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يجب عليه كل سنة إعطاء من النقد الموجود حتّى لا يبقى منه إلّا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إلى </w:t>
      </w:r>
      <w:r>
        <w:rPr>
          <w:rFonts w:eastAsia="Amiri" w:cs="Amiri" w:ascii="Amiri" w:hAnsi="Amiri"/>
          <w:color w:val="111111"/>
          <w:sz w:val="28"/>
          <w:szCs w:val="28"/>
          <w:lang w:bidi="ar-SA"/>
        </w:rPr>
        <w:t>981,000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على مرّ السنين، وعند ذلك تنعكس القضية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ما ذكره إطاحة بالوحي فإن المسلم من يسلّم الأمر إلى اللّه سبحانه،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w:t>
      </w:r>
    </w:p>
    <w:p>
      <w:pPr>
        <w:pStyle w:val="BookText"/>
        <w:rPr/>
      </w:pPr>
      <w:r>
        <w:rPr>
          <w:rFonts w:ascii="Amiri" w:hAnsi="Amiri" w:eastAsia="Amiri" w:cs="Amiri"/>
          <w:color w:val="111111"/>
          <w:sz w:val="28"/>
          <w:sz w:val="28"/>
          <w:szCs w:val="28"/>
          <w:rtl w:val="true"/>
          <w:lang w:bidi="ar-SA"/>
        </w:rPr>
        <w:t>اَللّهِ وَ رَسُولِهِ وَ 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وان الإسلام هو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فأنّى لعقولنا ادراك الملاكات الشرعية والمصالح والمفاسد، حتّى نمشي على ضوئها، ويصبح الخمس فريضة باهظة والزكاة فريضة عادلة في مقياسنا نحن‌؟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مواقع خطئه في المقارنة بين الزكاة والخمس ومع ذلك، ولأجل المقارنة بين الزكاة والخمس في الفقه الشيعي رسم الكاتب جدولاً على حسب الاخطاء الماضية وها نحن نأتي بجدوله الخاطئ ثم نردفه بالجدول الصحيح حتّى تتميز مواضع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جدول الكاتب</w:t>
      </w:r>
      <w:r>
        <w:rPr>
          <w:rFonts w:eastAsia="Amiri" w:cs="Amiri" w:ascii="Amiri" w:hAnsi="Amiri"/>
          <w:color w:val="111111"/>
          <w:sz w:val="28"/>
          <w:szCs w:val="28"/>
          <w:rtl w:val="true"/>
          <w:lang w:bidi="ar-SA"/>
        </w:rPr>
        <w:t>:</w:t>
      </w:r>
      <w:bookmarkStart w:id="863" w:name="pg16780_177435"/>
    </w:p>
    <w:p>
      <w:pPr>
        <w:pStyle w:val="BookText"/>
        <w:rPr/>
      </w:pPr>
      <w:bookmarkEnd w:id="863"/>
      <w:r>
        <w:rPr>
          <w:rFonts w:ascii="Amiri" w:hAnsi="Amiri" w:eastAsia="Amiri" w:cs="Amiri"/>
          <w:color w:val="111111"/>
          <w:sz w:val="28"/>
          <w:sz w:val="28"/>
          <w:szCs w:val="28"/>
          <w:rtl w:val="true"/>
          <w:lang w:bidi="ar-SA"/>
        </w:rPr>
        <w:t>وإليك مواضع الخطأ في الجدول المذكور، الّذي لا يعكس الرأي الشيعي في بابي الزكاة والخمس</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7190111_73709187"/>
      <w:bookmarkStart w:id="865" w:name="_Toc329"/>
      <w:bookmarkEnd w:id="864"/>
      <w:r>
        <w:rPr>
          <w:rtl w:val="true"/>
        </w:rPr>
        <w:t xml:space="preserve">أخطاؤه حول </w:t>
      </w:r>
      <w:r>
        <w:rPr>
          <w:rtl w:val="true"/>
        </w:rPr>
        <w:t>«</w:t>
      </w:r>
      <w:r>
        <w:rPr>
          <w:rtl w:val="true"/>
        </w:rPr>
        <w:t>الزكاة</w:t>
      </w:r>
      <w:r>
        <w:rPr>
          <w:rtl w:val="true"/>
        </w:rPr>
        <w:t xml:space="preserve">» </w:t>
      </w:r>
      <w:r>
        <w:rPr>
          <w:rtl w:val="true"/>
        </w:rPr>
        <w:t>في الفقه الشيعي</w:t>
      </w:r>
      <w:bookmarkEnd w:id="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لها حوَلان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صحيح في زكاة الأنعام والنقدين، وأما المستخرج من الأرض كالمعادن والكنز والغلات، فلا يشترط فيها حولان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الاغنياء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الاغنياء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تعلقت به الزكاة خصوصاً فيما لا يشترط فيه حَوَلان الحول يجب عليه اخراجها، وإن كان فقيراً في آخر السنة، ويعيش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فيها إلّالمحتاج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فيها لمحتاج إلّافي المؤلفة قلوبهم فلا يشترط فيهم الفقر، لأن الغاية من إعطائهم، هي تأليف قلوبه، ودَرْء شرّهم عن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لا يهتمّ بها، مع أن اللّه أكد عليها كل هذا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 بها عبر الأعصار، ومانسبه إلى الإمامية افتراء عليهم، فإن الفقهاء يذكرون الزكاة إلى جانب الخمس، ولا تجد كتاباً فقهياً يُذكر فيه الخمس دون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العناية الخارجية، فإن الناس يُسلِّمون أطيب أموالهم إلى الفقهاء من دون أن يكون هناك جهاز إدراي أو ضغط خارجي يجبر الناس على دفع الفرائض المالية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ننسى أنّه كان في بعض البلاد جهاز خاص لجمع الزكوات</w:t>
      </w:r>
      <w:bookmarkStart w:id="866" w:name="pg16780_177437"/>
    </w:p>
    <w:p>
      <w:pPr>
        <w:pStyle w:val="BookText"/>
        <w:rPr/>
      </w:pPr>
      <w:bookmarkEnd w:id="866"/>
      <w:r>
        <w:rPr>
          <w:rFonts w:ascii="Amiri" w:hAnsi="Amiri" w:eastAsia="Amiri" w:cs="Amiri"/>
          <w:color w:val="111111"/>
          <w:sz w:val="28"/>
          <w:sz w:val="28"/>
          <w:szCs w:val="28"/>
          <w:rtl w:val="true"/>
          <w:lang w:bidi="ar-SA"/>
        </w:rPr>
        <w:t>وإيصالها إلى أهلها، وفي هذا الإطار قام الشيخ علي أكبر الاردبيلي</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الإسلامي في تلك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جهاز لجمع الزكوات، تأديةً لواجبه الشرعي</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7190113_73709187"/>
      <w:bookmarkStart w:id="868" w:name="_Toc330"/>
      <w:bookmarkEnd w:id="867"/>
      <w:r>
        <w:rPr>
          <w:rtl w:val="true"/>
        </w:rPr>
        <w:t xml:space="preserve">أخطاؤه حول </w:t>
      </w:r>
      <w:r>
        <w:rPr>
          <w:rtl w:val="true"/>
        </w:rPr>
        <w:t>«</w:t>
      </w:r>
      <w:r>
        <w:rPr>
          <w:rtl w:val="true"/>
        </w:rPr>
        <w:t>الخمس</w:t>
      </w:r>
      <w:r>
        <w:rPr>
          <w:rtl w:val="true"/>
        </w:rPr>
        <w:t xml:space="preserve">» </w:t>
      </w:r>
      <w:r>
        <w:rPr>
          <w:rtl w:val="true"/>
        </w:rPr>
        <w:t>في الفقه الشيعي</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نصاب إلّافي الكنز والمعدن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لوجود النصاب في الغوص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الأصناف حتّى الهدايا والمسكن والأثاث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صحيح لعدم تعلق الخمس بالمسكن والاثاث لأن الجميع من المؤونة، والخمس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الهدايا فإنّما يجب فيها الخمس عند البعض إذا كانت خطرة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مكاسب الأغنياء والفقراء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زلأته إذ لم يقل أحد بتعلق الخمس بالفقير، وإنّما يجب الخمس على من يملك مؤونة سنته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لصنف واحد وهم الفقراء أو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واضح لأن الخمس يصنف إلى صنفين، والفقيه يؤمِّن عَيلة السادات، وربّما يصل إليهم أكثر ممّا يصل إلى الصنف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للفقيه أو السيد بغض النظر عن كونه محتاجاً أو لا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زلة واضحة، فأما الفقيه فيعطى له بما أنّه زعيم الشيعة وإليه يرجع المحتاجون من عامة الناس، وأما السيد فإنّما يعطى له إذا كان محتاجاً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ذكره ابداً في القرآن الكريم، اللهم إلّاخمس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لِما قلنا من عدم اقتصار الخُمس الوارد في الآية الكريمة على الغنائم، ولوروده بمحتواه لا بلفظه في الآيات الدالة على لزوم تزكية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عليه تأكيداً بالغاً مع ان اللّه أهمله ولم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قد ذكره في كتابه وأكدت عليه أحاديث الرسول صلى الله عليه و آله و سلم وأئمة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أخطاؤه في الجدول الّذي رسمه لبيان موقف الفقه الشيعي من الزكاة والخمس، وقد عرفت أنّه أخطأ في كلا الموردين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ولإيقاف القارئ على ما هو الصحيح عند الشيعة فلينظر إلى الجدول التالي</w:t>
      </w:r>
      <w:r>
        <w:rPr>
          <w:rFonts w:eastAsia="Amiri" w:cs="Amiri" w:ascii="Amiri" w:hAnsi="Amiri"/>
          <w:color w:val="111111"/>
          <w:sz w:val="28"/>
          <w:szCs w:val="28"/>
          <w:rtl w:val="true"/>
          <w:lang w:bidi="ar-SA"/>
        </w:rPr>
        <w:t>:</w:t>
      </w:r>
      <w:bookmarkStart w:id="869" w:name="pg16780_177442"/>
    </w:p>
    <w:p>
      <w:pPr>
        <w:pStyle w:val="BookText"/>
        <w:rPr/>
      </w:pPr>
      <w:bookmarkEnd w:id="869"/>
      <w:r>
        <w:rPr>
          <w:rFonts w:ascii="Amiri" w:hAnsi="Amiri" w:eastAsia="Amiri" w:cs="Amiri"/>
          <w:color w:val="111111"/>
          <w:sz w:val="28"/>
          <w:sz w:val="28"/>
          <w:szCs w:val="28"/>
          <w:rtl w:val="true"/>
          <w:lang w:bidi="ar-SA"/>
        </w:rPr>
        <w:t>وأنت أيها القارئ الكريم إذا قارنت هذا الجدول الّذي عليه فقه الشيعة مع ما رسمه الكاتب ترى فرقاً شاسعاً بينهما، وبذلك يتبين ان أكثر انطباعاته عن الروايات وأقوال العلماء، مبنيٌّ على رأي مسبق يحفزه إلى تفسير الآيات والروايات بما يعتقده ويهتمّ به</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7190115_73709187"/>
      <w:bookmarkStart w:id="871" w:name="_Toc331"/>
      <w:bookmarkEnd w:id="870"/>
      <w:r>
        <w:rPr>
          <w:rtl w:val="true"/>
        </w:rPr>
        <w:t>الأمر الثامن</w:t>
      </w:r>
      <w:r>
        <w:rPr>
          <w:rtl w:val="true"/>
        </w:rPr>
        <w:t xml:space="preserve">: </w:t>
      </w:r>
      <w:r>
        <w:rPr>
          <w:rtl w:val="true"/>
        </w:rPr>
        <w:t>الخمس سياسة يوسفية لا فرعونية</w:t>
      </w:r>
      <w:r>
        <w:rPr>
          <w:rtl w:val="true"/>
        </w:rPr>
        <w:t>!</w:t>
      </w:r>
      <w:bookmarkEnd w:id="871"/>
    </w:p>
    <w:p>
      <w:pPr>
        <w:pStyle w:val="BookText"/>
        <w:rPr/>
      </w:pPr>
      <w:r>
        <w:rPr>
          <w:rFonts w:ascii="Amiri" w:hAnsi="Amiri" w:eastAsia="Amiri" w:cs="Amiri"/>
          <w:color w:val="111111"/>
          <w:sz w:val="28"/>
          <w:sz w:val="28"/>
          <w:szCs w:val="28"/>
          <w:rtl w:val="true"/>
          <w:lang w:bidi="ar-SA"/>
        </w:rPr>
        <w:t>إن آخر ما كان في كنانة الكاتب من السهام المسمومة، تشبيه الخمس بالسياسة الفرعونية،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الكتاب المقدس، فاشترى يوسف جميع أراضي المصرييّن لفرعون، لأن المصريين باعوا كل واحد منهم حقله لأن المجاعة اشتدت عليهم فصارت الأرض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الشعب فاستعبده من أقصى حدود مصر إلى أقصاها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يوسف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اشتريتكم اليوم أنتم وأراضيكم لفرعون فخذوا لكم بذراً تزرعونه في الأرض، فإذا خرجت الغلال تعطون منها الخمس لفرعون والأربعة أخماس تكون لكم بذراً للحقول، وطعاماً لكم، ولأهل منازلكم، وطعاماً لعيالكم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أحييتنا، فلْتَنَل حُظَوة في عيني سيدنا ونكون عبيداً لفرعون، فجعل يوسف ذلك فريضة على أرض مصر إلى هذا اليوم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هذا نص التوراة في سفر التكوين ثم إن المؤلف بعد ذكر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الاختلاف بين الموجود في التوراة وما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على طاغوتيته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يستحل أخذ الخمس من مكاسب شعبه إلّابعد أن اشتراهم واشترى أراضيهم فصاروا عبيداً له وصارت أراضيهم ملكاً له، فحينما أخذ الخمس عاملهم معاملة السيد مع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الخمس في شريعة فرعون لا يؤديه إلّاالعبد المملوك تجاه السيد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شريعة فرعون أرحم وأرقى نظرة إلى الإنسان من شريعة محمد صلى الله عليه و آله و سلم السماوية التي حرّرت البشرية من قيود العبودية</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جاء في التوراة وصحّ الاستناد إليه في القضاء، فإنّ الإشكال يعود على فقهاء السنَّة، لإيجابهم الخمس في المعدن والكنز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الركاز الخمس</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والركاز يشمل الكنز والمعدن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تعاملت الشريعة المحمدية مع أصحاب المعادن والكنوز معاملة السيد والعبد، مع ان تلك الشريعة قد حررت البشرية من الظلم وقيود العبودية‌؟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السياسة التي ذكرتها التوراة تنسبها إلى يوسف لا إلى فرعون، وإن القائم بذلك هو يوسف النبي المعصوم عليه السلام الّذي اشترى رضا اللّه تبارك وتعالى بالزَّجّ في السجن بضع سنين، فهل يعمل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الطاغية أو لصالح الشعب‌؟</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والكاتب لم يمعن النظر في هذه السياسة اليوسفية التي تحدّثت عنها التوراة، فإنّه عليه السلام لم يتمكّن من توزيع ما عنده من الغلات على الناس مجاناً وبلا</w:t>
      </w:r>
    </w:p>
    <w:p>
      <w:pPr>
        <w:pStyle w:val="BookText"/>
        <w:rPr/>
      </w:pPr>
      <w:r>
        <w:rPr>
          <w:rFonts w:ascii="Amiri" w:hAnsi="Amiri" w:eastAsia="Amiri" w:cs="Amiri"/>
          <w:color w:val="111111"/>
          <w:sz w:val="28"/>
          <w:sz w:val="28"/>
          <w:szCs w:val="28"/>
          <w:rtl w:val="true"/>
          <w:lang w:bidi="ar-SA"/>
        </w:rPr>
        <w:t>مقابل، ولذا قام بتوزيعها مقابل النقود، وبعد أن نفدت النقود التجأ إلى توزيعها مقابل أراضيهم، ثم بعد ان نفدت قام ببيعها عليهم مقابل استعبادهم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اتبع عليه السلام هذه السياسة حتّى ينجي الشعب من المجاعة التي عمّت أراضي مصر، وقد استطاع بهذه السياسة إرجاع أراضيهم إليهم وتمليكها لهم مع الاحتفاظ بأربعة أخماس غلّاتها، في مقابل إعطاء الخمس لخزانة فرعون، وكانت هذه سياسة إلهية لكي يصبحوا مالكين لأراضيهم وتعود سيادتهم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أداء الخمس ليس علامة لكون المعطي عبداً والآخذ سيداً، وإنّما وضعت هذه الضريبة في هذه الظروف القاسية، إذ لم يمكن هناك حَلٌّ للمشكلة إلّاباتباع هذه الطريقة التي ابتكرها يوسف عليه السلام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فالكاتب بدل أن ينسب هذه السياسة إلى يوسف، قد نسبها إلى فرعون حتّى يصوِّر في ذهن القارئ أن الخمس ضريبة فرعونية ظالمة</w:t>
      </w:r>
      <w:r>
        <w:rPr>
          <w:rFonts w:eastAsia="Amiri" w:cs="Amiri" w:ascii="Amiri" w:hAnsi="Amiri"/>
          <w:color w:val="111111"/>
          <w:sz w:val="28"/>
          <w:szCs w:val="28"/>
          <w:rtl w:val="true"/>
          <w:lang w:bidi="ar-SA"/>
        </w:rPr>
        <w:t>.</w:t>
      </w:r>
      <w:bookmarkStart w:id="872" w:name="pg16780_177448"/>
    </w:p>
    <w:p>
      <w:pPr>
        <w:pStyle w:val="Heading5"/>
        <w:numPr>
          <w:ilvl w:val="4"/>
          <w:numId w:val="1"/>
        </w:numPr>
        <w:rPr/>
      </w:pPr>
      <w:bookmarkStart w:id="873" w:name="__RefHeading___Toc7190117_73709187"/>
      <w:bookmarkStart w:id="874" w:name="_Toc332"/>
      <w:bookmarkEnd w:id="872"/>
      <w:bookmarkEnd w:id="873"/>
      <w:r>
        <w:rPr>
          <w:rtl w:val="true"/>
        </w:rPr>
        <w:t>الخاتمة أسئلة وأجوبة</w:t>
      </w:r>
      <w:bookmarkEnd w:id="874"/>
    </w:p>
    <w:p>
      <w:pPr>
        <w:pStyle w:val="BookText"/>
        <w:rPr/>
      </w:pPr>
      <w:r>
        <w:rPr>
          <w:rFonts w:ascii="Amiri" w:hAnsi="Amiri" w:eastAsia="Amiri" w:cs="Amiri"/>
          <w:color w:val="111111"/>
          <w:sz w:val="28"/>
          <w:sz w:val="28"/>
          <w:szCs w:val="28"/>
          <w:rtl w:val="true"/>
          <w:lang w:bidi="ar-SA"/>
        </w:rPr>
        <w:t>عقد المؤلف فصلاً خاصاً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المكاسب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فيه 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ما يستحق منها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بأن الخمس من حق ذرية أهل البيت عليهم السلام وأقارب النبي صلى الله عليه و آله و سلم يوجب على من يستلم هذه الأموال أن يقوم بعمل إحصائية في كل حي من الأحياء ممن يسكنه ممن ينتسب إلى أهل البيت عليهم السلام، لا سيما الفقراء منهم من أجل تقسيم الخمس عليهم، وليس ذلك بمستحيل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اقترحه من القيام بعمل إحصائي كان أمراً رائجاً في القرون الإسلامية الأُولى، وكان للطالبيين نقابة خاصة، وقد تولّى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النقابة لمدة تزيد على العشرين سنة، ثم تولّاها أخوه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النقابة إلى عصر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سقطت الخلافة العباسية على يد هولاكو، وجاء دور الملوك انخفض دور النقابة بشكل واضح، وعلى الرغم من ذلك ففي كل بلد من بلدان الشيعة يوجد علماء يرجع إليهم السادة الفقراء في أخذ حقوقهم ونصيبهم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الكاتب يصف الخمس بأنّه سياسة فرعونية ثم يأتي هنا بوضع برنامج لتوزيعه على مستحقيه، فهل هناك أكثر شناعة من هذا التناقض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المشاهد أن كل مجتهد يحق له استلام الخمس دون النظر</w:t>
      </w:r>
    </w:p>
    <w:p>
      <w:pPr>
        <w:pStyle w:val="BookText"/>
        <w:rPr/>
      </w:pPr>
      <w:r>
        <w:rPr>
          <w:rFonts w:ascii="Amiri" w:hAnsi="Amiri" w:eastAsia="Amiri" w:cs="Amiri"/>
          <w:color w:val="111111"/>
          <w:sz w:val="28"/>
          <w:sz w:val="28"/>
          <w:szCs w:val="28"/>
          <w:rtl w:val="true"/>
          <w:lang w:bidi="ar-SA"/>
        </w:rPr>
        <w:t xml:space="preserve">إلى كونه ينتمي إلى بيت النبي صلى الله عليه و آله و سلم أم لا، بل دون النظر حتّى في كونه عربياً أم اعجمياً، مع أن نص الآية يذكر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حق يكون له نصيب فيه‌؟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يعرب عن عدم إلمامه بالفقه الشيعي، لما ذكرنا من أن الخمس يقسم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 يُصرف في فقراء آل البيت ومساكينهم وأبناء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للّه وللرسول صلى الله عليه و آله و سلم ولذوي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إلى الإمام في عصر الحضور، وإلى نائبه في عصر الغيبة، وبذلك يظهر لك ضعف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النظر في كونه عربياً أم أعجمياً، وكأن العربية شرط للنيابة، والأعجمية مانعة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وافحش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 الآية يذكر قيد ذي القربى لا ذي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 سبحانه يقول الأوّل دون الثاني ولكن غيبة ذي القربى سببت لان يقوم مقامه ذو الفتوى وهو المجتهد الجامع للشرائط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الفقهاء في زمان الخليفة الراشد علي عليه السلام في المناطق البعيدة كالحجاز ومصر وخراسان يأخذون خمس مكاسب الناس في تلك الامصار باعتبارهم نواباً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النبي صلى الله عليه و آله و سلم قد ركز على دفع الخمس من المغنم والغنيمة، وقد تبيّن أن المراد ليس الغنائم المأخوذة من الكفار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أخذ الخمس في عصر الخليفة الراشد عليه السلام إذا صحّ‌، وأيّده الدليل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الكاتب لم يذكر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ذلك لأجل أن الخلفاء قبله قد أسقطوا سهم اللّه ورسوله وسهم ذي القربى من خمس الغنائم، وبذلك خالفوا</w:t>
      </w:r>
    </w:p>
    <w:p>
      <w:pPr>
        <w:pStyle w:val="BookText"/>
        <w:rPr/>
      </w:pPr>
      <w:r>
        <w:rPr>
          <w:rFonts w:ascii="Amiri" w:hAnsi="Amiri" w:eastAsia="Amiri" w:cs="Amiri"/>
          <w:color w:val="111111"/>
          <w:sz w:val="28"/>
          <w:sz w:val="28"/>
          <w:szCs w:val="28"/>
          <w:rtl w:val="true"/>
          <w:lang w:bidi="ar-SA"/>
        </w:rPr>
        <w:t>الكتاب العزيز، أفيمكن بعد ذلك إلزام الناس بدفع الخمس من أرباح المكاسب وغيرها؟</w:t>
      </w:r>
    </w:p>
    <w:p>
      <w:pPr>
        <w:pStyle w:val="BookText"/>
        <w:rPr/>
      </w:pPr>
      <w:r>
        <w:rPr>
          <w:rFonts w:ascii="Amiri" w:hAnsi="Amiri" w:eastAsia="Amiri" w:cs="Amiri"/>
          <w:color w:val="111111"/>
          <w:sz w:val="28"/>
          <w:sz w:val="28"/>
          <w:szCs w:val="28"/>
          <w:rtl w:val="true"/>
          <w:lang w:bidi="ar-SA"/>
        </w:rPr>
        <w:t>ولكنك عرفت وجود جهاز مالي لأئمة أهل البيت عليهم السلام يستلمون الخمس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المقلد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الفقيه، فلمن يعطي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من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أعجمياً ليس بعربي‌؟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نمر على هذا السؤال وعلى ما يتبعه من أسئلة تنبع عن حقده على العلماء، وبالأخص إذا كانوا غير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عصبية جاهلية لا تمتّ للإسلام بصلة، وأنا أضمنّ بوقتي وبأوراقي من أن أقوم بالاجابة على هذه الأسئلة، الّتي منها افتراءات على الفقهاء والعلماء، واللّه سبحانه يؤاخذه بها ويحاسبه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نجعجع بالقلم عن الإفاضة في مناقشة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الطاهرين ومن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75" w:name="pg16780_177455"/>
    </w:p>
    <w:p>
      <w:pPr>
        <w:pStyle w:val="Heading3"/>
        <w:numPr>
          <w:ilvl w:val="2"/>
          <w:numId w:val="1"/>
        </w:numPr>
        <w:rPr/>
      </w:pPr>
      <w:bookmarkStart w:id="876" w:name="__RefHeading___Toc7190119_73709187"/>
      <w:bookmarkStart w:id="877" w:name="_Toc333"/>
      <w:bookmarkEnd w:id="875"/>
      <w:bookmarkEnd w:id="876"/>
      <w:r>
        <w:rPr/>
        <w:t>3</w:t>
      </w:r>
      <w:r>
        <w:rPr>
          <w:rtl w:val="true"/>
        </w:rPr>
        <w:t xml:space="preserve"> </w:t>
      </w:r>
      <w:r>
        <w:rPr>
          <w:rtl w:val="true"/>
        </w:rPr>
        <w:t>رسالة حول توسعة المسعى‌</w:t>
      </w:r>
      <w:bookmarkEnd w:id="877"/>
    </w:p>
    <w:p>
      <w:pPr>
        <w:pStyle w:val="Heading4"/>
        <w:numPr>
          <w:ilvl w:val="3"/>
          <w:numId w:val="1"/>
        </w:numPr>
        <w:rPr/>
      </w:pPr>
      <w:bookmarkStart w:id="878" w:name="__RefHeading___Toc7190121_73709187"/>
      <w:bookmarkStart w:id="879" w:name="_Toc334"/>
      <w:bookmarkEnd w:id="878"/>
      <w:r>
        <w:rPr>
          <w:rtl w:val="true"/>
        </w:rPr>
        <w:t>اشارة</w:t>
      </w:r>
      <w:bookmarkEnd w:id="87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فقهية، تاريخية، وبيئية تبحث عن مشروعية أعمال التوسعة الجارية في الوقت الحاضر للمسعى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وصلت الأخبار بأنّ الحكومة السعودية بصدد توسعة المسعى من الجانب الشرقي فقمنا بتأليف هذه الرسالة لبيان حكم هذه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bookmarkStart w:id="880" w:name="pg16780_177459"/>
    </w:p>
    <w:p>
      <w:pPr>
        <w:pStyle w:val="Heading4"/>
        <w:numPr>
          <w:ilvl w:val="3"/>
          <w:numId w:val="1"/>
        </w:numPr>
        <w:rPr/>
      </w:pPr>
      <w:bookmarkStart w:id="881" w:name="__RefHeading___Toc7190123_73709187"/>
      <w:bookmarkStart w:id="882" w:name="_Toc335"/>
      <w:bookmarkEnd w:id="880"/>
      <w:bookmarkEnd w:id="881"/>
      <w:r>
        <w:rPr>
          <w:rtl w:val="true"/>
        </w:rPr>
        <w:t>رسالة حول توسعة المسعى</w:t>
      </w:r>
      <w:bookmarkEnd w:id="882"/>
    </w:p>
    <w:p>
      <w:pPr>
        <w:pStyle w:val="BookText"/>
        <w:rPr/>
      </w:pPr>
      <w:r>
        <w:rPr>
          <w:rFonts w:ascii="Amiri" w:hAnsi="Amiri" w:eastAsia="Amiri" w:cs="Amiri"/>
          <w:color w:val="111111"/>
          <w:sz w:val="28"/>
          <w:sz w:val="28"/>
          <w:szCs w:val="28"/>
          <w:rtl w:val="true"/>
          <w:lang w:bidi="ar-SA"/>
        </w:rPr>
        <w:t>السعي أحد أركان العمرة والحج، فعلى المعتمر أو الحاج إذا فرغا من الطواف إتيان المسعى والسعي فيه على سبعة أشواط مبتدئاً من الصفا ومختتماً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جبلان معروفان؛ فالصفا جزء من جبل أبي قبيس، والمروة جزء من جبل قعيقعان</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وقد خصّ اللّه سبحانه المبدأ والمنتهى بعلامتين طبيعيتين غير متغيّرتين عبر العصور والقرون، لكي لا يطرأ التغيير على تلك الفريضة، من جهة المبدأ والمنتهى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القاضي محمد بن أحمد بن علي الحسني الفاسي نزيل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 المسعى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وخمسة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المواضع عشرة أمتار وفي البعض الآخر اثنا عشر متراً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هذا ما ذكره الفاسي حسب ما نقله عنه رفعت باشا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زار مكة بين 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الوقت الحاضر فإنّ عرضه يبلغ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ويبلغ طوله من الداخل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وأمّا ارتفاع الطبقة الأُولى فهو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والطبقة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ولعلّ الاختلاف في العرض نشأ بسبب إزالة المحلات والبيوت الّتي كانت موجودة على الجانب الشرقي للمسعى، والّتي كنت قد</w:t>
      </w:r>
    </w:p>
    <w:p>
      <w:pPr>
        <w:pStyle w:val="BookText"/>
        <w:rPr/>
      </w:pPr>
      <w:r>
        <w:rPr>
          <w:rFonts w:ascii="Amiri" w:hAnsi="Amiri" w:eastAsia="Amiri" w:cs="Amiri"/>
          <w:color w:val="111111"/>
          <w:sz w:val="28"/>
          <w:sz w:val="28"/>
          <w:szCs w:val="28"/>
          <w:rtl w:val="true"/>
          <w:lang w:bidi="ar-SA"/>
        </w:rPr>
        <w:t xml:space="preserve">شاهدتها مقفلة أيام موسم الحجّ عند تشرّفنا بزيارة بيت اللّه الحرام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أنّه لم يطرأ على المسعى أيّ تطور في جانب الطول، لما عرفت من أنّ الجبلين الشامخين ثابتين في مكانهما، إنّما الكلام في جانب العرض فهل المسعى في عصر الرسول كان محدوداً بهذا العرض المعيّن، أو كان أوسع من الموجود حالياً؟</w:t>
      </w:r>
    </w:p>
    <w:p>
      <w:pPr>
        <w:pStyle w:val="BookText"/>
        <w:rPr/>
      </w:pPr>
      <w:r>
        <w:rPr>
          <w:rFonts w:ascii="Amiri" w:hAnsi="Amiri" w:eastAsia="Amiri" w:cs="Amiri"/>
          <w:color w:val="111111"/>
          <w:sz w:val="28"/>
          <w:sz w:val="28"/>
          <w:szCs w:val="28"/>
          <w:rtl w:val="true"/>
          <w:lang w:bidi="ar-SA"/>
        </w:rPr>
        <w:t>وهذا ما يطلب لنفسه التتبع الواسع وجمع القرائن على دعم أحد الاحتمالين، خصوصاً أنّ الحجّاج في كثرة وازدياد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فتسهيل الأمر من جانب وبيان الحكم الشرعي من جانب آخر يستدعيان البحث والتتبّع والتحقيق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ما وقفنا عليه من خصوصيات المسعى في العصور السابقة، فهذا هو أبو الوليد محمد بن عبداللّه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عام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لنا كيفية المسعى في ذلك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ذُرع ما بين الركن الأسود إلى الصفا فصار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ذُرع ما بين المقام إلى باب المسجد الّذي يخرج منه إلى الصفا فكان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وذُرع ما بين باب المسجد الّذي يخرج منه إلى الصفا إلى وسط الصفا، فكان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وذُرع ما بين العلم الذي على باب المسجد إلى المروة فكان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وذُرع ما بين الصفا والمروة فكان </w:t>
      </w:r>
      <w:r>
        <w:rPr>
          <w:rFonts w:eastAsia="Amiri" w:cs="Amiri" w:ascii="Amiri" w:hAnsi="Amiri"/>
          <w:color w:val="111111"/>
          <w:sz w:val="28"/>
          <w:szCs w:val="28"/>
          <w:lang w:bidi="ar-SA"/>
        </w:rPr>
        <w:t>766/5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وذُرع ما بين العلم الّذي على باب المسجد إلى العلم الّذي بحذائه على</w:t>
      </w:r>
    </w:p>
    <w:p>
      <w:pPr>
        <w:pStyle w:val="BookText"/>
        <w:rPr/>
      </w:pPr>
      <w:r>
        <w:rPr>
          <w:rFonts w:ascii="Amiri" w:hAnsi="Amiri" w:eastAsia="Amiri" w:cs="Amiri"/>
          <w:color w:val="111111"/>
          <w:sz w:val="28"/>
          <w:sz w:val="28"/>
          <w:szCs w:val="28"/>
          <w:rtl w:val="true"/>
          <w:lang w:bidi="ar-SA"/>
        </w:rPr>
        <w:t xml:space="preserve">باب دار العباس بن عبد المطلب وبينهما عرض المسعى فكان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وفي حاشية البجيرمي ما يقرب ممّا ذكره الأزرقي فقد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المسافة بين الصفا والمروة بذراع الآدميّ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وكان عرض المسعى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فأدخلوا بعضه في المسجد</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وهذان القولان لا يختلفان إلاّ في نصف الذراع في طول المسعى وعرضه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كلمات المؤرّخين أنّه حصل التغيير في أيام المهدي العباسي 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قال القطبي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المكان الّذي يُسعى فيه الآن فلا يتحقّق أنّه بعض من المسعى الّذي سعى فيه رسول اللّه صلى الله عليه و آله و سلم أو غيره، وقد حوّل عن محلّه كما ذكره الثقات</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جماعة من المؤرّخين حصول التغيير في المسعى في أيام المهدي العباسي وأيام الجراكسة على وجه يقتضي دخول المسعى في المسجد الحرام، وانّ هذا الموجود الآن مسعى مستجدّ، ومن هنا أشكل الحال على بعض الناس باعتبار عدم إجزاء السعي في غير الوادي الذي سعى فيه رسول اللّه صلى الله عليه و آله و سلم، كما أنّه أُشكل عليه إلحاق أحكام المسجد لما دخل منه فيه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العمل المستمر من سائر الناس في جميع هذه الأعصار يقتضي خلافه، ويمكن أن يكون المسعى عريضاً قد أدخلوا بعضه وأبقوا بعضه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وحاصل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التضييق قد حصل في جهة المسجد لا في الجهة الأُخرى بمعنى أنّ الساعي إذا وقف على الصفا متجهاً إلى المروة فإنّ المسجد الحرام يقع على يساره، وأمّا الجانب الشرقي فعلى يمينه، فالتغيير الّذي طرأ فإنّما طرأ على جانبه الأيسر فدخل جزء من المسعى في المسجد، وأمّا الجانب الآخر فلم يُعلم حدوث أي تغيير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مفاد ما رواه الشيخ عن معاوية بن عمّار، عن أبي عبد اللّه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انحدر ماشياً وعليك السكينة والوقار حتّى تأتي المنارة، وهي طرف المسعى، فاسع ملء فروجك،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وارحم واعف عمّا تعلم إنّك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المسعى أوسع ممّا هو اليوم، ولكن الناس ضيّقوه</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والبحراني</w:t>
      </w:r>
      <w:r>
        <w:rPr>
          <w:rStyle w:val="FootnoteAnchor"/>
          <w:rtl w:val="true"/>
        </w:rPr>
        <w:footnoteReference w:id="887"/>
      </w:r>
      <w:r>
        <w:rPr>
          <w:rFonts w:ascii="Amiri" w:hAnsi="Amiri" w:eastAsia="Amiri" w:cs="Amiri"/>
          <w:color w:val="111111"/>
          <w:sz w:val="28"/>
          <w:sz w:val="28"/>
          <w:szCs w:val="28"/>
          <w:rtl w:val="true"/>
          <w:lang w:bidi="ar-SA"/>
        </w:rPr>
        <w:t>، وصاحب الرياض</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يعلّقوا على الحديث بشيء إلاّ البحراني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الأخبار أنّ الأمر أوسع من ذلك، فإنّ السعي على الإبل الّذي دلت عليه الأخبار، وأنّ النبيّ صلى الله عليه و آله و سلم كان يسعى على ناقته لا يتّفق فيه هذا التضييق، من جعل عقبه يلصقه بالصفا في الابتداء وأصابعه يلصقها بالصفا موضع العقب بعد العود، فضلاً عن ركوب الدرج، بل يكفي فيه الأمر العرفي، فإنّه يصدق</w:t>
      </w:r>
    </w:p>
    <w:p>
      <w:pPr>
        <w:pStyle w:val="BookText"/>
        <w:rPr/>
      </w:pPr>
      <w:r>
        <w:rPr>
          <w:rFonts w:ascii="Amiri" w:hAnsi="Amiri" w:eastAsia="Amiri" w:cs="Amiri"/>
          <w:color w:val="111111"/>
          <w:sz w:val="28"/>
          <w:sz w:val="28"/>
          <w:szCs w:val="28"/>
          <w:rtl w:val="true"/>
          <w:lang w:bidi="ar-SA"/>
        </w:rPr>
        <w:t>بالقرب من الصفا والمروة</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وبما أنّ الإمام الصادق عليه السلام قد عاصر الدولتين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عصر المنصور قبل أن يتسنم المهدي ملك بني العباس، وكان التغيير قد حصل أيضاً قبل 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يعرب عن أنّ الناس قد بنوا أبنية طول المسعى الملاصق بالمسجد فضيّقوا المسعى، كما أشار إليه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المهدي العباسي بتهديم البيوت وجعل أرضها جزء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الأزرقي أنّ المساحة بين المسجد والمسعى قد بنيت فيها دور لبعض المكيّين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وللعباس بن عبد المطلب أيضاً الدار الّتي بين الصفا والمروة الّتي بيد ولد موسى بن عيسى الّتي إلى جنب الدار الّتي بيد جعفر بن سليمان ودار العباس هي الدار المنقوشة الّتي عندها العلم الّذي يسعى منه من جاء من المروة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أيضاً دار أُم هاني بنت أبي طالب الّتي كانت عند الحنّاطين عند المنارة فدخلت في المسجد الحرام حين وسعه المهدي في الهدم الآخر سنة سبع وستين ومائة</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وهذا يدلّ على أنّ التوسعة الّتي حصلت في عهد المهدي كانت من جانب المسجد وأنّه هدم البيوت الّتي كانت مبنية على أرض المسعى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بلغتنا الأخبار بأنّ السعوديين بصدد توسعة المسعى بإحداث مسيرين متحاذيين ذهاباً وإياباً، ويظهر ممّا نشره المشرفون على التوسعة أنّها مبنية على أن يكون القديم للآت من المروة إلى الصفا ويكون الجديد للنازل من</w:t>
      </w:r>
    </w:p>
    <w:p>
      <w:pPr>
        <w:pStyle w:val="BookText"/>
        <w:rPr/>
      </w:pPr>
      <w:r>
        <w:rPr>
          <w:rFonts w:ascii="Amiri" w:hAnsi="Amiri" w:eastAsia="Amiri" w:cs="Amiri"/>
          <w:color w:val="111111"/>
          <w:sz w:val="28"/>
          <w:sz w:val="28"/>
          <w:szCs w:val="28"/>
          <w:rtl w:val="true"/>
          <w:lang w:bidi="ar-SA"/>
        </w:rPr>
        <w:t>الصفا ذاهباً إلى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التوسعة في الجانب الشرقي للمسعى لا في جانب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وشكل الجبلين الموجود حاليّاً ربما يلازم كون المسعى الجديد خارجاً عن التحديد بما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فهناك قرائن تدلّ على أنّ المسعى كان أوسع حتّى من الجانب الآخر الّذي يقابل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القرائن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الصفا جزء من جبل أبي قبيس كما أنّ المروة جزء من جبل قعيقعان، فمن البعيد أن يكون طول الجبل و امتداده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غير فرق بين الصفا والمروة، وهذا يدلّ على أنّ الامتداد الحالي ليس هو كما في السابق لحصول الحفريات على جانبيه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حالياً بقايا من جبل المروة خارج المسعى في الجانب الشرقي، وهذا يدلّ على امتداده سابقاً ولكنّه حفر لإيجاد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الحاكم في ترجمة الأرقم بن أبي الأرقم المخزومي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الدار الّتي كان النبي صلى الله عليه و آله و سلم يدعو الناس فيها إلى الإسلام وأسلم فيها قوم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داره كانت على الصفا وتصدّق بها الأرقم على ولده، فقرئت نسخة صدقة الأرقم بداره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قضى الأرقم في ربعه ما حاز الصفا أنّها صدقة بمكانها من الحرم لاتباع ولا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هذه الدار صدقة قائمة، فيها ولده يسكنون ويؤجرون ويأخذون عليها حتّى كان زمن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فاخبرني أبي، عن يحيى بن عمران بن عثمان ابن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اليوم الّذي وقع في نفس أبي جعفر أنّه يسعى بين الصفا والمروة في حجّة حجّها ونحن على ظهر الدار فيمر تحتنا، لو شئت أن آخذ قلنسوته لأخذتها، وانّه لينظر</w:t>
      </w:r>
    </w:p>
    <w:p>
      <w:pPr>
        <w:pStyle w:val="BookText"/>
        <w:rPr/>
      </w:pPr>
      <w:r>
        <w:rPr>
          <w:rFonts w:ascii="Amiri" w:hAnsi="Amiri" w:eastAsia="Amiri" w:cs="Amiri"/>
          <w:color w:val="111111"/>
          <w:sz w:val="28"/>
          <w:sz w:val="28"/>
          <w:szCs w:val="28"/>
          <w:rtl w:val="true"/>
          <w:lang w:bidi="ar-SA"/>
        </w:rPr>
        <w:t>إلينا من حين يهبط الوادي حتّى يصعد إلى الصفا</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وهذه الوثيقة التاريخية تدفعنا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المسعى من جانب الشرقي كان أوسع ممّا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يحتفظ المشرفون على التوسعة الجديدة بصورة فتوغرافية قديمة لمنطقة الصفا والّتي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امتداداً شرقياً لجبل الصفا كان موجوداً قبل أعمال الهدم وأثناء عملية الإزالة وبعد الإزالة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دار الأرقم صارت في السنوات السالفة مكاناً لما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دارالحديث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بذلت جهود لسؤال المسنّين والمعمرين الذين شاهدوا دار الحديث قبل التوسعة وحدّدوا مقدار الفاصلة بينه و بين المسعى الحالي لكان ذلك دليلاً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نشر المشرفون على التوسعة مخططاً أوضحوا فيه أنّ دار الأرقم بن أبي الارقم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المصادر التاريخية كانت تقع في المسعى وهي الآن تبعد عن المسعى الحالي مقدار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مشروع التوسعة الجديد يمتد إلى شرق المسعى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فيكون هذا الامتداد واقعاً ضمن المسعى الواقعي</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وهذا الّذي يعاني منه العلماء والمحقّقون اليوم هو أحد النتائج السلبية الّتي سببها هدم الآثار التاريخية المتعلّقة بعصر النبيّ صلى الله عليه و آله و سلم وصدر الإسلام والّذي تعرض له الكثير من المعالم الإسلامية في مكة والمدينة المنورة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التوسعة مقرونة بحفظ معالم الإسلام وآثاره لما ضاع علينا معرفة حدود المشاعر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الدكتور عبد الوهاب إبراهيم أبو سليمان شهادة عدة من المعمّرين والمسنّين المطّلعين على وضع الصفا والمروة ننقل هنا بعض تلك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فوزان بن سلطان بن راجح العبدلي الشريف، وهو من مواليد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أمام المحكمة العامة المنعقدة لدراسة وضع جبلي الصفا والمروة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أذكر أنّ جبل المروة يمتد شمالاً متصلاً بجبل قعيقعان وأمّا من الجهة الشرقية فلا أتذكر وأمّا موضوع الصفا فإنّني أتوقف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الدكتور عويد بن عياد بن عايد الكحيلي المطرفي وهو من مواليد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 المروة كان يمتد شرقاً من موقعه الحالي بما لا يقل عن ثمانية وثلاثين متراً، وأمّا الصفا فإنّه يمتد شرقاً بأكثر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فضيلة كبير سدنة البيت الشيخ عبد العزيز بن عبد اللّه بن عبد القادر شيبي وهو من مواليد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 المروة يمتد شرقاً وغرباً وشمالاً ولا أتذكر تحديد ذلك بالمتر، وأمّا الصفا فإنّه يمتد شرقاً بمسافة طويلة حتى يقرب من القشاشية بما لا يزيد عن خمسين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حسني بن صالح بن محمد سابق وهو من مواليد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 المروة يمتد غرباً ويمتد شرقاً بما لا يقل عن اثنين وثلاثين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نشاهد البيوت على الجبل ولما أزيلت البيوت ظهر الجبل وتم تكسيره في المشروع، وأمّا جبل الصفا فإنّه يمتد من جهة الشرق بأكثر من خمسة وثلاثين أو أربعين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مدير جامعه الملك عبد العزيز السابق معالي الأُستاذ الدكتور محمد بن عمر بن عبد اللّه زبير وهو من مواليد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وقرر قائلاً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المروة لا علم لي بها وأمّا الصفا فالذي كنت أشاهده أنّ الذي يسعى كان</w:t>
      </w:r>
    </w:p>
    <w:p>
      <w:pPr>
        <w:pStyle w:val="BookText"/>
        <w:rPr/>
      </w:pPr>
      <w:r>
        <w:rPr>
          <w:rFonts w:ascii="Amiri" w:hAnsi="Amiri" w:eastAsia="Amiri" w:cs="Amiri"/>
          <w:color w:val="111111"/>
          <w:sz w:val="28"/>
          <w:sz w:val="28"/>
          <w:szCs w:val="28"/>
          <w:rtl w:val="true"/>
          <w:lang w:bidi="ar-SA"/>
        </w:rPr>
        <w:t>ينزل من الصفا ويدخل في برحة عن يمينه، وهذه البرحة يعتبرونها من شارع القشاشية ثم يعود إلى امتداد المسعى بما يدلّ على أنّ المسعى في تلك الأماكن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الدكتور درويش بن صديق بن درويش وهو من مواليد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فقرر قائلاً إنّ بيتنا سابقاً كان في الجهة الشرقية من نهاية السعي في المروة وكان يقع على الصخور المرتفعة التي هي جزء من جبل المروة، وقد أزيل جزء كبير من هذا الجبل بما في ذلك المنطقة التي كان عليها بيتنا وذلك أثناء التوسعة التي تمت في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وهذا يعني امتداد جبل المروة شرقاً في حدود من خمسة وثلاثين إلى أربعين متراً شرق المسعى الحالي، وأمّا الصفا فإنّها كانت منطقة جبلية امتداداً متصلاً بجبل أبي قبيس ويعتبر جزءاً منه وكنت أصعد من منطقة السعي في الصفا إلى منطقة أجياد خلف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محمد بن حسين بن محمد سعيد وهو من مواليد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وقرر قائلاً إنّ جبل المروة كان يمتد من الجهة الشرقية والظاهر أنّه يمتد إلى المدعى، وأمّا جبل الصفا فإنّه يمتد شرقاً أيضاً أكثر من امتداد جبل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بتنظيم صك بذلك وباللّه التوفيق وصلّى اللّه على محمد وعلى آله وصحبه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1427/12/24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ذكرنا من الدراسة يؤيد امتداد جبل الصفا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إلى الشرق، إنّما الكلام في امتداد جبل المروة بهذا المقدار ولم نقف على ما يؤيد امتداد جبل المروة هذا المقدار، حتّى أنّ الباحثين في السعودية صرّحوا بذلك وقالوا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يوضح المسح التاريخي للصور الامتداد الشرقي لجبل المروة وإن اثبتت أحاديث كبار السن والمعمرين من سكان المنطقة وجود امتداد شرقي لسفح</w:t>
      </w:r>
    </w:p>
    <w:p>
      <w:pPr>
        <w:pStyle w:val="BookText"/>
        <w:rPr/>
      </w:pPr>
      <w:r>
        <w:rPr>
          <w:rFonts w:ascii="Amiri" w:hAnsi="Amiri" w:eastAsia="Amiri" w:cs="Amiri"/>
          <w:color w:val="111111"/>
          <w:sz w:val="28"/>
          <w:sz w:val="28"/>
          <w:szCs w:val="28"/>
          <w:rtl w:val="true"/>
          <w:lang w:bidi="ar-SA"/>
        </w:rPr>
        <w:t xml:space="preserve">جبل المروة يقدر بحوالي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بنيت عليه البيوت إلى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جزء منه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يهوّن الخطب هو وجود الارتفاع الطبيعي المحسوس في الجانب الشرقي بامتداد شعيرة المروة قبل التوسعة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يؤيد نظرية كون المروة وسيعة من الجانب الشرقي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بالاعتماد على المسح الجيولوجي لمنطقة جبل المروة ثبت أنّ امتداد الجبل يستمر إلى مسافة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وهذا ما أشار إليه المشرفون في تقريرهم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ردميات من البطحاء تظهر في القطاعات 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امتداد الجبل السطحي الموضح في الخريطة الجيولوجية المرفقة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وهو ما تم تأكيد وجوده من نتائج الحفر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أكدت الدراسات التاريخية والجغرافية والجيولوجية الّتي قامت بها اللجان المشرفة على توسعة المسعى أنّ هناك امتداداً سطحياً لجبل المروة بما لا يقل يقيناً 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الناحية الشرقية، وهذا ما ثبت بعد دراسة عينات الصخور الّتي أخذت من الناحية الشرقية لجبل المروة والّتي ظهرت مشابهتها لصخور المروة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الدكتور عبد الوهاب إبراهيم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مكة المكرمة الذي تلقينا أكثر معلومات هذا البحث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عاصرته من هذا المشعر بعد التوسعة السعودية للمسعى والحرم الشريف وقبل ذلك، أنّ الصفا امتداد لجبل أبي قبيس من الناحية الشمالية الشرقية، وكان هذا الامتداد ظاهراً متصلاً، تعاقب عليه التطور لتخطيط مكة المكرمة فقد كان الجبل الذي يمتد منه الصفا ظاهراً، وطريقاً مرتفعاً تمر منه السيارات، هو الطريق</w:t>
      </w:r>
    </w:p>
    <w:p>
      <w:pPr>
        <w:pStyle w:val="BookText"/>
        <w:rPr/>
      </w:pPr>
      <w:r>
        <w:rPr>
          <w:rFonts w:ascii="Amiri" w:hAnsi="Amiri" w:eastAsia="Amiri" w:cs="Amiri"/>
          <w:color w:val="111111"/>
          <w:sz w:val="28"/>
          <w:sz w:val="28"/>
          <w:szCs w:val="28"/>
          <w:rtl w:val="true"/>
          <w:lang w:bidi="ar-SA"/>
        </w:rPr>
        <w:t>الوحيد في تلك الجهة الذي يربط شمال مكة بجنوبها، ومشعر الصفا في جزء منخفض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وأُلفت نظر سماحتكم إلى الصورة 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الخامس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يكون ضمن مكتبة الحوزة العامرة لمشاهدة واقع هذا الامتداد قبل الإحداثات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المروة فكما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في الشمال الشرقي للمسجد الحرام وهي منتهى السعي من أصل جبل قعيقعان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في الكتاب الآنف الذكر صورة المؤلفرحمه اللّه في المروة عند هدمها وهي بالفعل امتداد للجبل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سماحتكم شاهد جزءاً ممّا تبقى من الجبلين في الصفا والمروة، فكلاهما امتداد للجبل حذاءه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معلومات ووثائق حول الموضوع أضعها في متناول المحقّقين حتّى تكون نواة للبحث والدراسة الموسّعة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bookmarkStart w:id="883" w:name="pg16780_177483"/>
    </w:p>
    <w:p>
      <w:pPr>
        <w:pStyle w:val="Heading3"/>
        <w:numPr>
          <w:ilvl w:val="2"/>
          <w:numId w:val="1"/>
        </w:numPr>
        <w:rPr/>
      </w:pPr>
      <w:bookmarkStart w:id="884" w:name="__RefHeading___Toc7190125_73709187"/>
      <w:bookmarkStart w:id="885" w:name="_Toc336"/>
      <w:bookmarkEnd w:id="883"/>
      <w:bookmarkEnd w:id="884"/>
      <w:r>
        <w:rPr/>
        <w:t>4</w:t>
      </w:r>
      <w:r>
        <w:rPr>
          <w:rtl w:val="true"/>
        </w:rPr>
        <w:t xml:space="preserve"> </w:t>
      </w:r>
      <w:r>
        <w:rPr>
          <w:rtl w:val="true"/>
        </w:rPr>
        <w:t>فقه المزار في أحاديث الأئمة الأطهار عليهم السلام</w:t>
      </w:r>
      <w:bookmarkEnd w:id="88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6" w:name="__RefHeading___Toc7190127_73709187"/>
      <w:bookmarkStart w:id="887" w:name="_Toc337"/>
      <w:bookmarkEnd w:id="886"/>
      <w:r>
        <w:rPr>
          <w:rtl w:val="true"/>
        </w:rPr>
        <w:t>اشارة</w:t>
      </w:r>
      <w:bookmarkStart w:id="888" w:name="pg16780_177487"/>
      <w:bookmarkEnd w:id="887"/>
    </w:p>
    <w:p>
      <w:pPr>
        <w:pStyle w:val="BookText"/>
        <w:rPr/>
      </w:pPr>
      <w:bookmarkEnd w:id="888"/>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889" w:name="__RefHeading___Toc7190129_73709187"/>
      <w:bookmarkStart w:id="890" w:name="_Toc338"/>
      <w:bookmarkEnd w:id="889"/>
      <w:r>
        <w:rPr>
          <w:rtl w:val="true"/>
        </w:rPr>
        <w:t>المقدمة</w:t>
      </w:r>
      <w:bookmarkEnd w:id="890"/>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الأنبياء والمرسلين وعلى أهل بيته الطيبين الطاهرين، الذين أذهب اللّه عنهم الرجس وطهّرهم تطهيراً وجعلهم النبي صلى الله عليه و آله و سلم أعدال الكتاب وقرنّاؤه،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ما إن تمسكتم بهما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فأُنيط بهما سعادة المسلمين وهدايتهم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وقفت على كُتيّب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المزار عند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تقنّع مؤلّفه باسم مستعار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عبدالهادي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تقنّع ناشروه باسم كاذب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مركز إحياء تراث آل البيت، فلا المؤلف شيعي يوالي أهل البيت، ولا الناشر يسعى لإحياء تراثهم عليهم السلام، وإنّما قام بإصدار هذا الكتيب مجموعة من الحاقدين الذين خلت قلوبهم عن المودة لأهل القربى لو لم نقل امتلأت بالنصب البغيض لهم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الكاتب عرض أفكار الوهابية ودعمها بروايات أهل البيت عليهم السلام دون أن يعرف أهل البيت عليهم السلام وآراءهم وأخبارهم وما تَعنيه رواياتهم، فقد نظر إلى الروايات نظرة سطحية برأي مسبق فخرج بنتائج لا تعدو ما قاله محمد بن عبدالوهاب ومِنْ قبله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علماء المسلمين من لدن ظهور الضلال في أوائل القرن الثامن ردّوا على تلك الأفكار الساقطة التي لا تهدف إلّاإلى الحط من مقامات الأنبياء والأولياء أوّلاً، وهدم كل أثر ديني بقي من عصر الرسالة إلى يومنا هذا تحت شعار التوحيد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قمنا بنقد هذه الرسالة نقداً موضوعياً بنّاءً نهدف من ورائه بيان الحقيقة وإتمام الحجة على الكاتب ومن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وستكون دراستنا للموضوع ضمن الفصول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القبور وآثارها البنّاءة في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مراقد الأنبياء والأئمة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حجج المؤلف وذرائعه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المساجد جنب المشاهد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 على الميّت وإقامة العزاء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تضخيم بعض الممارسات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نركز في هذه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عن 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أنّ الأخبار الواردة عنهم تضاد تماماً مع ما عليه الوهابية في كافة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w:t>
      </w:r>
      <w:r>
        <w:rPr>
          <w:rStyle w:val="FootnoteAnchor"/>
          <w:rtl w:val="true"/>
        </w:rPr>
        <w:footnoteReference w:id="89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من وراء القصد</w:t>
      </w:r>
      <w:bookmarkStart w:id="891" w:name="pg16780_177491"/>
    </w:p>
    <w:p>
      <w:pPr>
        <w:pStyle w:val="Heading4"/>
        <w:numPr>
          <w:ilvl w:val="3"/>
          <w:numId w:val="1"/>
        </w:numPr>
        <w:rPr/>
      </w:pPr>
      <w:bookmarkStart w:id="892" w:name="__RefHeading___Toc7190131_73709187"/>
      <w:bookmarkStart w:id="893" w:name="_Toc339"/>
      <w:bookmarkEnd w:id="891"/>
      <w:bookmarkEnd w:id="892"/>
      <w:r>
        <w:rPr>
          <w:rtl w:val="true"/>
        </w:rPr>
        <w:t>الفصل الأوّل زيارة القبور وآثارها البنّاءة في الكتاب والسنة</w:t>
      </w:r>
      <w:bookmarkEnd w:id="893"/>
    </w:p>
    <w:p>
      <w:pPr>
        <w:pStyle w:val="Heading5"/>
        <w:numPr>
          <w:ilvl w:val="4"/>
          <w:numId w:val="1"/>
        </w:numPr>
        <w:rPr/>
      </w:pPr>
      <w:bookmarkStart w:id="894" w:name="__RefHeading___Toc7190133_73709187"/>
      <w:bookmarkStart w:id="895" w:name="_Toc340"/>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القصد،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يزوره، زيارة،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فهو زائر</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والمزار يكون مصدراً، أو موضع الزيارة، والزيارة في العرف قصد المزور إكراماً له واستئناساً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تطلق الزيارة في ألسن العامة على ما يقرأه الزائر أو يتكلم به مادحاً المزور وواصفاً له ومسلِّماً عليه، إلى غير ذلك من الكلمات والجمل الواردة في زيارة الأولياء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صلة الإنسان بآبائه وأجداده وأرحامه وأصدقائه في حياتهم أمر واضح، وعندما يفترق عنهم مدة معينة يجد في نفسه شوقاً لزيارتهم والحضور عندهم والاستئناس بهم، ولذلك أمرنا اللّه سبحانه بصلة الأرحام وحرّم قطع الرحم، وكأنّه بإيجابه هذه الصلة أكد ما عليه الإنسان صاحب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مات هؤلاء ودفنوا في مقابرهم لا يرضى الإنسان أن تنقطع صلته بهم ويجد في نفسه دافعاً إلى زيارة قبورهم، ولذا تراه يقوم بتعميرها وصيانتها حفاظاً عليها من الاندراس، كل ذلك نابع عن فطرة خلق الإنسان عليها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دل دليل على كراهة تجديد القبر، فلأجل عنوان ثانويّ وهو طروء</w:t>
      </w:r>
      <w:bookmarkStart w:id="896" w:name="pg16780_177493"/>
    </w:p>
    <w:p>
      <w:pPr>
        <w:pStyle w:val="BookText"/>
        <w:rPr/>
      </w:pPr>
      <w:bookmarkEnd w:id="896"/>
      <w:r>
        <w:rPr>
          <w:rFonts w:ascii="Amiri" w:hAnsi="Amiri" w:eastAsia="Amiri" w:cs="Amiri"/>
          <w:color w:val="111111"/>
          <w:sz w:val="28"/>
          <w:sz w:val="28"/>
          <w:szCs w:val="28"/>
          <w:rtl w:val="true"/>
          <w:lang w:bidi="ar-SA"/>
        </w:rPr>
        <w:t>الضيق على الناس في الأراضي التي تخصص لدفن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الدين الإسلامي لا يتعارض مع مقتضيات الفطرة، بل أنّه يضع أحكامه وفقها، ولذا أمر بالعدل والإحسان ونهى عن خلافهما، وهكذا سائر الأحكام الأساسية الواردة في الكتاب والسنة، والتي لا تتغير بمرور الزمان وتبقى سائدة ما دام للإنسان وجود على الأرض وشريعة الإسلام حاكمة،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7190135_73709187"/>
      <w:bookmarkStart w:id="898" w:name="_Toc341"/>
      <w:bookmarkEnd w:id="897"/>
      <w:r>
        <w:rPr>
          <w:rtl w:val="true"/>
        </w:rPr>
        <w:t>الآثار الإيجابية للزيارة</w:t>
      </w:r>
      <w:bookmarkEnd w:id="898"/>
    </w:p>
    <w:p>
      <w:pPr>
        <w:pStyle w:val="BookText"/>
        <w:rPr/>
      </w:pPr>
      <w:r>
        <w:rPr>
          <w:rFonts w:ascii="Amiri" w:hAnsi="Amiri" w:eastAsia="Amiri" w:cs="Amiri"/>
          <w:color w:val="111111"/>
          <w:sz w:val="28"/>
          <w:sz w:val="28"/>
          <w:szCs w:val="28"/>
          <w:rtl w:val="true"/>
          <w:lang w:bidi="ar-SA"/>
        </w:rPr>
        <w:t xml:space="preserve">حينما يطل الإنسان بنظره على وادي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عن كثب وادياً يضم أجساد الفقراء والأغنياء والصغار والكبار جنباً إلى جنب، يراهم قد باتوا في سبات عميق وصمت مخيف، قد سلبت عنهم قُدَراتهم وأموالهم، وما سخروه من الخدم، ولم يأخذوا معهم إلّاالكفن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النظرة تدهش الإنسان وتدفعه إلى التفكير في مستقبله ومصيره وربّما يحدّث نفسه بأنّ حياة هذه عاقبتها، وأياماً هذه نهايتها لا تستحق الحرص على جمعه للأموال، والاستيلاء على المناصب والمقامات، خصوصاً فيما لو كان الزائر موحدّاً مصدِّقاً بالمعاد، وأنّه سوف يحاسب بعد موته على أعماله وأفعاله وما اكتنز من الكنوز واقتنى من الأموال وتقلّد من مناصب، فهل كان ذلك عن طريق مشروع دون أن يكون فيه هضم للحقوق وتجاوز على الأعراض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الأثر التربوي لزيارة القبور على الإطلاق سواء أكان القبر للأنبياء والأولياء أم للأرحام والأصدقاء، أم لم يكن واحداً منهم، وإلى هذا الأثر التربوي يشير الرسول صلى الله عليه و آله و سلم في الحديث المروي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وفي حديث آخر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لكم فيها عبرة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وقد استفاد أهل البيت عليهم السلام من التذكير بالقبور وما يؤول إليه أصحابها، في الوعظ والتربية حتى مع طواغيت عصرهم وهم في قمة حالات الزهو والبطر والتمادي، وهذا ما نلاحظه جليّاً في الأبيات التي أنشدها الإمام الهادي عليه السلام للمتوكل العباسي، وهو من أعتى طواغيت بني العباس وأشدّهم حقداً على أئمة أهل البيت عليهم السلام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المسعودي بأنّه سُعيّ إلى المتوكل بالإمام علي الهادي عليه السلام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منزله سلاحاً وكتباً وغيرها من شيعته، فوجّه إليه ليلاً من الأتراك وغيرهم من هجم عليه في منزله على غفلة ممّن في داره، فوجد في بيت وحده مغلّق عليه وعليه مدرعة من شعر، ولا بساط في البيت إلّاالرمل والحصى، وعلى رأسه ملحفة من الصوف، متوجّهاً إلى ربّه يترنّم بآيات من القرآن، في الوعد والوعيد، فأُخذ على ما وجد عليه وحمل إلى المتوكّل في جوف اللّيل، فَمَثُل بين يديه والمتوكّل يشرب وفي يده كأس، فلمّا رآه أعظمه وأجلسه إلى جنبه ولم يكن في منزله شيء ممّا قيل فيه، ولا حالة يتعلّل عليه بها، فناوله المتوكّل الكأس الّذي في يده، 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خامر لحمي ودمي قطّ فاعفني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 استحسنه،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لقليل الرواية</w:t>
      </w:r>
      <w:bookmarkStart w:id="899" w:name="pg16780_177497"/>
    </w:p>
    <w:p>
      <w:pPr>
        <w:pStyle w:val="BookText"/>
        <w:rPr/>
      </w:pPr>
      <w:bookmarkEnd w:id="899"/>
      <w:r>
        <w:rPr>
          <w:rFonts w:ascii="Amiri" w:hAnsi="Amiri" w:eastAsia="Amiri" w:cs="Amiri"/>
          <w:color w:val="111111"/>
          <w:sz w:val="28"/>
          <w:sz w:val="28"/>
          <w:szCs w:val="28"/>
          <w:rtl w:val="true"/>
          <w:lang w:bidi="ar-SA"/>
        </w:rPr>
        <w:t>للأشعار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تنشدني فأنشده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على قُلَلِ الأجبال تَحْرِسُهُمْ 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 فأُودِعُوا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 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 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 تِلْكَ الْوُجُوهُ عَلَيْها الدُّودُ يقْتَتِلُ</w:t>
      </w:r>
    </w:p>
    <w:p>
      <w:pPr>
        <w:pStyle w:val="BookText"/>
        <w:rPr/>
      </w:pPr>
      <w:r>
        <w:rPr>
          <w:rFonts w:ascii="Amiri" w:hAnsi="Amiri" w:eastAsia="Amiri" w:cs="Amiri"/>
          <w:color w:val="111111"/>
          <w:sz w:val="28"/>
          <w:sz w:val="28"/>
          <w:szCs w:val="28"/>
          <w:rtl w:val="true"/>
          <w:lang w:bidi="ar-SA"/>
        </w:rPr>
        <w:t>قَدْ طالَ ما أكَلُوا دَهراً وما شَرِبُوا فأصبَحُوا بعدَ طولِ الأكلِ قَد أُكِلُوا</w:t>
      </w:r>
    </w:p>
    <w:p>
      <w:pPr>
        <w:pStyle w:val="BookText"/>
        <w:rPr/>
      </w:pPr>
      <w:r>
        <w:rPr>
          <w:rFonts w:ascii="Amiri" w:hAnsi="Amiri" w:eastAsia="Amiri" w:cs="Amiri"/>
          <w:color w:val="111111"/>
          <w:sz w:val="28"/>
          <w:sz w:val="28"/>
          <w:szCs w:val="28"/>
          <w:rtl w:val="true"/>
          <w:lang w:bidi="ar-SA"/>
        </w:rPr>
        <w:t>وَطالَ ما عَمّرُوا دُوراً لِتُحْصِنَهُمْ فَفارَقُوا الدُّورَ والأهليَن وانتقَلُوا</w:t>
      </w:r>
    </w:p>
    <w:p>
      <w:pPr>
        <w:pStyle w:val="BookText"/>
        <w:rPr/>
      </w:pPr>
      <w:r>
        <w:rPr>
          <w:rFonts w:ascii="Amiri" w:hAnsi="Amiri" w:eastAsia="Amiri" w:cs="Amiri"/>
          <w:color w:val="111111"/>
          <w:sz w:val="28"/>
          <w:sz w:val="28"/>
          <w:szCs w:val="28"/>
          <w:rtl w:val="true"/>
          <w:lang w:bidi="ar-SA"/>
        </w:rPr>
        <w:t>وَطالَ ما كَنزُوا الأموالَ وادَّخَرَوا فخلَّفُوها على الأعداء وارْتَحَلُوا</w:t>
      </w:r>
    </w:p>
    <w:p>
      <w:pPr>
        <w:pStyle w:val="BookText"/>
        <w:rPr/>
      </w:pPr>
      <w:r>
        <w:rPr>
          <w:rFonts w:ascii="Amiri" w:hAnsi="Amiri" w:eastAsia="Amiri" w:cs="Amiri"/>
          <w:color w:val="111111"/>
          <w:sz w:val="28"/>
          <w:sz w:val="28"/>
          <w:szCs w:val="28"/>
          <w:rtl w:val="true"/>
          <w:lang w:bidi="ar-SA"/>
        </w:rPr>
        <w:t>أضْحَتْ مَنازلُهُمْ قَفْراً مُعَطَّلَةً وساكِنُوها إلى الأجداثِ قَدْ رَحَلُوا</w:t>
      </w:r>
      <w:r>
        <w:rPr>
          <w:rStyle w:val="FootnoteAnchor"/>
          <w:rtl w:val="true"/>
        </w:rPr>
        <w:footnoteReference w:id="899"/>
      </w:r>
    </w:p>
    <w:p>
      <w:pPr>
        <w:pStyle w:val="Heading5"/>
        <w:numPr>
          <w:ilvl w:val="4"/>
          <w:numId w:val="1"/>
        </w:numPr>
        <w:rPr/>
      </w:pPr>
      <w:bookmarkStart w:id="900" w:name="__RefHeading___Toc7190137_73709187"/>
      <w:bookmarkStart w:id="901" w:name="_Toc342"/>
      <w:bookmarkEnd w:id="900"/>
      <w:r>
        <w:rPr>
          <w:rtl w:val="true"/>
        </w:rPr>
        <w:t>زيارة مراقد العلماء والشهداء</w:t>
      </w:r>
      <w:bookmarkEnd w:id="901"/>
    </w:p>
    <w:p>
      <w:pPr>
        <w:pStyle w:val="BookText"/>
        <w:rPr/>
      </w:pPr>
      <w:r>
        <w:rPr>
          <w:rFonts w:ascii="Amiri" w:hAnsi="Amiri" w:eastAsia="Amiri" w:cs="Amiri"/>
          <w:color w:val="111111"/>
          <w:sz w:val="28"/>
          <w:sz w:val="28"/>
          <w:szCs w:val="28"/>
          <w:rtl w:val="true"/>
          <w:lang w:bidi="ar-SA"/>
        </w:rPr>
        <w:t>ما ذكرناه من الأثر التربويّ هو نتيجة لزيارة قبور عامة الناس، حيث إنّها تورث العبرة، وتذكّر بالآخرة، وتحطُّ من الأطماع، وتقلّل من تعلّق الإنسان بالدنيا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مراقد العلماء فلها وراء ذلك شأن آخر، حيث إنّها تهدف إلى تكريم العلم وتعظيمه، وبالتالي تحث الجيل الناشئ لتحصيل العلم، حيث يرى بأُمِّ عينيه تكريم العلماء أحياءً وأمواتاً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لزيارة مراقد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ذبّوا بدمائهم عن دينهم وشريعتهم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آخر وراء العبرة والاعتبار، وذلك لأنّ الحضور عند مراقدهم بمنزلة عقد ميثاق وتعهّد من الحاضرين في مواصلة الخط الّذي ساروا عليه،</w:t>
      </w:r>
    </w:p>
    <w:p>
      <w:pPr>
        <w:pStyle w:val="BookText"/>
        <w:rPr/>
      </w:pPr>
      <w:r>
        <w:rPr>
          <w:rFonts w:ascii="Amiri" w:hAnsi="Amiri" w:eastAsia="Amiri" w:cs="Amiri"/>
          <w:color w:val="111111"/>
          <w:sz w:val="28"/>
          <w:sz w:val="28"/>
          <w:szCs w:val="28"/>
          <w:rtl w:val="true"/>
          <w:lang w:bidi="ar-SA"/>
        </w:rPr>
        <w:t>وهو خط الانتصار الحقيقي والسبيل الإلهي لتحقيق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 قطب 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والناس يقصرون معنى النصر على صورة معيّنة معهودة لهم، قريبة الرؤية لأعينهم، ولكن صور النصر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يتلبّس بعضها بصور الهزيمة عند النظرة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وهو يُلقى في النار فلا يرجع عن عقيدته ولا عن الدعوة إليها، أكان في موقف نصر أم في موقف هزيمة‌؟</w:t>
      </w:r>
    </w:p>
    <w:p>
      <w:pPr>
        <w:pStyle w:val="BookText"/>
        <w:rPr/>
      </w:pPr>
      <w:r>
        <w:rPr>
          <w:rFonts w:ascii="Amiri" w:hAnsi="Amiri" w:eastAsia="Amiri" w:cs="Amiri"/>
          <w:color w:val="111111"/>
          <w:sz w:val="28"/>
          <w:sz w:val="28"/>
          <w:szCs w:val="28"/>
          <w:rtl w:val="true"/>
          <w:lang w:bidi="ar-SA"/>
        </w:rPr>
        <w:t xml:space="preserve">ما من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قمة النصر وهو يُلقى في النار، كما أنّه انتصر مرة أُخرى وهو ينجو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وتلك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الظاهر بعيد من بعيد، فأمّا في الحقيقة فهما قريب من قريب</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ولإيضاح الحال نأتي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أفتوا باستحباب استلام الحجر الأسود عند الطواف، وعندئذ يسأل الزائر عن سرّ هذا العمل، وما هي الفائدة من وضع اليد على الحجر واستلامه‌؟ إلّاأنّه لو تأمّل في تاريخ بناء البيت الحرام يجد أنّ إبراهيم الخليل عليه السلام قد تولى إعادة بناء بيت الحرام بعد طوفان نوح عليه السلام، وبأمر من اللّه عز وجل وضع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جزءاً من جبل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حائطه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وضع اليد على الحجر هو نوع من أنواع التعاهد مع بطل التوحيد عليه السلام ونبي الإسلام صلى الله عليه و آله و سلم في أن يحارب كل نوع من أنواع الشرك والوثنية، وأن لا ينحرف عن التوحيد في جميع مراحل حياته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الهدف من استلامنا الحجر الأسود هو أن نبايع اللّه والأنبياء على</w:t>
      </w:r>
    </w:p>
    <w:p>
      <w:pPr>
        <w:pStyle w:val="BookText"/>
        <w:rPr/>
      </w:pPr>
      <w:r>
        <w:rPr>
          <w:rFonts w:ascii="Amiri" w:hAnsi="Amiri" w:eastAsia="Amiri" w:cs="Amiri"/>
          <w:color w:val="111111"/>
          <w:sz w:val="28"/>
          <w:sz w:val="28"/>
          <w:szCs w:val="28"/>
          <w:rtl w:val="true"/>
          <w:lang w:bidi="ar-SA"/>
        </w:rPr>
        <w:t>الثبات على التوحيد، وقد ورد أنّ ذلك من مستحبات الطواف، كما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يدك على الحجر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واستلامه اليوم بيعة لمن لم يدرك بيعة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ومنه نستنتج أنّ استلام الحجر تجسيد عملي لمعاهدة قلبية مركزها روح الإنسان وداخله، وفي الحقيقة أنّ زائر بيت اللّه الحرام بهذا العمل يعكس عملياً تلك المعاهدة القلبية بشكل ملموس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حكمة لهذا العمل هي ذات السبب للحضور عند مراقد شهداء بدر وأُحد وكربلاء، وغيرها، فإنّ الزائر بحضوره لديهم وبوضع يده على مراقدهم، كأنّه يعقد ميثاقاً مع أرواحهم في مواصلة الأهداف التي لأجلها ضحّوا بدمائهم، وقتلوا في سبيلها، فإنّ زيارة قبور الشهداء تكريم وتعظيم لهم ونوع تعهد في مواصلة أهدافهم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الجدير ذكره أنّ كثيراً من السلفيين ربّما يعتذرون عن استلام الحجر بما أُثر عن الخليفة الثاني من أنّ تقبيله له لأجل أن رسول اللّه صلى الله عليه و آله و سلم قبّله، ولولا تقبيله لما فعل، ولكنّه غفل عن سرّ تقبيل الرسول صلى الله عليه و آله و سلم، وقد أُشير إليه في الحديث التالي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عبدالرحمن بن كثير الهاشمي،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عمر بن الخطاب على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 إنّا لنعلم أنّك حجر لا تضر ولا تنفع، إلّاأنّا رأينا رسول اللّه صلى الله عليه و آله و سلم يحبّك فنحن نحبّك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bookmarkStart w:id="902" w:name="pg16780_177503"/>
    </w:p>
    <w:p>
      <w:pPr>
        <w:pStyle w:val="BookText"/>
        <w:rPr/>
      </w:pPr>
      <w:bookmarkEnd w:id="902"/>
      <w:r>
        <w:rPr>
          <w:rFonts w:ascii="Amiri" w:hAnsi="Amiri" w:eastAsia="Amiri" w:cs="Amiri"/>
          <w:color w:val="111111"/>
          <w:sz w:val="28"/>
          <w:sz w:val="28"/>
          <w:szCs w:val="28"/>
          <w:rtl w:val="true"/>
          <w:lang w:bidi="ar-SA"/>
        </w:rPr>
        <w:t>كيف يابن الخطاب، فواللّه ليبعثنه اللّه يوم القيامة وله لسان وشفتان، فيشهد لمن وافاه، وهو يمين اللّه عزوجل في أرضه يبايع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في بلد لا يكون فيه علي بن أبي طالب</w:t>
      </w:r>
      <w:r>
        <w:rPr>
          <w:rFonts w:eastAsia="Amiri" w:cs="Amiri" w:ascii="Amiri" w:hAnsi="Amiri"/>
          <w:color w:val="111111"/>
          <w:sz w:val="28"/>
          <w:szCs w:val="28"/>
          <w:rtl w:val="true"/>
          <w:lang w:bidi="ar-SA"/>
        </w:rPr>
        <w:t>».</w:t>
      </w:r>
      <w:r>
        <w:rPr>
          <w:rStyle w:val="FootnoteAnchor"/>
          <w:rtl w:val="true"/>
        </w:rPr>
        <w:footnoteReference w:id="903"/>
      </w:r>
    </w:p>
    <w:p>
      <w:pPr>
        <w:pStyle w:val="Heading5"/>
        <w:numPr>
          <w:ilvl w:val="4"/>
          <w:numId w:val="1"/>
        </w:numPr>
        <w:rPr/>
      </w:pPr>
      <w:bookmarkStart w:id="903" w:name="__RefHeading___Toc7190139_73709187"/>
      <w:bookmarkStart w:id="904" w:name="_Toc343"/>
      <w:bookmarkEnd w:id="903"/>
      <w:r>
        <w:rPr>
          <w:rtl w:val="true"/>
        </w:rPr>
        <w:t>زيارة قبر النبي الأكرم صلى الله عليه و آله و سلم في الروايات الشريفة</w:t>
      </w:r>
      <w:bookmarkEnd w:id="904"/>
    </w:p>
    <w:p>
      <w:pPr>
        <w:pStyle w:val="BookText"/>
        <w:rPr/>
      </w:pPr>
      <w:r>
        <w:rPr>
          <w:rFonts w:ascii="Amiri" w:hAnsi="Amiri" w:eastAsia="Amiri" w:cs="Amiri"/>
          <w:color w:val="111111"/>
          <w:sz w:val="28"/>
          <w:sz w:val="28"/>
          <w:szCs w:val="28"/>
          <w:rtl w:val="true"/>
          <w:lang w:bidi="ar-SA"/>
        </w:rPr>
        <w:t xml:space="preserve">تضافرت الروايات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زيارة قبر النبي الأكرم صلى الله عليه و آله و سلم وانّها من متمّمات الحج، وإليك طائفة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جاءني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إلّازيارتي كان حقاً عليّ أن أكون له شفيعاً يوم القيامة</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تيسّر ذكره مما ورد عن رسول اللّه صلى الله عليه و آله و سلم وأمّا ما ورد عن أئمّة أهل البيت عليهم السلام فهو كثير نختصر 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برسول اللّه حجّكم، إذا خرجتم إلى بيت اللّه، فإنّ تركه جفاءٌ وبذلك أمرتم، وأتمّوا بالقبور التي ألزمكم اللّه زيارتها وحقّها</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عبدالرحمن بن أبي نجران قال سألت أبا جعفر عليه السلام عمن زار قبر</w:t>
      </w:r>
    </w:p>
    <w:p>
      <w:pPr>
        <w:pStyle w:val="BookText"/>
        <w:rPr/>
      </w:pPr>
      <w:r>
        <w:rPr>
          <w:rFonts w:ascii="Amiri" w:hAnsi="Amiri" w:eastAsia="Amiri" w:cs="Amiri"/>
          <w:color w:val="111111"/>
          <w:sz w:val="28"/>
          <w:sz w:val="28"/>
          <w:szCs w:val="28"/>
          <w:rtl w:val="true"/>
          <w:lang w:bidi="ar-SA"/>
        </w:rPr>
        <w:t>النبي صلى الله عليه و آله و سلم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 اللّه الجنة إن شاء اللّه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مجيئه لمحض الزيارة لا لشيء آخر تكون الزيارة مقصودة بالتبع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قولويه بسنده عن أبي حجر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ولم يزرني بالمدينة جفوته يوم القيامة، ومن زارني زائراً وجبت 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ومراده من الجفاء هو عدم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ابن قولويه في هذا الباب أزيد من عشرين حديثاً في استحباب زيارة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إلّالأنّ الحضور لدى قبره الشريف نوع تقدير وعرفان لجميل ما بذله في سبيل هداية الأجيال وما تحمّل في سبيل ذلك من الجهود المضنية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للإمام الرضا عليه السلام كلمة قيّمة في زيارة مراقد القادة المعصومين كالنبي صلى الله عليه و آله و سلم وأئمة أهل البيت عليهم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زيارة قبورهم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وكأنّ الزائر في حرم النبي صلى الله عليه و آله و سلم يخاطب رسول اللّه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 الأنصار بايعوك في العقبة الثانية لأن يذبّوا عنك كما يذبّون عن أنفسهم وأولادهم، أو أنّ المهاجرين والأنصار بايعوك تحت الشجرة للذب عن رسالتك، فها أنا أُبايعك في حرمك للذب عن المثل العليا في رسالتك السماوية المقدّسة بما أُوتيتُ من حول وقوة من اللّه سبحانه ناشراً ألوية التوحيد في ربوع العالم، محطّماً أوتاد الشرك وأصنامه</w:t>
      </w:r>
      <w:r>
        <w:rPr>
          <w:rFonts w:eastAsia="Amiri" w:cs="Amiri" w:ascii="Amiri" w:hAnsi="Amiri"/>
          <w:color w:val="111111"/>
          <w:sz w:val="28"/>
          <w:szCs w:val="28"/>
          <w:rtl w:val="true"/>
          <w:lang w:bidi="ar-SA"/>
        </w:rPr>
        <w:t>.</w:t>
      </w:r>
      <w:bookmarkStart w:id="905" w:name="pg16780_177507"/>
    </w:p>
    <w:p>
      <w:pPr>
        <w:pStyle w:val="BookText"/>
        <w:rPr/>
      </w:pPr>
      <w:bookmarkEnd w:id="905"/>
      <w:r>
        <w:rPr>
          <w:rFonts w:ascii="Amiri" w:hAnsi="Amiri" w:eastAsia="Amiri" w:cs="Amiri"/>
          <w:color w:val="111111"/>
          <w:sz w:val="28"/>
          <w:sz w:val="28"/>
          <w:szCs w:val="28"/>
          <w:rtl w:val="true"/>
          <w:lang w:bidi="ar-SA"/>
        </w:rPr>
        <w:t>فلو كان السياح يجوبون الأرض لزيارة المواقع التاريخية والمناظر الطبيعية الجميلة، فها أنا قطعت الفيافي لزيارة مرقدك، فإن لم أتمكّن من تقبيل يدك فأنا أُقبل تربة القبر الّذي ضم جسدك الشريف</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7190141_73709187"/>
      <w:bookmarkStart w:id="907" w:name="_Toc344"/>
      <w:bookmarkEnd w:id="906"/>
      <w:r>
        <w:rPr>
          <w:rtl w:val="true"/>
        </w:rPr>
        <w:t>رأي ابن القيّم في زيارة قبر النبي صلى الله عليه و آله و سلم</w:t>
      </w:r>
      <w:bookmarkEnd w:id="907"/>
    </w:p>
    <w:p>
      <w:pPr>
        <w:pStyle w:val="BookText"/>
        <w:rPr/>
      </w:pPr>
      <w:r>
        <w:rPr>
          <w:rFonts w:ascii="Amiri" w:hAnsi="Amiri" w:eastAsia="Amiri" w:cs="Amiri"/>
          <w:color w:val="111111"/>
          <w:sz w:val="28"/>
          <w:sz w:val="28"/>
          <w:szCs w:val="28"/>
          <w:rtl w:val="true"/>
          <w:lang w:bidi="ar-SA"/>
        </w:rPr>
        <w:t xml:space="preserve">قد عدّ الشيخ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الأكرم صلى الله عليه و آله و سلم أنها من أفضل الأعمال كما جاء في قصيدته المشهورة بالنونية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أتينا المسجد النبوي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التحية أولاً ثنتان</w:t>
      </w:r>
    </w:p>
    <w:p>
      <w:pPr>
        <w:pStyle w:val="BookText"/>
        <w:rPr/>
      </w:pPr>
      <w:r>
        <w:rPr>
          <w:rFonts w:ascii="Amiri" w:hAnsi="Amiri" w:eastAsia="Amiri" w:cs="Amiri"/>
          <w:color w:val="111111"/>
          <w:sz w:val="28"/>
          <w:sz w:val="28"/>
          <w:szCs w:val="28"/>
          <w:rtl w:val="true"/>
          <w:lang w:bidi="ar-SA"/>
        </w:rPr>
        <w:t>بتمام أركان لها وخشوعها وحضور قلب فعل ذي الإحسان</w:t>
      </w:r>
    </w:p>
    <w:p>
      <w:pPr>
        <w:pStyle w:val="BookText"/>
        <w:rPr/>
      </w:pPr>
      <w:r>
        <w:rPr>
          <w:rFonts w:ascii="Amiri" w:hAnsi="Amiri" w:eastAsia="Amiri" w:cs="Amiri"/>
          <w:color w:val="111111"/>
          <w:sz w:val="28"/>
          <w:sz w:val="28"/>
          <w:szCs w:val="28"/>
          <w:rtl w:val="true"/>
          <w:lang w:bidi="ar-SA"/>
        </w:rPr>
        <w:t xml:space="preserve">ثم انثنينا للزيارة نقصد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الشريف ولو على الأجفان</w:t>
      </w:r>
    </w:p>
    <w:p>
      <w:pPr>
        <w:pStyle w:val="BookText"/>
        <w:rPr/>
      </w:pPr>
      <w:r>
        <w:rPr>
          <w:rFonts w:ascii="Amiri" w:hAnsi="Amiri" w:eastAsia="Amiri" w:cs="Amiri"/>
          <w:color w:val="111111"/>
          <w:sz w:val="28"/>
          <w:sz w:val="28"/>
          <w:szCs w:val="28"/>
          <w:rtl w:val="true"/>
          <w:lang w:bidi="ar-SA"/>
        </w:rPr>
        <w:t>فنقوم دون القبر وقفة خاضع متذلل في السرِّ والإعلان</w:t>
      </w:r>
    </w:p>
    <w:p>
      <w:pPr>
        <w:pStyle w:val="BookText"/>
        <w:rPr/>
      </w:pPr>
      <w:r>
        <w:rPr>
          <w:rFonts w:ascii="Amiri" w:hAnsi="Amiri" w:eastAsia="Amiri" w:cs="Amiri"/>
          <w:color w:val="111111"/>
          <w:sz w:val="28"/>
          <w:sz w:val="28"/>
          <w:szCs w:val="28"/>
          <w:rtl w:val="true"/>
          <w:lang w:bidi="ar-SA"/>
        </w:rPr>
        <w:t>فكأنه في القبر حيٌّ ناطق فالواقفون نواكس الأذقان</w:t>
      </w:r>
    </w:p>
    <w:p>
      <w:pPr>
        <w:pStyle w:val="BookText"/>
        <w:rPr/>
      </w:pPr>
      <w:r>
        <w:rPr>
          <w:rFonts w:ascii="Amiri" w:hAnsi="Amiri" w:eastAsia="Amiri" w:cs="Amiri"/>
          <w:color w:val="111111"/>
          <w:sz w:val="28"/>
          <w:sz w:val="28"/>
          <w:szCs w:val="28"/>
          <w:rtl w:val="true"/>
          <w:lang w:bidi="ar-SA"/>
        </w:rPr>
        <w:t>ملكتهم تلك المهابة فاعترت تلك القوائم كثرة الرجفان</w:t>
      </w:r>
    </w:p>
    <w:p>
      <w:pPr>
        <w:pStyle w:val="BookText"/>
        <w:rPr/>
      </w:pPr>
      <w:r>
        <w:rPr>
          <w:rFonts w:ascii="Amiri" w:hAnsi="Amiri" w:eastAsia="Amiri" w:cs="Amiri"/>
          <w:color w:val="111111"/>
          <w:sz w:val="28"/>
          <w:sz w:val="28"/>
          <w:szCs w:val="28"/>
          <w:rtl w:val="true"/>
          <w:lang w:bidi="ar-SA"/>
        </w:rPr>
        <w:t>وتفجرت تلك العيون بمائها ولطالما غاضت على الأزمان</w:t>
      </w:r>
    </w:p>
    <w:p>
      <w:pPr>
        <w:pStyle w:val="BookText"/>
        <w:rPr/>
      </w:pPr>
      <w:r>
        <w:rPr>
          <w:rFonts w:ascii="Amiri" w:hAnsi="Amiri" w:eastAsia="Amiri" w:cs="Amiri"/>
          <w:color w:val="111111"/>
          <w:sz w:val="28"/>
          <w:sz w:val="28"/>
          <w:szCs w:val="28"/>
          <w:rtl w:val="true"/>
          <w:lang w:bidi="ar-SA"/>
        </w:rPr>
        <w:t>وأتى المسلّم بالسلام بهيبة ووقار ذي علم وذي إيمان</w:t>
      </w:r>
    </w:p>
    <w:p>
      <w:pPr>
        <w:pStyle w:val="BookText"/>
        <w:rPr/>
      </w:pPr>
      <w:r>
        <w:rPr>
          <w:rFonts w:ascii="Amiri" w:hAnsi="Amiri" w:eastAsia="Amiri" w:cs="Amiri"/>
          <w:color w:val="111111"/>
          <w:sz w:val="28"/>
          <w:sz w:val="28"/>
          <w:szCs w:val="28"/>
          <w:rtl w:val="true"/>
          <w:lang w:bidi="ar-SA"/>
        </w:rPr>
        <w:t>لم يرفع الأصوات حول ضريحه كلا ولم يسجد على الأذقان</w:t>
      </w:r>
    </w:p>
    <w:p>
      <w:pPr>
        <w:pStyle w:val="BookText"/>
        <w:rPr/>
      </w:pPr>
      <w:r>
        <w:rPr>
          <w:rFonts w:ascii="Amiri" w:hAnsi="Amiri" w:eastAsia="Amiri" w:cs="Amiri"/>
          <w:color w:val="111111"/>
          <w:sz w:val="28"/>
          <w:sz w:val="28"/>
          <w:szCs w:val="28"/>
          <w:rtl w:val="true"/>
          <w:lang w:bidi="ar-SA"/>
        </w:rPr>
        <w:t xml:space="preserve">كلا ولم يُر طائفاً بالقبر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بوعاً كأن القبر بيت ثان</w:t>
      </w:r>
    </w:p>
    <w:p>
      <w:pPr>
        <w:pStyle w:val="BookText"/>
        <w:rPr/>
      </w:pPr>
      <w:r>
        <w:rPr>
          <w:rFonts w:ascii="Amiri" w:hAnsi="Amiri" w:eastAsia="Amiri" w:cs="Amiri"/>
          <w:color w:val="111111"/>
          <w:sz w:val="28"/>
          <w:sz w:val="28"/>
          <w:szCs w:val="28"/>
          <w:rtl w:val="true"/>
          <w:lang w:bidi="ar-SA"/>
        </w:rPr>
        <w:t>ثم انثنى بدعائه متوجها للّه نحو البيت ذي الأركان</w:t>
      </w:r>
    </w:p>
    <w:p>
      <w:pPr>
        <w:pStyle w:val="BookText"/>
        <w:rPr/>
      </w:pPr>
      <w:r>
        <w:rPr>
          <w:rFonts w:ascii="Amiri" w:hAnsi="Amiri" w:eastAsia="Amiri" w:cs="Amiri"/>
          <w:color w:val="111111"/>
          <w:sz w:val="28"/>
          <w:sz w:val="28"/>
          <w:szCs w:val="28"/>
          <w:rtl w:val="true"/>
          <w:lang w:bidi="ar-SA"/>
        </w:rPr>
        <w:t>هذي زيارة من غدا مُتمسكاً بشريعة الإسلام والإيمان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أفضل الأعمال هاتيك الزيا رة وهي يوم الحشر في الميزان</w:t>
      </w:r>
      <w:r>
        <w:rPr>
          <w:rStyle w:val="FootnoteAnchor"/>
          <w:rtl w:val="true"/>
        </w:rPr>
        <w:footnoteReference w:id="909"/>
      </w:r>
      <w:bookmarkStart w:id="908" w:name="pg16780_177509"/>
    </w:p>
    <w:p>
      <w:pPr>
        <w:pStyle w:val="Heading5"/>
        <w:numPr>
          <w:ilvl w:val="4"/>
          <w:numId w:val="1"/>
        </w:numPr>
        <w:rPr/>
      </w:pPr>
      <w:bookmarkStart w:id="909" w:name="__RefHeading___Toc7190143_73709187"/>
      <w:bookmarkStart w:id="910" w:name="_Toc345"/>
      <w:bookmarkEnd w:id="908"/>
      <w:bookmarkEnd w:id="909"/>
      <w:r>
        <w:rPr>
          <w:rtl w:val="true"/>
        </w:rPr>
        <w:t>طلب الاستغفار من النبي صلى الله عليه و آله و سلم</w:t>
      </w:r>
      <w:bookmarkEnd w:id="910"/>
    </w:p>
    <w:p>
      <w:pPr>
        <w:pStyle w:val="BookText"/>
        <w:rPr/>
      </w:pPr>
      <w:r>
        <w:rPr>
          <w:rFonts w:ascii="Amiri" w:hAnsi="Amiri" w:eastAsia="Amiri" w:cs="Amiri"/>
          <w:color w:val="111111"/>
          <w:sz w:val="28"/>
          <w:sz w:val="28"/>
          <w:szCs w:val="28"/>
          <w:rtl w:val="true"/>
          <w:lang w:bidi="ar-SA"/>
        </w:rPr>
        <w:t>إنّ الذكر الحكيم يحث المسلمين أو طائفة منهم على الحضور عند النبيّ صلى الله عليه و آله و سلم ليستغفر لهم بعد استغفارهم،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والآية وإن وردت والنبي على قيد الحياة إلّاأنّ المورد لايخصّص، لأنّ النبي صلى الله عليه و آله و سلم حي يرزق؛ وكيف لا يكون حياً وهو يرد سلام مَن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حياً وهو نبي الشهداء، وهؤلاء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 رسول اللّه صلى الله عليه و آله و سلم وطلب منه الاستغفار سوف يكون قد عمل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ألباب الأُمّة وعقلاؤها أنّ الآية لا تشير إلى مدة حياته، بل تعم الدنيا إلى آخرها، لذلك كتبت هذه الآية فوق قبره الشريف لكي لا يغفل الزائرون عن هذه النعمة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السبكي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فتاوى فقهاء المذاهب، وإنّ الجميع متّفقون على استحباب زيارته صلى الله عليه و آله و سلم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أيضاً عن فقيه الحنابلة ابن قدامة المقدسي</w:t>
      </w:r>
      <w:r>
        <w:rPr>
          <w:rStyle w:val="FootnoteAnchor"/>
          <w:rtl w:val="true"/>
        </w:rPr>
        <w:footnoteReference w:id="913"/>
      </w:r>
      <w:r>
        <w:rPr>
          <w:rFonts w:ascii="Amiri" w:hAnsi="Amiri" w:eastAsia="Amiri" w:cs="Amiri"/>
          <w:color w:val="111111"/>
          <w:sz w:val="28"/>
          <w:sz w:val="28"/>
          <w:szCs w:val="28"/>
          <w:rtl w:val="true"/>
          <w:lang w:bidi="ar-SA"/>
        </w:rPr>
        <w:t xml:space="preserve">أنّه قال به، وكذلك نصّ عليه المالكية أيضاً؛ كما وذكر قول أبي الخطّاب محفوظ بن أحمد بن الحسن الكلواذانيّ الحنبلي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 صفة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 من الحجّ استحبّ له زيارة قبر النبيّ صلى الله عليه و آله و سلم</w:t>
      </w:r>
      <w:r>
        <w:rPr>
          <w:rFonts w:eastAsia="Amiri" w:cs="Amiri" w:ascii="Amiri" w:hAnsi="Amiri"/>
          <w:color w:val="111111"/>
          <w:sz w:val="28"/>
          <w:szCs w:val="28"/>
          <w:rtl w:val="true"/>
          <w:lang w:bidi="ar-SA"/>
        </w:rPr>
        <w:t>.</w:t>
      </w:r>
      <w:bookmarkStart w:id="911" w:name="pg16780_177512"/>
    </w:p>
    <w:p>
      <w:pPr>
        <w:pStyle w:val="BookText"/>
        <w:rPr/>
      </w:pPr>
      <w:bookmarkEnd w:id="911"/>
      <w:r>
        <w:rPr>
          <w:rFonts w:ascii="Amiri" w:hAnsi="Amiri" w:eastAsia="Amiri" w:cs="Amiri"/>
          <w:color w:val="111111"/>
          <w:sz w:val="28"/>
          <w:sz w:val="28"/>
          <w:szCs w:val="28"/>
          <w:rtl w:val="true"/>
          <w:lang w:bidi="ar-SA"/>
        </w:rPr>
        <w:t xml:space="preserve">وقال أبوعبداللّه محمّد بن عبداللّه بن الحسين بن أحمد بن القاسم بن إدريس السامريّ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قبر الرسول صلى الله عليه و آله و سلم، وإذا قدم مدينة الرسول صلى الله عليه و آله و سلم استحبّ له أن يغتسل لدخولها، ثمّ يأتي مسجد الرسول عليه الصلاة والسلام ويقدّم رجله اليمنى في الدخول، ثمّ يأتي حائط القبر، فيقف ناحية، ويجعل القبر تلقاء وجهه، والقبلة خلف ظهره، والمنبر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كيفيّة السلام والدعاء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لنبيّك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وإنّي قد أتيت نبيّك مستغفراً، فأسألك أن توجب لي المغفرة، كما أوجبتها لمن أتاه في حياته، اللّهم إنّي أتوجّه إليك بنبيّك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دعاء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الخروج عاد إلى قبر رسول اللّه صلى الله عليه و آله و سلم فودّع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عزيزي القارئ إلى هذا المصنّف وهو من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متمذهب بمذهبهم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نصّ على التوجّه إلى اللّه تعالى بالنبيّ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915"/>
      </w:r>
    </w:p>
    <w:p>
      <w:pPr>
        <w:pStyle w:val="Heading5"/>
        <w:numPr>
          <w:ilvl w:val="4"/>
          <w:numId w:val="1"/>
        </w:numPr>
        <w:rPr/>
      </w:pPr>
      <w:bookmarkStart w:id="912" w:name="__RefHeading___Toc7190145_73709187"/>
      <w:bookmarkStart w:id="913" w:name="_Toc346"/>
      <w:bookmarkEnd w:id="912"/>
      <w:r>
        <w:rPr>
          <w:rtl w:val="true"/>
        </w:rPr>
        <w:t>اهتمام العلماء بزيارة النبي الأكرم صلى الله عليه و آله و سلم</w:t>
      </w:r>
      <w:bookmarkEnd w:id="913"/>
    </w:p>
    <w:p>
      <w:pPr>
        <w:pStyle w:val="BookText"/>
        <w:rPr/>
      </w:pPr>
      <w:r>
        <w:rPr>
          <w:rFonts w:ascii="Amiri" w:hAnsi="Amiri" w:eastAsia="Amiri" w:cs="Amiri"/>
          <w:color w:val="111111"/>
          <w:sz w:val="28"/>
          <w:sz w:val="28"/>
          <w:szCs w:val="28"/>
          <w:rtl w:val="true"/>
          <w:lang w:bidi="ar-SA"/>
        </w:rPr>
        <w:t xml:space="preserve">اتّفق فقهاء الفريقين على استحباب زيارة قبر النبي الأكرم صلى الله عليه و آله و سلم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النبي صلى الله عليه و آله و سلم أفضل المندوبات، وردت فيها أحاديث</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اعتنى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قديمهم ومتأخرهم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عظيمة بزيارة قبر النبي</w:t>
      </w:r>
    </w:p>
    <w:p>
      <w:pPr>
        <w:pStyle w:val="BookText"/>
        <w:rPr/>
      </w:pPr>
      <w:r>
        <w:rPr>
          <w:rFonts w:ascii="Amiri" w:hAnsi="Amiri" w:eastAsia="Amiri" w:cs="Amiri"/>
          <w:color w:val="111111"/>
          <w:sz w:val="28"/>
          <w:sz w:val="28"/>
          <w:szCs w:val="28"/>
          <w:rtl w:val="true"/>
          <w:lang w:bidi="ar-SA"/>
        </w:rPr>
        <w:t>الأكرم صلى الله عليه و آله و سلم فألفوا في ذلك كتباً كثيرة في بيان فضل الزيارة وآدابها ومناسكها، وثواب شد الرحال إلى زيارة قبره الشريف صلى الله عليه و آله و سلم وبيان الآثار الاجتماعية لهذه العبادة الشريفة، وإليك عناوين عدد مما ألفه اخواننا علماء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بتعريف حقوق المصطفى، للعلّامة القاضي أبي الفضل عياض بن موسى اليحصبي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السقام في زيارة خير الأنام، للإمام العلّامة تقي الدين 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الزائر وإطراف المقيم السائر في زيارة النبي صلى الله عليه و آله و سلم، للإمام العالم أبي اليمن عبد الصمد ابن الشيخ الأجل أبي الحسن عبد الوهاب بن الحسن بن محمد بن الحسن بن هبة اللّه القرشي الدمشقي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المنارة لتخريج أحاديث التوسل والزيارة، للمحدث الشيخ محمود سعيد 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المنظم في زيارة القبر النبوي الشريف المكرّم، للمحدث الشيخ شهاب الدين أحمد بن محمد 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الزوار إلى قبر النبي المختار، لابن حجر الهيتمي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الثمينة فيما لزائر النبي صلى الله عليه و آله و سلم إلى المدينة، للعلامة الشيخ أحمد بن محمد بن عبد الغني المدني الدجاني الأنصاري القشاشي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نفحات الرضا والقبول في فضائل المدينة وزيارة سيدنا الرسول صلى الله عليه و آله و سلم، للمحدث المؤرخ الشيخ أحمد بن محمد الحضراوي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914" w:name="pg16780_177516"/>
    </w:p>
    <w:p>
      <w:pPr>
        <w:pStyle w:val="BookText"/>
        <w:rPr/>
      </w:pPr>
      <w:bookmarkEnd w:id="91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الذخائر القدسية في زيارة خير البرية، للعلامة الشيخ عبد الحميد بن محمد علي قدس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والزيارة، للشيخ محمد الفقي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في زيارة النبي المختار صلى الله عليه و آله و سلم، للإمام المحدث الشيخ حسن العدوي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النبوية بين الشرعية والبدعية، للسيد محمد بن علوي المالكي الحسني</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7190147_73709187"/>
      <w:bookmarkStart w:id="916" w:name="_Toc347"/>
      <w:bookmarkEnd w:id="915"/>
      <w:r>
        <w:rPr>
          <w:rtl w:val="true"/>
        </w:rPr>
        <w:t>زيارة القبور في السنة النبوية</w:t>
      </w:r>
      <w:bookmarkEnd w:id="916"/>
    </w:p>
    <w:p>
      <w:pPr>
        <w:pStyle w:val="BookText"/>
        <w:rPr/>
      </w:pPr>
      <w:r>
        <w:rPr>
          <w:rFonts w:ascii="Amiri" w:hAnsi="Amiri" w:eastAsia="Amiri" w:cs="Amiri"/>
          <w:color w:val="111111"/>
          <w:sz w:val="28"/>
          <w:sz w:val="28"/>
          <w:szCs w:val="28"/>
          <w:rtl w:val="true"/>
          <w:lang w:bidi="ar-SA"/>
        </w:rPr>
        <w:t>اتّفق أهل السيرة على أنّ النبي الأكرم صلى الله عليه و آله و سلم كان يخرج من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وأتاكم ما توعدون، غداً مؤجّلون، وإنّا إن شاء اللّه بكم لاحقون، اللّهم اغفر لأهل بقيع الغرقد</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ولم يقتصر صلى الله عليه و آله و سلم بل علّم كيفية الزيارة لزوجته، روى مسلم في صحيحه عن عائشة في حديث طويل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أقول لهم يارسول اللّه‌؟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ورحم اللّه المستقدمين منّا والمستأخرين، 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ومع ذلك نرى أنّ الحكومة السعودية قد أقفلت باب البقيع بوجه النساء، فمنعت دخولهن إليه، مع أنّ رسول اللّه صلى الله عليه و آله و سلم أدخل زوجته البقيع وعلّمها صيغة الزيارة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الآثار أنّ بنت المصطفى التي هي أفضل نساء العالمين</w:t>
      </w:r>
    </w:p>
    <w:p>
      <w:pPr>
        <w:pStyle w:val="BookText"/>
        <w:rPr/>
      </w:pPr>
      <w:r>
        <w:rPr>
          <w:rFonts w:ascii="Amiri" w:hAnsi="Amiri" w:eastAsia="Amiri" w:cs="Amiri"/>
          <w:color w:val="111111"/>
          <w:sz w:val="28"/>
          <w:sz w:val="28"/>
          <w:szCs w:val="28"/>
          <w:rtl w:val="true"/>
          <w:lang w:bidi="ar-SA"/>
        </w:rPr>
        <w:t>تذهب إلى زيارة القبور، كما تذهب إلى زيارة قبر عمها حمزة وتصلّي عنده في حياة أبيها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هذه هي سيرة النبي صلى الله عليه و آله و سلم وهذا سلوك بنته، فما هذا التناقض بينها وبين عمل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زارت عائشة قبر أخيها عبدالرحمن وكان قد مات بالحُبشي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والحبشي على اثني عشر ميلاً من مكة، هكذا في كتاب ابن أبي شيبة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حتّى دفن بمكة، فقدمت عائشة من المدينة، فأتت قبره فوقفت عليه، فتمثلت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كندماني جذيمة حقبة من السهر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pStyle w:val="BookText"/>
        <w:rPr/>
      </w:pPr>
      <w:r>
        <w:rPr>
          <w:rFonts w:ascii="Amiri" w:hAnsi="Amiri" w:eastAsia="Amiri" w:cs="Amiri"/>
          <w:color w:val="111111"/>
          <w:sz w:val="28"/>
          <w:sz w:val="28"/>
          <w:szCs w:val="28"/>
          <w:rtl w:val="true"/>
          <w:lang w:bidi="ar-SA"/>
        </w:rPr>
        <w:t>فلّما تفرقنا كأنّي ومالكاً لطول اجتماع لم نبت ليلة معا</w:t>
      </w:r>
    </w:p>
    <w:p>
      <w:pPr>
        <w:pStyle w:val="BookText"/>
        <w:rPr/>
      </w:pPr>
      <w:r>
        <w:rPr>
          <w:rFonts w:ascii="Amiri" w:hAnsi="Amiri" w:eastAsia="Amiri" w:cs="Amiri"/>
          <w:color w:val="111111"/>
          <w:sz w:val="28"/>
          <w:sz w:val="28"/>
          <w:szCs w:val="28"/>
          <w:rtl w:val="true"/>
          <w:lang w:bidi="ar-SA"/>
        </w:rPr>
        <w:t>أما واللّه لو شهدتك ما زرتك، ولو شهدتك ما دفنتك إلّافي مكانك الّذي متّ فيه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زيارة قبر النبي صلى الله عليه و آله و سلم أمر اتفق عليه قاطبة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مفتي الديار السعودية السابق عبدالعزيز بن باز أفتى باستحبابها ونشرت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 في عددها </w:t>
      </w:r>
      <w:r>
        <w:rPr>
          <w:rFonts w:eastAsia="Amiri" w:cs="Amiri" w:ascii="Amiri" w:hAnsi="Amiri"/>
          <w:color w:val="111111"/>
          <w:sz w:val="28"/>
          <w:szCs w:val="28"/>
          <w:lang w:bidi="ar-SA"/>
        </w:rPr>
        <w:t>6826</w:t>
      </w:r>
      <w:r>
        <w:rPr>
          <w:rFonts w:ascii="Amiri" w:hAnsi="Amiri" w:eastAsia="Amiri" w:cs="Amiri"/>
          <w:color w:val="111111"/>
          <w:sz w:val="28"/>
          <w:sz w:val="28"/>
          <w:szCs w:val="28"/>
          <w:rtl w:val="true"/>
          <w:lang w:bidi="ar-SA"/>
        </w:rPr>
        <w:t xml:space="preserve">، وبتاريخ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العقدة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العلّامة السبكي ماروي في المقام من الأحاديث فانهاها إلى</w:t>
      </w:r>
      <w:bookmarkStart w:id="917" w:name="pg16780_177519"/>
    </w:p>
    <w:p>
      <w:pPr>
        <w:pStyle w:val="BookText"/>
        <w:rPr/>
      </w:pPr>
      <w:bookmarkEnd w:id="917"/>
      <w:r>
        <w:rPr>
          <w:rFonts w:ascii="Amiri" w:hAnsi="Amiri" w:eastAsia="Amiri" w:cs="Amiri"/>
          <w:color w:val="111111"/>
          <w:sz w:val="28"/>
          <w:sz w:val="28"/>
          <w:szCs w:val="28"/>
          <w:rtl w:val="true"/>
          <w:lang w:bidi="ar-SA"/>
        </w:rPr>
        <w:t>خمسة عشر حديثاً وتكلم في أسنادها،</w:t>
      </w:r>
      <w:r>
        <w:rPr>
          <w:rStyle w:val="FootnoteAnchor"/>
          <w:rtl w:val="true"/>
        </w:rPr>
        <w:footnoteReference w:id="921"/>
      </w:r>
      <w:r>
        <w:rPr>
          <w:rFonts w:ascii="Amiri" w:hAnsi="Amiri" w:eastAsia="Amiri" w:cs="Amiri"/>
          <w:color w:val="111111"/>
          <w:sz w:val="28"/>
          <w:sz w:val="28"/>
          <w:szCs w:val="28"/>
          <w:rtl w:val="true"/>
          <w:lang w:bidi="ar-SA"/>
        </w:rPr>
        <w:t>كما نقل نصوص كبار علماء المسلمين على استحباب زيارة قبر الرسول الأكرم صلى الله عليه و آله و سلم، وقد بيّن أنّ الاستحباب أمر مجمع عليه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العلّامة الراحل الشيخ الأميني رحمه الله قد نقل ما دل على استحباب زيارة النبي صلى الله عليه و آله و سلم وذكر ما يتجاوز الأربعين قولاً من أقوال علماء السنّة التي فات السبكي الوقوف عليها</w:t>
      </w:r>
      <w:r>
        <w:rPr>
          <w:rFonts w:eastAsia="Amiri" w:cs="Amiri" w:ascii="Amiri" w:hAnsi="Amiri"/>
          <w:color w:val="111111"/>
          <w:sz w:val="28"/>
          <w:szCs w:val="28"/>
          <w:rtl w:val="true"/>
          <w:lang w:bidi="ar-SA"/>
        </w:rPr>
        <w:t>.</w:t>
      </w:r>
      <w:r>
        <w:rPr>
          <w:rStyle w:val="FootnoteAnchor"/>
          <w:rtl w:val="true"/>
        </w:rPr>
        <w:footnoteReference w:id="922"/>
      </w:r>
    </w:p>
    <w:p>
      <w:pPr>
        <w:pStyle w:val="Heading5"/>
        <w:numPr>
          <w:ilvl w:val="4"/>
          <w:numId w:val="1"/>
        </w:numPr>
        <w:rPr/>
      </w:pPr>
      <w:bookmarkStart w:id="918" w:name="__RefHeading___Toc7190149_73709187"/>
      <w:bookmarkStart w:id="919" w:name="_Toc348"/>
      <w:bookmarkEnd w:id="918"/>
      <w:r>
        <w:rPr>
          <w:rtl w:val="true"/>
        </w:rPr>
        <w:t>حديث لا تشدّ الرّحال</w:t>
      </w:r>
      <w:bookmarkEnd w:id="919"/>
    </w:p>
    <w:p>
      <w:pPr>
        <w:pStyle w:val="BookText"/>
        <w:rPr/>
      </w:pPr>
      <w:r>
        <w:rPr>
          <w:rFonts w:ascii="Amiri" w:hAnsi="Amiri" w:eastAsia="Amiri" w:cs="Amiri"/>
          <w:color w:val="111111"/>
          <w:sz w:val="28"/>
          <w:sz w:val="28"/>
          <w:szCs w:val="28"/>
          <w:rtl w:val="true"/>
          <w:lang w:bidi="ar-SA"/>
        </w:rPr>
        <w:t>ربما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النبي صلى الله عليه و آله و سلم أمر مستحب في نفسه، إلّاأنّ السفر لتلك الغاية غير جائز لما رواه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إلّا أنّ الإمعان في الحديث يعرب عن أنّ الكلام مشتمل على المستثنى دون المستثنى عنه، ويسمّى هذا الاستثناء في اصطلاح اللغويين بالاستثناء المفرغ، فلابد من تعيين المستثنى منه ثم دراسة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المقدّر هو المكان أو القبر، أو المسجد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مكان من الأمكنة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قبر من القبور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من المساجد إلّا 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باطل شرعاً وعرفاً لبديهة جواز السفر للتجارة والزيارة والدراسة والسياحة إلى غير ذلك من الغايات المباحة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يجعل المستثنى منقطعاً لعدم دخول المستثنى في المستثنى منه، إذ يصبح الكلام ركيكاً جدّاً، والنبي الأكرم صلى الله عليه و آله و سلم أفصح العرب، فكيف يتكلّم بما يُعد عيباً عند الفصحاء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يتعين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من المساجد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وجود المزية في غير هذه المساجد الثلاثة، فيصبح شد الرحال أمراً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فالمسجد الجامع في البصرة من حيث الثواب نفسه في الكوفة فالسفر من البصرة إلى الكوفة لغاية درك فضيلة اقامة الصلاة في المسجد الجامع في الكوفة أمر لا طائل تحته لإمكان الزائر أن يناله بالصلاة في جامع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الحديث واضح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لا يشمل مَن يشد الرحال ويتوجه لمرقد رسول اللّه صلى الله عليه و آله و سلم لزيارته وتجديد البيعة معه لخروجه عن مصب الحديث في جانبي المستثنى والمستثنى منه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القول بصحة سند الحديث، وبما أنّه ورد في الصحيحين أبى الفقهاء عن المناقشة في مضمونه، وإلّا فيمكن نقض القاعدة بما تضافر من أنّ النبي صلى الله عليه و آله و سلم كان يزور مسجد قباء في كل سبت</w:t>
      </w:r>
      <w:r>
        <w:rPr>
          <w:rStyle w:val="FootnoteAnchor"/>
          <w:rtl w:val="true"/>
        </w:rPr>
        <w:footnoteReference w:id="924"/>
      </w:r>
      <w:r>
        <w:rPr>
          <w:rFonts w:ascii="Amiri" w:hAnsi="Amiri" w:eastAsia="Amiri" w:cs="Amiri"/>
          <w:color w:val="111111"/>
          <w:sz w:val="28"/>
          <w:sz w:val="28"/>
          <w:szCs w:val="28"/>
          <w:rtl w:val="true"/>
          <w:lang w:bidi="ar-SA"/>
        </w:rPr>
        <w:t>، ومنطقة قباء تبعد عن المدينة</w:t>
      </w:r>
      <w:bookmarkStart w:id="920" w:name="pg16780_177524"/>
    </w:p>
    <w:p>
      <w:pPr>
        <w:pStyle w:val="BookText"/>
        <w:rPr/>
      </w:pPr>
      <w:bookmarkEnd w:id="920"/>
      <w:r>
        <w:rPr>
          <w:rFonts w:ascii="Amiri" w:hAnsi="Amiri" w:eastAsia="Amiri" w:cs="Amiri"/>
          <w:color w:val="111111"/>
          <w:sz w:val="28"/>
          <w:sz w:val="28"/>
          <w:szCs w:val="28"/>
          <w:rtl w:val="true"/>
          <w:lang w:bidi="ar-SA"/>
        </w:rPr>
        <w:t>مسافة تستوجب السفر وشدّ الرحال</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7190151_73709187"/>
      <w:bookmarkStart w:id="922" w:name="_Toc349"/>
      <w:bookmarkEnd w:id="921"/>
      <w:r>
        <w:rPr>
          <w:rtl w:val="true"/>
        </w:rPr>
        <w:t>شدّ الرحال إلى المساجد السبعة</w:t>
      </w:r>
      <w:bookmarkEnd w:id="922"/>
    </w:p>
    <w:p>
      <w:pPr>
        <w:pStyle w:val="BookText"/>
        <w:rPr/>
      </w:pPr>
      <w:r>
        <w:rPr>
          <w:rFonts w:ascii="Amiri" w:hAnsi="Amiri" w:eastAsia="Amiri" w:cs="Amiri"/>
          <w:color w:val="111111"/>
          <w:sz w:val="28"/>
          <w:sz w:val="28"/>
          <w:szCs w:val="28"/>
          <w:rtl w:val="true"/>
          <w:lang w:bidi="ar-SA"/>
        </w:rPr>
        <w:t xml:space="preserve">إنّ حجاج بيت اللّه الحرام يقصدون المساجد السبعة في المدينة المنورة، مضافاً إلى المساجد الثلاثة الأُخرى كمسجد رد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والاجابة، وبلال، فكيف يبرر هذا السفر مع نهي النبي صلى الله عليه و آله و سلم عن شد الرحال إلّالمساجد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نهى عن السفر إلى غير هذه المساجد لأجل العبادة والصلاة فيها، لكون السفر أمراً لغواً لعدم مزية مسجد على مسجد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سفر الحجاج إلى هذه المساجد فليس لغاية إقامة الصلاة فيها وإن كانوا يصلّون بمجرد الدخول فيها، بل الغاية من السفر هو التعرّف على البطولات التي قام بها المسلمون في وجه المشركين وما قدّموا من التضحيات في طريق إرساء أُسس الإسلام ونشر راية التوحيد، وكل ذلك لا يعلم إلّابالحضور في تلك المشاهد حتّى يتعرف الإنسان على ما جرى عليهم في تلك الحقبة من الزمن، وذلك واضح لكل من له إلمام بالسفر إلى هذه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السفر إليها لأجل اقامة الصلاة فيها بل التعرف على تاريخ الإسلام وبطولات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الحكومة السعودية بسبب ضغط هيئة الآمرين بالمعروف قد وضعت العراقيل أمام حجاج بيت اللّه الحرام الّذين يقومون بزيارة هذه المشاهد، بإقفال بعض هذه المساجد والمنع عن الأُخريات، وما ذلك إلّالقطع صلة المسلمين بآثار نبيهم</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7190153_73709187"/>
      <w:bookmarkStart w:id="924" w:name="_Toc350"/>
      <w:bookmarkEnd w:id="923"/>
      <w:r>
        <w:rPr>
          <w:rtl w:val="true"/>
        </w:rPr>
        <w:t>صيانة آثار الصالحين</w:t>
      </w:r>
      <w:bookmarkEnd w:id="92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ظاهرة دينية أو اجتماعية إذا تجرّدت عن الآثار الدالة على وجودها</w:t>
      </w:r>
    </w:p>
    <w:p>
      <w:pPr>
        <w:pStyle w:val="BookText"/>
        <w:rPr/>
      </w:pPr>
      <w:r>
        <w:rPr>
          <w:rFonts w:ascii="Amiri" w:hAnsi="Amiri" w:eastAsia="Amiri" w:cs="Amiri"/>
          <w:color w:val="111111"/>
          <w:sz w:val="28"/>
          <w:sz w:val="28"/>
          <w:szCs w:val="28"/>
          <w:rtl w:val="true"/>
          <w:lang w:bidi="ar-SA"/>
        </w:rPr>
        <w:t>على أرض الواقع قد تصبح بمرور الأجيال عرضة للتشكيك والترديد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 الدعوة النصرانية أصبحت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بالأخص عند شبابهم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مشكوكة، وذلك لأنّه ليس لسيدنا المسيح أثر ملموس يستدل على وجوده ودعوته، إذ ليس للمسيح عندهم مقام يزار، ولا لأصحابه قبور تقصد، ولم يجدوا كتاباً مصوناً من التحريف والدس، إذ أنّ ما بين أيديهم ما يقارب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أنجيلاً يُضاد بعضها بعضاً، على أنّ كثيراً منها حافل بحياة سيدنا المسيح، وكأنّ إنساناً غيره قد كتب ترجمة حياته إلى أنّ صلب ودُفن وخرج من قبره بعد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ممّا سبب تولد التشكيك في أصل الدعوة النصرانية، وأنّه من المحتمل أن تكون من الأساطير والروايات كأُسطورة قيس ومعشوقته ليلى العامريين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ألاّ تبتلي الأُمّة الإسلامية بما ابتلت به الأُمم السابقة يجب على أبنائها صيانة كل أثر يرجع إلى النبي الأكرم صلى الله عليه و آله و سلم وأولاده الطيبين عليهم السلام وأصحابه الميامين وكل ما يمت بصلة إليهم حتّى يصبحوا عند الأُمم المتحضرة شامخي الرؤوس، وانّهم اتباع دين قيّم ونبي عظيم، فيقولون هذا مولده، وهذا مهبط وحيه، وهذه قبور أولاده وأصحابه، وهذه أماكن بطولاتهم وفتوحاتهم، إلى غير ذلك ممّا يدل على وجود هذه الدعوة وواقعيتها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العوامل التي تساعد على صيانة الآثار شد الرحال إلى زيارة قبر النبي الأكرم صلى الله عليه و آله و سلم وقبور أولاده وأصحابه، الذين بذلوا مهجهم في إرساء أُسس الدين، فلو تركت الأُمّة الإسلامية زيارتهم ولم يتعاهدوا تلك الأماكن المشرفة المنتشرة في أرجاء البلدان الإسلامية لتعرضت إلى الاندراس والزوال، ولم يبق منها أثر شاهد</w:t>
      </w:r>
      <w:r>
        <w:rPr>
          <w:rFonts w:eastAsia="Amiri" w:cs="Amiri" w:ascii="Amiri" w:hAnsi="Amiri"/>
          <w:color w:val="111111"/>
          <w:sz w:val="28"/>
          <w:szCs w:val="28"/>
          <w:rtl w:val="true"/>
          <w:lang w:bidi="ar-SA"/>
        </w:rPr>
        <w:t>.</w:t>
      </w:r>
      <w:bookmarkStart w:id="925" w:name="pg16780_177528"/>
    </w:p>
    <w:p>
      <w:pPr>
        <w:pStyle w:val="Heading5"/>
        <w:numPr>
          <w:ilvl w:val="4"/>
          <w:numId w:val="1"/>
        </w:numPr>
        <w:rPr/>
      </w:pPr>
      <w:bookmarkStart w:id="926" w:name="__RefHeading___Toc7190155_73709187"/>
      <w:bookmarkStart w:id="927" w:name="_Toc351"/>
      <w:bookmarkEnd w:id="925"/>
      <w:bookmarkEnd w:id="926"/>
      <w:r>
        <w:rPr>
          <w:rtl w:val="true"/>
        </w:rPr>
        <w:t>البيوت التي أذن اللّه أن ترفع</w:t>
      </w:r>
      <w:bookmarkEnd w:id="927"/>
    </w:p>
    <w:p>
      <w:pPr>
        <w:pStyle w:val="BookText"/>
        <w:rPr/>
      </w:pPr>
      <w:r>
        <w:rPr>
          <w:rFonts w:ascii="Amiri" w:hAnsi="Amiri" w:eastAsia="Amiri" w:cs="Amiri"/>
          <w:color w:val="111111"/>
          <w:sz w:val="28"/>
          <w:sz w:val="28"/>
          <w:szCs w:val="28"/>
          <w:rtl w:val="true"/>
          <w:lang w:bidi="ar-SA"/>
        </w:rPr>
        <w:t>لقد أمر اللّه سبحانه المسلمين برفع بعض البيوت التي يذكر فيها اسمه ويسبّح له فيها بالغدو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فلنبحث في البيوت التي عنتها هذه الآية، فهناك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بيوت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فغير صحيح جدّاً، لأنّ البيت غير المسجد، فالبيت عبارة عن المكان الّذي يسكن فيه الرجل وأهله ويأوي إليه من الحر والبرد، وهو مبيته، لذا يجب أن يكون له سقف فلا يطلق على المكشوف بيتاً،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وتفسير ذلك هو أنّه لولا أنّ مشيئته تعلّقت بأن يكون الناس أُمّة واحدة لجعل سقوف بيوت الكافرين من فضة، وهذا يدل على أنّ السقف من لوازم البيت مع أنّ المساجد لا يشترط فيها السقف، وهذا هو المسجد الحرام مكشوف غير مسقف</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يتعيّن الثاني وهو الّذي يؤيده ما أُثر عن النبي الأكرم صلى الله عليه و آله و سلم، روى</w:t>
      </w:r>
    </w:p>
    <w:p>
      <w:pPr>
        <w:pStyle w:val="BookText"/>
        <w:rPr/>
      </w:pPr>
      <w:r>
        <w:rPr>
          <w:rFonts w:ascii="Amiri" w:hAnsi="Amiri" w:eastAsia="Amiri" w:cs="Amiri"/>
          <w:color w:val="111111"/>
          <w:sz w:val="28"/>
          <w:sz w:val="28"/>
          <w:szCs w:val="28"/>
          <w:rtl w:val="true"/>
          <w:lang w:bidi="ar-SA"/>
        </w:rPr>
        <w:t>السيوطي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أنس بن مالك وبريد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رسول اللّه صلى الله عليه و آله و سلم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والمراد من الرفع إمّا الرفع المادي أو الرفع المعنوي، فعلى الأوّل يجب تعميرها عند طروء الحوادث المخربة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يجب تعظيمها وتنظيفها ممّا يشينها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البيوت ربّما تكون بيتاً للنبي وآله فتزيد شرفاً وتكتسب فضلاً كما هوالحال في مرقد النبي صلى الله عليه و آله و سلم، ومرقد الإمامين الهمامين الهادي والعسكري عليهما السلام فقد دفنا في بيتهما وكانا يسبحان له بالغدو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يبلغ الجهل بالإنسان درجة يرى فيها أنّ تخريب هذه البيوت عبادة يتقرب بها إلى اللّه، وفريضة يثاب عليها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قاتل اللّه الجهل أوّلاً، والعصبية الطائفية ثانياً، فإنّ المخرّبين يعلمون بأنّ البيت الّذي قاموا بتخريبه هو مرقد العترة الطاهرة التي أمراللّه سبحانه بمودتهم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bookmarkStart w:id="928" w:name="pg16780_177532"/>
    </w:p>
    <w:p>
      <w:pPr>
        <w:pStyle w:val="Heading4"/>
        <w:numPr>
          <w:ilvl w:val="3"/>
          <w:numId w:val="1"/>
        </w:numPr>
        <w:rPr/>
      </w:pPr>
      <w:bookmarkStart w:id="929" w:name="__RefHeading___Toc7190157_73709187"/>
      <w:bookmarkStart w:id="930" w:name="_Toc352"/>
      <w:bookmarkEnd w:id="928"/>
      <w:bookmarkEnd w:id="929"/>
      <w:r>
        <w:rPr>
          <w:rtl w:val="true"/>
        </w:rPr>
        <w:t>الفصل الثاني صيانة مراقد الأنبياء والأئمة</w:t>
      </w:r>
      <w:bookmarkEnd w:id="930"/>
    </w:p>
    <w:p>
      <w:pPr>
        <w:pStyle w:val="Heading5"/>
        <w:numPr>
          <w:ilvl w:val="4"/>
          <w:numId w:val="1"/>
        </w:numPr>
        <w:rPr/>
      </w:pPr>
      <w:bookmarkStart w:id="931" w:name="__RefHeading___Toc7190159_73709187"/>
      <w:bookmarkStart w:id="932" w:name="_Toc353"/>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تعرفت في الفصل الأوّل على الفوائد والآثار الايجابية المترتبة على زيارة مطلق القبور، مضافاً إلى الآثار الخاصة لزيارة قبور الأنبياء والأولياء، وكل ذلك بشكل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ولندرس هنا ضرورة حفظ قبورهم وصيانتها من الخراب والتدمير على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أنّا في هذه الرسالة بصدد 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مؤلّفه حاول تطبيق أحاديث أئمة أهل البيت عليهم السلام على أقوال الوهابيين وآرائهم، لذلك نركّز البحث على رواياتهم ولا نعتمد على غيرها إلّاقليلاً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فكرة هدم القبور والآثار المقدسة قد أرسى قواعدها أحمد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مضي أربعة قرون نفذ هذه الفكرة محمد بن عبدالوهاب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أن عرض هذه الفكرة على كبير قبيلة آل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فاتفقا على نشر الفكرة وتعزيز الدعوة في الربوع التي يسكنونها، واشترطا أن يتولى ابن عبدالوهاب الأُمور الدينية، ويتولى ابن سعود الأُمور السياسية والاجتماعية، وأن يسلم كل أمره إليه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خاب أحمد بن تيمية في دعوته لأنّه نشر الفكرة في أوساط مكتظة</w:t>
      </w:r>
      <w:bookmarkStart w:id="933" w:name="pg16780_177534"/>
    </w:p>
    <w:p>
      <w:pPr>
        <w:pStyle w:val="BookText"/>
        <w:rPr/>
      </w:pPr>
      <w:bookmarkEnd w:id="933"/>
      <w:r>
        <w:rPr>
          <w:rFonts w:ascii="Amiri" w:hAnsi="Amiri" w:eastAsia="Amiri" w:cs="Amiri"/>
          <w:color w:val="111111"/>
          <w:sz w:val="28"/>
          <w:sz w:val="28"/>
          <w:szCs w:val="28"/>
          <w:rtl w:val="true"/>
          <w:lang w:bidi="ar-SA"/>
        </w:rPr>
        <w:t>بالعلم والفقاهة والتاريخ ولذلك أخذوه وزجوه بالسجن، حتّى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 الّذي طرح هذه الفكرة معتمداً على سلطة عشيرة آل سعود في بيئة يندر فيها العلم والفقه، فلا علم ناجع ولا معرفة بموازين التوحيد والشرك، لذا تبعت أعراب نجد قول ابن تيمية ونفذوا ما أمرهم به محمد بن عبدالوهاب، وساعد على ذلك أنّ هذه الدعوة كانت مقرونة بشن الغارات على القرى والمدن فصاروا يغتنمون كل ما تقع أيديهم عليه من أموال وممتلكات، فكان الخمس للشيخ، والأربعة أخماس هي للمهاجمين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الشيخ في دعوته على كلمتين براقتين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p>
    <w:p>
      <w:pPr>
        <w:pStyle w:val="BookText"/>
        <w:rPr/>
      </w:pPr>
      <w:r>
        <w:rPr>
          <w:rFonts w:ascii="Amiri" w:hAnsi="Amiri" w:eastAsia="Amiri" w:cs="Amiri"/>
          <w:color w:val="111111"/>
          <w:sz w:val="28"/>
          <w:sz w:val="28"/>
          <w:szCs w:val="28"/>
          <w:rtl w:val="true"/>
          <w:lang w:bidi="ar-SA"/>
        </w:rPr>
        <w:t>الشرك</w:t>
      </w:r>
    </w:p>
    <w:p>
      <w:pPr>
        <w:pStyle w:val="BookText"/>
        <w:rPr/>
      </w:pPr>
      <w:r>
        <w:rPr>
          <w:rFonts w:ascii="Amiri" w:hAnsi="Amiri" w:eastAsia="Amiri" w:cs="Amiri"/>
          <w:color w:val="111111"/>
          <w:sz w:val="28"/>
          <w:sz w:val="28"/>
          <w:szCs w:val="28"/>
          <w:rtl w:val="true"/>
          <w:lang w:bidi="ar-SA"/>
        </w:rPr>
        <w:t>وكأنّه لا يوجد في منطقه ومنهجه إلّاهاتين الكلمتين، بدون أن يضعوا ميزاناً للبدعة وملاكاً للشرك في العبادة، وسوف ندرس في هذا الفصل تعريفهما وبيان ملاكهما</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7190161_73709187"/>
      <w:bookmarkStart w:id="935" w:name="_Toc354"/>
      <w:bookmarkEnd w:id="934"/>
      <w:r>
        <w:rPr>
          <w:rtl w:val="true"/>
        </w:rPr>
        <w:t>حدّ التوحيد والشرك</w:t>
      </w:r>
      <w:bookmarkEnd w:id="935"/>
    </w:p>
    <w:p>
      <w:pPr>
        <w:pStyle w:val="BookText"/>
        <w:rPr/>
      </w:pPr>
      <w:r>
        <w:rPr>
          <w:rFonts w:ascii="Amiri" w:hAnsi="Amiri" w:eastAsia="Amiri" w:cs="Amiri"/>
          <w:color w:val="111111"/>
          <w:sz w:val="28"/>
          <w:sz w:val="28"/>
          <w:szCs w:val="28"/>
          <w:rtl w:val="true"/>
          <w:lang w:bidi="ar-SA"/>
        </w:rPr>
        <w:t xml:space="preserve">لم نزل نسمع من أعضاء الهيئة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الآمرين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القبور شرك، فيجب هدمها، وقد سمعت شخصياً أحدهم يقول في وصف محمد بن عبدالوهاب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دمّر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هؤلاء باحثين واقعيين كان عليهم تعريف التوحيد والشرك في العبادة بشكل منطقي يكون جامعاً ومانعاً حتّى تكون الضابطة ملاكاً لتمييز أحدهما عن الآخر، فبما أنّهم قصّروا في هذا الميدان، سوف نقوم نحن بذكر الميزان الجامع لهما فنقول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للشرك مراتب ولكن مراد القائلين بالشرك في المقام هو الشرك في</w:t>
      </w:r>
    </w:p>
    <w:p>
      <w:pPr>
        <w:pStyle w:val="BookText"/>
        <w:rPr/>
      </w:pPr>
      <w:r>
        <w:rPr>
          <w:rFonts w:ascii="Amiri" w:hAnsi="Amiri" w:eastAsia="Amiri" w:cs="Amiri"/>
          <w:color w:val="111111"/>
          <w:sz w:val="28"/>
          <w:sz w:val="28"/>
          <w:szCs w:val="28"/>
          <w:rtl w:val="true"/>
          <w:lang w:bidi="ar-SA"/>
        </w:rPr>
        <w:t>العبادة، وأنّ من بنى بيتاً على قبر نبي أو ولي فقد أشرك باللّه سبحانه أي بمعنى عبد غيره، فلندرس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العبادة سواء أكانت للّه سبحانه أم لغيره كالأصنام والأوثان أو الأجرام السماوية، تُقيّد بقيدين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بالجوارح بنحو من الأنحاء إمّا بالركوع أو بالسجود أو بالانحناء، أو باللسان، وغير ذلك ممّا يستكشف منه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الخضوع ومصدره وهوقائم بالقلب وحقيقته عبارة عن اعتقاد الخاضع بأنّ المخضوع له إمّا خالق للسماوات والأرض أو مدبّر للكون كما هو الحال في عبادة الموحّدين، أو من بيده مصير الخاضع ومستقبله قليلاً أو كثيراً، كما هو الحال في عبادة المشركين، حيث كانوا خاضعين أمام أربابهم باعتقاد أنّ بيدهم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غفران الذنوب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والذلة،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في الحرب،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w:t>
      </w:r>
      <w:r>
        <w:rPr>
          <w:rStyle w:val="FootnoteAnchor"/>
          <w:rtl w:val="true"/>
        </w:rPr>
        <w:footnoteReference w:id="930"/>
      </w:r>
      <w:r>
        <w:rPr>
          <w:rFonts w:ascii="Amiri" w:hAnsi="Amiri" w:eastAsia="Amiri" w:cs="Amiri"/>
          <w:color w:val="111111"/>
          <w:sz w:val="28"/>
          <w:sz w:val="28"/>
          <w:szCs w:val="28"/>
          <w:rtl w:val="true"/>
          <w:lang w:bidi="ar-SA"/>
        </w:rPr>
        <w:t xml:space="preserve">روى ابن هشام في سيرته، أنّ عمرو بن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في سفره إلى البلقاء من أراضي الشام أُناساً يعبدون الأوثان، وعندما سألهم عمّا يفعلون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الأصنام التي أراكم تعبدونها؟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فنستمطرها فتُمطرنا، ونستنصرها فتنصرنا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أفلاتعطونني منها فأسير به إلى أرض العرب فيعبدوه‌؟</w:t>
      </w:r>
    </w:p>
    <w:p>
      <w:pPr>
        <w:pStyle w:val="BookText"/>
        <w:rPr/>
      </w:pPr>
      <w:r>
        <w:rPr>
          <w:rFonts w:ascii="Amiri" w:hAnsi="Amiri" w:eastAsia="Amiri" w:cs="Amiri"/>
          <w:color w:val="111111"/>
          <w:sz w:val="28"/>
          <w:sz w:val="28"/>
          <w:szCs w:val="28"/>
          <w:rtl w:val="true"/>
          <w:lang w:bidi="ar-SA"/>
        </w:rPr>
        <w:t xml:space="preserve">وهكذا استحسن طريقتهم واستصحب معه إلى مكة صنماً كبيراً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على سطح الكعبة المشرفة، ودعا الناس إلى عبادته</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والّذي يعرب عن أنّ المشركين في العبادة كانوا يعتقدون في آلهتهم قدرة غيبية مستقلة عن اللّه مؤثرة في توفير حوائجهم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الآلهة المزعومة تتمتع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أنداداً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محبوبة عندهم كحب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أي كائن وموجود لا يكون مثلاً للّه ونداً له إلّاإذا صار يتصرف في الكون بإرادته الشخصية من دون إرادة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فوضّوا أمر التشريع والتحليل والتحريم بيد الأحبار والرهبان، فلو دل الكتاب المقدّس على حرمة شيء، وقال الأحبار والرهبان بحليته، تراهم يقدّمونه على نص الكتاب، فلذلك صاروا مشركين في أمر التشريع</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 حاكياً عن المشركين حيث يصرحون بعقيدتهم بالآلهة يوم القيامة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ولازم التسوية كون الآلهة يتصرفون في الكون بصورة مستقلة بإرادتهم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بالجوارح وهوالخضوع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الجوانح وهو الاعتقاد بكون المخضوع له خالق أو رب، أو بيده مصير الخاضع في أمر من الأُمور، كغفران الذنوب والعزة في الحياة والانتصار في الحرب ونزول بركات السماء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فلو كان هناك خضوع مجرد عن كل عقيدة خاصة بالنسبة للمخضوع له، إلّاأنّه عبد للّه تبارك وتعالى ورسول من رسله أو ولي من أوليائه، فلا يعد الخضوع له عبادة أبداً ولا يصير الخاضع بعمله مشركاً، وهذا هو يعقوب النبي وأولاده سجدوا ليوسف،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كما أنّ الملائكة في بدء الخلقة سجدوا لآدم خاضعين لكرامته وشرفه ولعلمه بالأسماء دونهم،</w:t>
      </w:r>
      <w:r>
        <w:rPr>
          <w:rStyle w:val="FootnoteAnchor"/>
          <w:rtl w:val="true"/>
        </w:rPr>
        <w:footnoteReference w:id="934"/>
      </w:r>
      <w:r>
        <w:rPr>
          <w:rFonts w:ascii="Amiri" w:hAnsi="Amiri" w:eastAsia="Amiri" w:cs="Amiri"/>
          <w:color w:val="111111"/>
          <w:sz w:val="28"/>
          <w:sz w:val="28"/>
          <w:szCs w:val="28"/>
          <w:rtl w:val="true"/>
          <w:lang w:bidi="ar-SA"/>
        </w:rPr>
        <w:t>ولم يوصف عملهم هذا عبادة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أنّه سبحانه علّق الأمر بالعبادة على عنوان الرب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ومن المعروف أنّ تعليق الحكم بالوصف مشعر بالعلية،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يستفاد منه أنّ وجوب الإكرام لأجل علمه، فيستفاد من الآية أنّ العبادة من شؤون الربوبية، فالعبادة خاصة بمن هو ربّ يدبر الكون وبيده مصير الإنسان دون غيره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خضع الإنسان في مقابل من هو رب واقعاً أو هو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 الخاضع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فيوصف عمله بالعبادة، دونما إذا خضع مجرداً عن أيّة عقيدة ترتبط بالربوبيّة</w:t>
      </w:r>
      <w:r>
        <w:rPr>
          <w:rFonts w:eastAsia="Amiri" w:cs="Amiri" w:ascii="Amiri" w:hAnsi="Amiri"/>
          <w:color w:val="111111"/>
          <w:sz w:val="28"/>
          <w:szCs w:val="28"/>
          <w:rtl w:val="true"/>
          <w:lang w:bidi="ar-SA"/>
        </w:rPr>
        <w:t>.</w:t>
      </w:r>
      <w:bookmarkStart w:id="936" w:name="pg16780_177542"/>
    </w:p>
    <w:p>
      <w:pPr>
        <w:pStyle w:val="BookText"/>
        <w:rPr/>
      </w:pPr>
      <w:bookmarkEnd w:id="936"/>
      <w:r>
        <w:rPr>
          <w:rFonts w:ascii="Amiri" w:hAnsi="Amiri" w:eastAsia="Amiri" w:cs="Amiri"/>
          <w:color w:val="111111"/>
          <w:sz w:val="28"/>
          <w:sz w:val="28"/>
          <w:szCs w:val="28"/>
          <w:rtl w:val="true"/>
          <w:lang w:bidi="ar-SA"/>
        </w:rPr>
        <w:t>وهذا هو القرآن الكريم يأمر بالتذلّل أمام الوالدين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قبر نبي أو ولي أو غيرهما من عامة الناس يعد تكريماً للميت، وتبجيلاً له لأنّه لم يعمل ذلك باعتقاد أنّه خالق أو رب أو مدبر للكون أو غافر للذنوب أو منزل للمطر أو بيده الشفاء والشفاعة إلى غير ذلك من الأُمور التي هي بيد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عدم كونه عبادة لا يلازم كونه عملاً مباحاً، بل ربّما يستنبط حكم العمل من حيث الحرمة والحلية من أدلة أُخرى، وسيوافيك عدم وجود دليل على الحرمة، وبذلك يتضح أنّ تقبيل الأضرحة وأبواب المشاهد التي تضم أجساد الأنبياء والأولياء ليس عبادة لصاحب القبر والمشهد لفقدانها العنصر الثاني ولا يعدّ شركاً</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7190163_73709187"/>
      <w:bookmarkStart w:id="938" w:name="_Toc355"/>
      <w:bookmarkEnd w:id="937"/>
      <w:r>
        <w:rPr>
          <w:rtl w:val="true"/>
        </w:rPr>
        <w:t>البناء على القبور والبدعة</w:t>
      </w:r>
      <w:bookmarkEnd w:id="938"/>
    </w:p>
    <w:p>
      <w:pPr>
        <w:pStyle w:val="Heading6"/>
        <w:numPr>
          <w:ilvl w:val="5"/>
          <w:numId w:val="1"/>
        </w:numPr>
        <w:rPr/>
      </w:pPr>
      <w:bookmarkStart w:id="939" w:name="__RefHeading___Toc7190165_73709187"/>
      <w:bookmarkStart w:id="940" w:name="_Toc356"/>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تعرّض اللغويون لتعريف البدعة في مصنّفاتهم،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إحداث شيء لم يكن له من قبل خلق ولا ذكر ولا معرفة</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إنشاء صنعة بلا احتذاء ولا اقتداء</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بهذا المعنى موضوع للفقه حيث يبحث عن حلية الأشياء وحرمتها، فربّما يكون الأمر البديع حلالاً وربّما يكون حراماً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حدثت في العصر الحاضر أُمور لم يكن لها مثيل كالألعاب الرياضية، فهذا هو من الموضوعات الفقهية التي يبحث الفقيه عن حكمه الذاتي، ونظير ذلك المجالس التي يختلط فيها الرجال والنساء المتبرجات وهذا هو أيضاً</w:t>
      </w:r>
    </w:p>
    <w:p>
      <w:pPr>
        <w:pStyle w:val="BookText"/>
        <w:rPr/>
      </w:pPr>
      <w:r>
        <w:rPr>
          <w:rFonts w:ascii="Amiri" w:hAnsi="Amiri" w:eastAsia="Amiri" w:cs="Amiri"/>
          <w:color w:val="111111"/>
          <w:sz w:val="28"/>
          <w:sz w:val="28"/>
          <w:szCs w:val="28"/>
          <w:rtl w:val="true"/>
          <w:lang w:bidi="ar-SA"/>
        </w:rPr>
        <w:t>يرجع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فيفتي بحلّية الأُولى وحرمة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في المقام في إحداث الأمر البديع في الدين فقد عرّفه الشريف المرتضى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الدين أو النقصان منه مع اسناده إلى الدين</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وعرّفه ابن حجر العسقلاني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وليس له أصل في الشرع، وما كان له أصل يدل عليه الشرع فليس بدعة</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إلى غير ذلك من التعاريف التي تدل على أنّ البدعة تتقوم بأُمور ثلاثة 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التدخّل في الدين والتصرف فيه عقيدة أو حكماً بزيادة أو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تكون لها جذور في الشرع يدعم جوازها إما بالخصوص أو بالعموم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هناك إشاعة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فكل عمل يصدر من الإنسان ويشيعه بين الناس من دون أن يتسم بكونه من الدين كلعبة كرة القدم والسلة والطائرة خارج عن حدّ البدعة، لأنّ لاعبها والناشر لها لا يقوم بذلك باسم الدين، فعلى الباحث في الأُمور المبتدعة أن يُفرّق بين ما يفعل من دون أن يكون له سمة الدين والأعمال التي يقوم بها باسم الدين وأنّه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 يوصف بالبدعة لغوياً ويطلب حكمه من الفقه، فربّمايكون حلالاً وربّما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 بالمعنى الثاني أنسب بالعقيدة وله صلة تامّة بالمتكلّمين، الذين يبحثون عن التوحيد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فلنرجع إلى الموضوع فنقول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القبور ليس أمراً مبتدعاً، بل كانت له جذور في الأُمم</w:t>
      </w:r>
    </w:p>
    <w:p>
      <w:pPr>
        <w:pStyle w:val="BookText"/>
        <w:rPr/>
      </w:pPr>
      <w:r>
        <w:rPr>
          <w:rFonts w:ascii="Amiri" w:hAnsi="Amiri" w:eastAsia="Amiri" w:cs="Amiri"/>
          <w:color w:val="111111"/>
          <w:sz w:val="28"/>
          <w:sz w:val="28"/>
          <w:szCs w:val="28"/>
          <w:rtl w:val="true"/>
          <w:lang w:bidi="ar-SA"/>
        </w:rPr>
        <w:t>السابقة فهذه قبور الأنبياء في الشامات والعراق وإيران فقد بني عليها البناء قبل بعثة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الباني لا يقوم بالبناء بما أنّه جزء من الدين وأنّ الرسول أمر به، وإنّما يقوم به من عند نفسه تكريماً للميّت واحتراماً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عدم كونه بدعة لا يسبب الحلية، بل للفقيه أن يبحث عن حكمه في الكتاب والسنة، وأنّه هل هو محكوم بالحرمة أو بالحلية مع قطع النظر عن عنوان البدعة‌؟</w:t>
      </w:r>
    </w:p>
    <w:p>
      <w:pPr>
        <w:pStyle w:val="BookText"/>
        <w:rPr/>
      </w:pPr>
      <w:r>
        <w:rPr>
          <w:rFonts w:ascii="Amiri" w:hAnsi="Amiri" w:eastAsia="Amiri" w:cs="Amiri"/>
          <w:color w:val="111111"/>
          <w:sz w:val="28"/>
          <w:sz w:val="28"/>
          <w:szCs w:val="28"/>
          <w:rtl w:val="true"/>
          <w:lang w:bidi="ar-SA"/>
        </w:rPr>
        <w:t>وبذلك يظهر مفاد ما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أصدق الحديث كتاب اللّه، وأفضل الهدى هدى محمد، وشر الأُمور محدثاتها، وكل بدعة ضلالة</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فإنّ الحديث ناظر إلى عمل مَن يتدخّل في الدين ويزيد فيه أو ينقص منه شيئاً، ومنه يعلم أنّ تقسيم البدعة إلى حسنة وسيئة أمر باطل حسب المعنى الثاني، فإنّ التدخّل في الدين قبيح عقلاً حرام شرعاً وليس لأحد أن يتدخّل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عبدالقارئ،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 بن الخطاب ليلة رمضان إلى المسجد فإذا الناس أوزاع 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والناس يصلون بصلاة قارئهم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w:t>
      </w:r>
      <w:r>
        <w:rPr>
          <w:rStyle w:val="FootnoteAnchor"/>
          <w:rtl w:val="true"/>
        </w:rPr>
        <w:footnoteReference w:id="942"/>
      </w:r>
      <w:bookmarkStart w:id="941" w:name="pg16780_177548"/>
    </w:p>
    <w:p>
      <w:pPr>
        <w:pStyle w:val="BookText"/>
        <w:rPr/>
      </w:pPr>
      <w:bookmarkEnd w:id="941"/>
      <w:r>
        <w:rPr>
          <w:rFonts w:ascii="Amiri" w:hAnsi="Amiri" w:eastAsia="Amiri" w:cs="Amiri"/>
          <w:color w:val="111111"/>
          <w:sz w:val="28"/>
          <w:sz w:val="28"/>
          <w:szCs w:val="28"/>
          <w:rtl w:val="true"/>
          <w:lang w:bidi="ar-SA"/>
        </w:rPr>
        <w:t>فلو كان لإقامة صلاة التراويح أصل في الكتاب والسنّة، فيصلح توصيفها بالبدعة الحسنة بالمعنى اللغوي، وأمّا لو لم يكن لها أصل فيهما كما هو الحق، لأنّها بالكيفية الحاضرة لم تنقل عن النبي صلى الله عليه و آله و سلم حتى في فترة من خلافة عمر فعندئذٍ تكون بدعة تشريعية،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قبور الأنبياء والأئمة والأولياء حتّى العاديين من الناس لايوصف بالعبادة لهم ولا بكونه بدعة أي تصرفاً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هناك شيء آخر وهو مراجعة الفقيه لمعرفة الحكم الشرعي من حيث الحلية والإباحة من الكتاب والسنة، وهذا ما سنتناوله في البحث التالي</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7190167_73709187"/>
      <w:bookmarkStart w:id="943" w:name="_Toc357"/>
      <w:bookmarkEnd w:id="942"/>
      <w:r>
        <w:rPr/>
        <w:t>1</w:t>
      </w:r>
      <w:r>
        <w:rPr>
          <w:rtl w:val="true"/>
        </w:rPr>
        <w:t xml:space="preserve">. </w:t>
      </w:r>
      <w:r>
        <w:rPr>
          <w:rtl w:val="true"/>
        </w:rPr>
        <w:t>حكم البناء على القبور في الكتاب</w:t>
      </w:r>
      <w:bookmarkEnd w:id="943"/>
    </w:p>
    <w:p>
      <w:pPr>
        <w:pStyle w:val="BookText"/>
        <w:rPr/>
      </w:pPr>
      <w:r>
        <w:rPr>
          <w:rFonts w:ascii="Amiri" w:hAnsi="Amiri" w:eastAsia="Amiri" w:cs="Amiri"/>
          <w:color w:val="111111"/>
          <w:sz w:val="28"/>
          <w:sz w:val="28"/>
          <w:szCs w:val="28"/>
          <w:rtl w:val="true"/>
          <w:lang w:bidi="ar-SA"/>
        </w:rPr>
        <w:t>يستفاد من بعض الآيات القرآنية أنّ البناء على القبور كان أمراً رائجاً بين الأُمم السالفة، ومن هذه الآيات ما تحدّث عن اتفاق من عثروا على أصحاب الكهف على البناء على قبورهم وإن اختلفوا في كيفية البناء، فقال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نبني عليهم بنياناً فإنّهم أبناء آبائنا، وقال الموحّدون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بهم هم منّا نبني عليهم مسجداً نصلي فيه ونعبد اللّه فيه، قال سبحانه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والمراد من الغلبة هي غلبة الموحّدين على المشركين في ظل التطور الفكري الحاصل في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أنّ الطبري ينسب القول الأوّل إلى المشركين والثاني إلى المسلمين</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وسيوافيك تفصيل ذلك في الفصل الثالث</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فالآية تنقل كلا القولين من دون أن يردّ حتى على الأوّل</w:t>
      </w:r>
      <w:bookmarkStart w:id="944" w:name="pg16780_177550"/>
    </w:p>
    <w:p>
      <w:pPr>
        <w:pStyle w:val="BookText"/>
        <w:rPr/>
      </w:pPr>
      <w:bookmarkEnd w:id="944"/>
      <w:r>
        <w:rPr>
          <w:rFonts w:ascii="Amiri" w:hAnsi="Amiri" w:eastAsia="Amiri" w:cs="Amiri"/>
          <w:color w:val="111111"/>
          <w:sz w:val="28"/>
          <w:sz w:val="28"/>
          <w:szCs w:val="28"/>
          <w:rtl w:val="true"/>
          <w:lang w:bidi="ar-SA"/>
        </w:rPr>
        <w:t>منهما فكيف على الثاني، وهذا يدل على أنّه كان أمراً مرضياً عند اللّه سبحانه، وإلاّ فلو كان من مظاهر الشرك لما مرّ عليه الذكر الحكيم بلا نقد</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7190169_73709187"/>
      <w:bookmarkStart w:id="946" w:name="_Toc358"/>
      <w:bookmarkEnd w:id="945"/>
      <w:r>
        <w:rPr/>
        <w:t>2</w:t>
      </w:r>
      <w:r>
        <w:rPr>
          <w:rtl w:val="true"/>
        </w:rPr>
        <w:t xml:space="preserve">. </w:t>
      </w:r>
      <w:r>
        <w:rPr>
          <w:rtl w:val="true"/>
        </w:rPr>
        <w:t>البناء على القبور وإظهار المودّة</w:t>
      </w:r>
      <w:bookmarkEnd w:id="946"/>
    </w:p>
    <w:p>
      <w:pPr>
        <w:pStyle w:val="BookText"/>
        <w:rPr/>
      </w:pPr>
      <w:r>
        <w:rPr>
          <w:rFonts w:ascii="Amiri" w:hAnsi="Amiri" w:eastAsia="Amiri" w:cs="Amiri"/>
          <w:color w:val="111111"/>
          <w:sz w:val="28"/>
          <w:sz w:val="28"/>
          <w:szCs w:val="28"/>
          <w:rtl w:val="true"/>
          <w:lang w:bidi="ar-SA"/>
        </w:rPr>
        <w:t>يعتبر البناء على قبور ذوي القربى أحد مصاديق التودد،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والبناء على قبور عظماء المجتمعات الإنسانية يعد احتراماً وتكريماً لهم نابعاً عن المودة وعرفان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البناء على القبور تكريماً مشعراً بالمودة فيكون ممّا دعا إليه الكتاب العزيز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الأُمم السابقة انطلقوا من هذا الأصل فبنوا على قبور أنبيائهم أبنية شامخة باقية إلى يومنا هذا، ولم يقتصروا بذلك بل عيّنوا لهم سدنة وخدماً يحافظون على البناء ويهتمون به</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7190171_73709187"/>
      <w:bookmarkStart w:id="948" w:name="_Toc359"/>
      <w:bookmarkEnd w:id="947"/>
      <w:r>
        <w:rPr/>
        <w:t>3</w:t>
      </w:r>
      <w:r>
        <w:rPr>
          <w:rtl w:val="true"/>
        </w:rPr>
        <w:t xml:space="preserve">. </w:t>
      </w:r>
      <w:r>
        <w:rPr>
          <w:rtl w:val="true"/>
        </w:rPr>
        <w:t>موقف الخلفاء من البناء على قبور الأنبياء</w:t>
      </w:r>
      <w:bookmarkEnd w:id="94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التاريخ أنّ الجيوش الإسلامية المحررة حينما فتحت بلاد الشام لم تتعرض إلى تلك القبور المشرفة للأنبياء بأي سوء، ولم ينقل لنا التاريخ أيّة محاولة إساءة أو اعتداء على تلك البقاع الشريفة بل لم يبد المسلمون أيّة رد فعل سلبية اتجاهها، فأقرّوا خدمتها والمشرفين عليها على ما هم عليه وأوصوا بالحفاظ عليها وصيانتها، فلو كان البناء على قبور الأنبياء والأولياء حراماً ومنافياً للتوحيد، لسعى المسلمون الفاتحون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بأمر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لتخريبها وإزالتها من الوجود ولم يتركوا لها أثراً يذكر، والحال أنّا نجد المسلمين لم يتعرضوا لها بل</w:t>
      </w:r>
      <w:bookmarkStart w:id="949" w:name="pg16780_177552"/>
    </w:p>
    <w:p>
      <w:pPr>
        <w:pStyle w:val="BookText"/>
        <w:rPr/>
      </w:pPr>
      <w:bookmarkEnd w:id="949"/>
      <w:r>
        <w:rPr>
          <w:rFonts w:ascii="Amiri" w:hAnsi="Amiri" w:eastAsia="Amiri" w:cs="Amiri"/>
          <w:color w:val="111111"/>
          <w:sz w:val="28"/>
          <w:sz w:val="28"/>
          <w:szCs w:val="28"/>
          <w:rtl w:val="true"/>
          <w:lang w:bidi="ar-SA"/>
        </w:rPr>
        <w:t>أبقوها كما هي عليه من دون أي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بقيت تلك القباب عامرة إلى هذه اللحظة حيث تحظى باهتمام خاص وعناية فائقة من الموحدين في جميع أقطار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ابن تيمية بوجود هذه القباب قبل الإسلام وبقائها بعده،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البنية التي على قبر إبراهيم عليه السلام مسدودة لا يدخل إليها إلى حدود المائة الرابعة</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نفترض أنّ ما ذكره ابن تيمية صحيح وانّها كانت مسدودة، ولم يذكر له أي مصدر فلو كانت البنية على قبر الخليل شركا بواحاً، فلماذا لم يهدمها أحد في القرون الثلاثة التي هي عند السلفيين خير القرون، كما ينقلون على الرسول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القرون قرني، ثم الذين يلونهم، ثم الذين يلونهم</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وإليك نموذجاً آخر وهو قول ابن جبير في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قديمة تدل على أنّها كانت مدينة قديمة، وأثر سورها المحدق بها باق إلى اليوم، وبها موضع فيه قبة مشيّدة عتيقة، يذكر أنّه كان منزل حواء أُمّ البشر، صلى اللّه عليها، عند توجهها إلى مكة، فبني ذلك المبنى عليه تشهيراً لبركته وفضله</w:t>
      </w:r>
      <w:r>
        <w:rPr>
          <w:rFonts w:eastAsia="Amiri" w:cs="Amiri" w:ascii="Amiri" w:hAnsi="Amiri"/>
          <w:color w:val="111111"/>
          <w:sz w:val="28"/>
          <w:szCs w:val="28"/>
          <w:rtl w:val="true"/>
          <w:lang w:bidi="ar-SA"/>
        </w:rPr>
        <w:t>.</w:t>
      </w:r>
      <w:r>
        <w:rPr>
          <w:rStyle w:val="FootnoteAnchor"/>
          <w:rtl w:val="true"/>
        </w:rPr>
        <w:footnoteReference w:id="948"/>
      </w:r>
    </w:p>
    <w:p>
      <w:pPr>
        <w:pStyle w:val="Heading6"/>
        <w:numPr>
          <w:ilvl w:val="5"/>
          <w:numId w:val="1"/>
        </w:numPr>
        <w:rPr/>
      </w:pPr>
      <w:bookmarkStart w:id="950" w:name="__RefHeading___Toc7190173_73709187"/>
      <w:bookmarkStart w:id="951" w:name="_Toc360"/>
      <w:bookmarkEnd w:id="950"/>
      <w:r>
        <w:rPr/>
        <w:t>4</w:t>
      </w:r>
      <w:r>
        <w:rPr>
          <w:rtl w:val="true"/>
        </w:rPr>
        <w:t xml:space="preserve">. </w:t>
      </w:r>
      <w:r>
        <w:rPr>
          <w:rtl w:val="true"/>
        </w:rPr>
        <w:t>سيرة المسلمين والبناء على القبور</w:t>
      </w:r>
      <w:bookmarkEnd w:id="95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جرت سيرة المسلمين من عصر رحيل الرسول صلى الله عليه و آله و سلم على البناء على قبور الأولياء والصلحاء ومن كان لهم أيادي الفضل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السيرة سائدة في الحرمين الشريفين إلى أن استولت الوهابية عليهما فهدمتها بمعاول</w:t>
      </w:r>
      <w:bookmarkStart w:id="952" w:name="pg16780_177554"/>
    </w:p>
    <w:p>
      <w:pPr>
        <w:pStyle w:val="BookText"/>
        <w:rPr/>
      </w:pPr>
      <w:bookmarkEnd w:id="952"/>
      <w:r>
        <w:rPr>
          <w:rFonts w:ascii="Amiri" w:hAnsi="Amiri" w:eastAsia="Amiri" w:cs="Amiri"/>
          <w:color w:val="111111"/>
          <w:sz w:val="28"/>
          <w:sz w:val="28"/>
          <w:szCs w:val="28"/>
          <w:rtl w:val="true"/>
          <w:lang w:bidi="ar-SA"/>
        </w:rPr>
        <w:t>الظلم والتعصب، وها نحن نذكر نماذج من هذه الأبنية والقبور التي عليها صخور وخطوط لتظهر أنّ السيرة على خلاف ما يدّعيه ابن تيمية وتلميذ منهجه المقتات على فضلات مائدته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السيرة سائدة في القرون الثلاثة التي يتباهى بها السلفيون وعلى رأسهم ابن تيمية، ويظهر ذلك لمن يقرأ شيئاً من كتب التاريخ والرحلات التي كتبها الرحالة إلى بلاد الحجاز ومصر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جعفر بن محمد بن علي بن الحسين بن على بن أبي طالب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وأربعين ومائة ودفن بالبقيع مع أبيه وجدّه وله خمس وستون سنة وقيل أنّه سُمّ‌، وعلى قبورهم في هذا الموضع من البقيع رخامة عليها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مبدئ الأُمم ومحيي الرمم، هذا قبر فاطمة بنت رسول اللّه صلى الله عليه و آله و سلم سيدة نساء العالمين وقبر الحسن بن علي بن أبي طالب وعلي بن الحسين بن علي ومحمد بن علي وجعفر بن محمد رضي اللّه عنهم أجمعين</w:t>
      </w:r>
      <w:r>
        <w:rPr>
          <w:rFonts w:eastAsia="Amiri" w:cs="Amiri" w:ascii="Amiri" w:hAnsi="Amiri"/>
          <w:color w:val="111111"/>
          <w:sz w:val="28"/>
          <w:szCs w:val="28"/>
          <w:rtl w:val="true"/>
          <w:lang w:bidi="ar-SA"/>
        </w:rPr>
        <w:t>».</w:t>
      </w:r>
      <w:r>
        <w:rPr>
          <w:rStyle w:val="FootnoteAnchor"/>
          <w:rtl w:val="true"/>
        </w:rPr>
        <w:footnoteReference w:id="949"/>
      </w:r>
    </w:p>
    <w:p>
      <w:pPr>
        <w:pStyle w:val="Heading6"/>
        <w:numPr>
          <w:ilvl w:val="5"/>
          <w:numId w:val="1"/>
        </w:numPr>
        <w:rPr/>
      </w:pPr>
      <w:bookmarkStart w:id="953" w:name="__RefHeading___Toc7190175_73709187"/>
      <w:bookmarkStart w:id="954" w:name="_Toc361"/>
      <w:bookmarkEnd w:id="953"/>
      <w:r>
        <w:rPr>
          <w:rtl w:val="true"/>
        </w:rPr>
        <w:t>مشاهدات الرحالة ابن جبير الأندلسي</w:t>
      </w:r>
      <w:bookmarkEnd w:id="954"/>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جبير، ذلك الرحالة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شرع برحلته عام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يذكر مشاهداته في مصر وهي كثيرة ننقل شيئاً يسيراً فعندما يذكر القاهرة وآثارها العجيبة،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المشهد العظيم الشأن الذي بمدينة القاهرة حيث رأس الحسين بن علي بن أبي طالب رضي اللّه عنهما، وهو في تابوت فضة مدفون تحت الأرض، قد بني عليه بنيان حفيل يقصر الوصف عنه</w:t>
      </w:r>
    </w:p>
    <w:p>
      <w:pPr>
        <w:pStyle w:val="BookText"/>
        <w:rPr/>
      </w:pPr>
      <w:r>
        <w:rPr>
          <w:rFonts w:ascii="Amiri" w:hAnsi="Amiri" w:eastAsia="Amiri" w:cs="Amiri"/>
          <w:color w:val="111111"/>
          <w:sz w:val="28"/>
          <w:sz w:val="28"/>
          <w:szCs w:val="28"/>
          <w:rtl w:val="true"/>
          <w:lang w:bidi="ar-SA"/>
        </w:rPr>
        <w:t>ولا يحيط الإدراك به، مجلّل بأنواع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ما أمكنه 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قبر ابن النبي صالح، وقبر روبيل بن يعقوب بن إسحاق بن إبراهيم خليل الرحمن، صلوات عليهم أجمعين، وقبر آسية امرأة فرعون رضي اللّه عنها، ومشاهد أهل البيت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أربعة عشر من الرجال، وخمس من النساء، وعلى كلّ واحد منها بناء حفيل، فهي بأسرها روضات بديعة الإتقان عجيبة البنيان، قد وُكّل بها قَومةٌ يسكنون فيها ويحفظونها، ومنظرها منظر عجيب، والجرايات متصلة لقوامها في كلّ شهر</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مشاهد أهل البيت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علي بن الحسين بن علي رضى الله عنه، ومشهدان لابني جعفر بن محمد الصادق رضى الله عنه، ومشهد القاسم بن محمد بن جعفر الصادق بن محمد بن علي زين العابدين المذكور رضى الله عنه، ومشهدان لابنيه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ومشهد ابنه عبد اللّه بن القاسم رضى الله عنه ومشهد ابنه يحيى بن القاسم، ومشهد علي بن عبداللّه بن القاسم رضى الله عنه، ومشهد أخيه يحيى ابن عبداللّه رضى الله عنه، ومشهد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جعفر بن محمد من ذرية علي بن الحسين رضى الله عنه ثم ذكر مشاهد الشريفات العلويات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السيدة أُمّ كلثوم ابنة القاسم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السيدة زينب ابنة يحيى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أُمّ كلثوم ابنة محمد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ومشهد السيدة أُمّ عبد اللّه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ذكر لما حصله العيان من هذه المشاهد العلوية المكرمة، وهي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أنّ في جملتها مشهداً مباركاً لمريم ابنة علي بن أبي طالب رضي اللّه عنه، وهو مشهور، لكنا لم نعاينه</w:t>
      </w:r>
      <w:r>
        <w:rPr>
          <w:rFonts w:eastAsia="Amiri" w:cs="Amiri" w:ascii="Amiri" w:hAnsi="Amiri"/>
          <w:color w:val="111111"/>
          <w:sz w:val="28"/>
          <w:szCs w:val="28"/>
          <w:rtl w:val="true"/>
          <w:lang w:bidi="ar-SA"/>
        </w:rPr>
        <w:t>.</w:t>
      </w:r>
      <w:r>
        <w:rPr>
          <w:rStyle w:val="FootnoteAnchor"/>
          <w:rtl w:val="true"/>
        </w:rPr>
        <w:footnoteReference w:id="951"/>
      </w:r>
      <w:bookmarkStart w:id="955" w:name="pg16780_177558"/>
    </w:p>
    <w:p>
      <w:pPr>
        <w:pStyle w:val="BookText"/>
        <w:rPr/>
      </w:pPr>
      <w:bookmarkEnd w:id="955"/>
      <w:r>
        <w:rPr>
          <w:rFonts w:ascii="Amiri" w:hAnsi="Amiri" w:eastAsia="Amiri" w:cs="Amiri"/>
          <w:color w:val="111111"/>
          <w:sz w:val="28"/>
          <w:sz w:val="28"/>
          <w:szCs w:val="28"/>
          <w:rtl w:val="true"/>
          <w:lang w:bidi="ar-SA"/>
        </w:rPr>
        <w:t>ولنقتصر بما ذكر فإنّ ذكر مشاهده من الأبنية على قبور الأنبياء والصحابة والشهداء كثير لا يسع المجال لنقله</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7190177_73709187"/>
      <w:bookmarkStart w:id="957" w:name="_Toc362"/>
      <w:bookmarkEnd w:id="956"/>
      <w:r>
        <w:rPr>
          <w:rtl w:val="true"/>
        </w:rPr>
        <w:t xml:space="preserve">مشاهدات الرحالة ابن النجّار </w:t>
      </w:r>
      <w:r>
        <w:rPr>
          <w:rtl w:val="true"/>
        </w:rPr>
        <w:t>(</w:t>
      </w:r>
      <w:r>
        <w:rPr/>
        <w:t>578</w:t>
      </w:r>
      <w:r>
        <w:rPr>
          <w:rtl w:val="true"/>
        </w:rPr>
        <w:t>-</w:t>
      </w:r>
      <w:r>
        <w:rPr/>
        <w:t>643</w:t>
      </w:r>
      <w:r>
        <w:rPr>
          <w:rtl w:val="true"/>
        </w:rPr>
        <w:t xml:space="preserve"> </w:t>
      </w:r>
      <w:r>
        <w:rPr>
          <w:rtl w:val="true"/>
        </w:rPr>
        <w:t>ه‍</w:t>
      </w:r>
      <w:r>
        <w:rPr>
          <w:rtl w:val="true"/>
        </w:rPr>
        <w:t>)</w:t>
      </w:r>
      <w:bookmarkEnd w:id="957"/>
    </w:p>
    <w:p>
      <w:pPr>
        <w:pStyle w:val="BookText"/>
        <w:rPr/>
      </w:pPr>
      <w:r>
        <w:rPr>
          <w:rFonts w:ascii="Amiri" w:hAnsi="Amiri" w:eastAsia="Amiri" w:cs="Amiri"/>
          <w:color w:val="111111"/>
          <w:sz w:val="28"/>
          <w:sz w:val="28"/>
          <w:szCs w:val="28"/>
          <w:rtl w:val="true"/>
          <w:lang w:bidi="ar-SA"/>
        </w:rPr>
        <w:t>إنّ الرحالة المعروف محمد بن محمود بن النجار يذكر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مدينة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مشاهدته للقبة الرفيعة في أوّل البقيع، وأنّ عليها بابان يفتح أحدهما في كل يوم للزيارة</w:t>
      </w:r>
      <w:r>
        <w:rPr>
          <w:rFonts w:eastAsia="Amiri" w:cs="Amiri" w:ascii="Amiri" w:hAnsi="Amiri"/>
          <w:color w:val="111111"/>
          <w:sz w:val="28"/>
          <w:szCs w:val="28"/>
          <w:rtl w:val="true"/>
          <w:lang w:bidi="ar-SA"/>
        </w:rPr>
        <w:t>.</w:t>
      </w:r>
      <w:r>
        <w:rPr>
          <w:rStyle w:val="FootnoteAnchor"/>
          <w:rtl w:val="true"/>
        </w:rPr>
        <w:footnoteReference w:id="952"/>
      </w:r>
    </w:p>
    <w:p>
      <w:pPr>
        <w:pStyle w:val="Heading6"/>
        <w:numPr>
          <w:ilvl w:val="5"/>
          <w:numId w:val="1"/>
        </w:numPr>
        <w:rPr/>
      </w:pPr>
      <w:bookmarkStart w:id="958" w:name="__RefHeading___Toc7190179_73709187"/>
      <w:bookmarkStart w:id="959" w:name="_Toc363"/>
      <w:bookmarkEnd w:id="958"/>
      <w:r>
        <w:rPr>
          <w:rtl w:val="true"/>
        </w:rPr>
        <w:t xml:space="preserve">مشاهدات ابن الحجّاج </w:t>
      </w:r>
      <w:r>
        <w:rPr>
          <w:rtl w:val="true"/>
        </w:rPr>
        <w:t>(</w:t>
      </w:r>
      <w:r>
        <w:rPr>
          <w:rtl w:val="true"/>
        </w:rPr>
        <w:t xml:space="preserve">المتوفّى </w:t>
      </w:r>
      <w:r>
        <w:rPr/>
        <w:t>391</w:t>
      </w:r>
      <w:r>
        <w:rPr>
          <w:rtl w:val="true"/>
        </w:rPr>
        <w:t xml:space="preserve"> </w:t>
      </w:r>
      <w:r>
        <w:rPr>
          <w:rtl w:val="true"/>
        </w:rPr>
        <w:t>ه‍</w:t>
      </w:r>
      <w:r>
        <w:rPr>
          <w:rtl w:val="true"/>
        </w:rPr>
        <w:t>)</w:t>
      </w:r>
      <w:bookmarkEnd w:id="959"/>
    </w:p>
    <w:p>
      <w:pPr>
        <w:pStyle w:val="BookText"/>
        <w:rPr/>
      </w:pPr>
      <w:r>
        <w:rPr>
          <w:rFonts w:ascii="Amiri" w:hAnsi="Amiri" w:eastAsia="Amiri" w:cs="Amiri"/>
          <w:color w:val="111111"/>
          <w:sz w:val="28"/>
          <w:sz w:val="28"/>
          <w:szCs w:val="28"/>
          <w:rtl w:val="true"/>
          <w:lang w:bidi="ar-SA"/>
        </w:rPr>
        <w:t xml:space="preserve">هذا ابن الحجّاج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شعراء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النجف الأشرف وزار قبر باب مدينة الرسول صلى الله عليه و آله و سلم علي أميرالمؤمنين عليه السلام وأنشأ قصيدة في حرمه مستهلاً بالبيت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القبة البيضاء في النجف من زار قبرك واستشفى لديك شُفي</w:t>
      </w:r>
    </w:p>
    <w:p>
      <w:pPr>
        <w:pStyle w:val="BookText"/>
        <w:rPr/>
      </w:pPr>
      <w:r>
        <w:rPr>
          <w:rFonts w:ascii="Amiri" w:hAnsi="Amiri" w:eastAsia="Amiri" w:cs="Amiri"/>
          <w:color w:val="111111"/>
          <w:sz w:val="28"/>
          <w:sz w:val="28"/>
          <w:szCs w:val="28"/>
          <w:rtl w:val="true"/>
          <w:lang w:bidi="ar-SA"/>
        </w:rPr>
        <w:t>وذلك يشهد على وجود القبة خلال خير القرون على قبر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تكشف عن وجود هذه القباب في مختلف البقاع من بلاد المسلمين من غير أن ينكر عليه أحد لا في خير القرون ولا بعده، حتى جاء ابن تيمية وأفتى بتحريم البناء ولم يقتصر على ذلك بل تمادى ووصفه بأنّه من مظاهر الشرك</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الامة في عصر من العصور دليل قطعي على ما اجمعوا عليه، فلو كان في المسألة دليل ظني واجمعت الامة على مضمونه يرتفع به الحكم الظني إلى الحكم القطعي ويصير حكماً واقعياً، فإذا كان هذا هو</w:t>
      </w:r>
    </w:p>
    <w:p>
      <w:pPr>
        <w:pStyle w:val="BookText"/>
        <w:rPr/>
      </w:pPr>
      <w:r>
        <w:rPr>
          <w:rFonts w:ascii="Amiri" w:hAnsi="Amiri" w:eastAsia="Amiri" w:cs="Amiri"/>
          <w:color w:val="111111"/>
          <w:sz w:val="28"/>
          <w:sz w:val="28"/>
          <w:szCs w:val="28"/>
          <w:rtl w:val="true"/>
          <w:lang w:bidi="ar-SA"/>
        </w:rPr>
        <w:t>الأصل فلأي دليل يطرح هذا الإجماع‌؟</w:t>
      </w:r>
    </w:p>
    <w:p>
      <w:pPr>
        <w:pStyle w:val="BookText"/>
        <w:rPr/>
      </w:pPr>
      <w:r>
        <w:rPr>
          <w:rFonts w:ascii="Amiri" w:hAnsi="Amiri" w:eastAsia="Amiri" w:cs="Amiri"/>
          <w:color w:val="111111"/>
          <w:sz w:val="28"/>
          <w:sz w:val="28"/>
          <w:szCs w:val="28"/>
          <w:rtl w:val="true"/>
          <w:lang w:bidi="ar-SA"/>
        </w:rPr>
        <w:t xml:space="preserve">ونعم ما قاله سيد الطائفة السيد محسن الأمين في القصيدة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الدريّة في ردّ شبهات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النبي المصطفى في حجرة شأت الكواكب في العلى والسؤدد</w:t>
      </w:r>
    </w:p>
    <w:p>
      <w:pPr>
        <w:pStyle w:val="BookText"/>
        <w:rPr/>
      </w:pPr>
      <w:r>
        <w:rPr>
          <w:rFonts w:ascii="Amiri" w:hAnsi="Amiri" w:eastAsia="Amiri" w:cs="Amiri"/>
          <w:color w:val="111111"/>
          <w:sz w:val="28"/>
          <w:sz w:val="28"/>
          <w:szCs w:val="28"/>
          <w:rtl w:val="true"/>
          <w:lang w:bidi="ar-SA"/>
        </w:rPr>
        <w:t>والمسلمون تجد في تعظيمها ما بين بان منهم ومشيّد</w:t>
      </w:r>
    </w:p>
    <w:p>
      <w:pPr>
        <w:pStyle w:val="BookText"/>
        <w:rPr/>
      </w:pPr>
      <w:r>
        <w:rPr>
          <w:rFonts w:ascii="Amiri" w:hAnsi="Amiri" w:eastAsia="Amiri" w:cs="Amiri"/>
          <w:color w:val="111111"/>
          <w:sz w:val="28"/>
          <w:sz w:val="28"/>
          <w:szCs w:val="28"/>
          <w:rtl w:val="true"/>
          <w:lang w:bidi="ar-SA"/>
        </w:rPr>
        <w:t>من ذلك العهد القديم ليومنا تعظيمهم لضريحه لم ينفد</w:t>
      </w:r>
    </w:p>
    <w:p>
      <w:pPr>
        <w:pStyle w:val="BookText"/>
        <w:rPr/>
      </w:pPr>
      <w:r>
        <w:rPr>
          <w:rFonts w:ascii="Amiri" w:hAnsi="Amiri" w:eastAsia="Amiri" w:cs="Amiri"/>
          <w:color w:val="111111"/>
          <w:sz w:val="28"/>
          <w:sz w:val="28"/>
          <w:szCs w:val="28"/>
          <w:rtl w:val="true"/>
          <w:lang w:bidi="ar-SA"/>
        </w:rPr>
        <w:t>لم يهدم الأصحاب حجرة أحمد وهم الهداة وقدوة للمقتدي</w:t>
      </w:r>
    </w:p>
    <w:p>
      <w:pPr>
        <w:pStyle w:val="BookText"/>
        <w:rPr/>
      </w:pPr>
      <w:r>
        <w:rPr>
          <w:rFonts w:ascii="Amiri" w:hAnsi="Amiri" w:eastAsia="Amiri" w:cs="Amiri"/>
          <w:color w:val="111111"/>
          <w:sz w:val="28"/>
          <w:sz w:val="28"/>
          <w:szCs w:val="28"/>
          <w:rtl w:val="true"/>
          <w:lang w:bidi="ar-SA"/>
        </w:rPr>
        <w:t>بل لم تزل مبنية وبناؤها في كلّ عصر لم يزل يتجدد</w:t>
      </w:r>
    </w:p>
    <w:p>
      <w:pPr>
        <w:pStyle w:val="BookText"/>
        <w:rPr/>
      </w:pPr>
      <w:r>
        <w:rPr>
          <w:rFonts w:ascii="Amiri" w:hAnsi="Amiri" w:eastAsia="Amiri" w:cs="Amiri"/>
          <w:color w:val="111111"/>
          <w:sz w:val="28"/>
          <w:sz w:val="28"/>
          <w:szCs w:val="28"/>
          <w:rtl w:val="true"/>
          <w:lang w:bidi="ar-SA"/>
        </w:rPr>
        <w:t>إن لم يجز فوق القبور بناؤها لِمَ لم تهدم قبل حجرة أحمد</w:t>
      </w:r>
    </w:p>
    <w:p>
      <w:pPr>
        <w:pStyle w:val="BookText"/>
        <w:rPr/>
      </w:pPr>
      <w:r>
        <w:rPr>
          <w:rFonts w:ascii="Amiri" w:hAnsi="Amiri" w:eastAsia="Amiri" w:cs="Amiri"/>
          <w:color w:val="111111"/>
          <w:sz w:val="28"/>
          <w:sz w:val="28"/>
          <w:szCs w:val="28"/>
          <w:rtl w:val="true"/>
          <w:lang w:bidi="ar-SA"/>
        </w:rPr>
        <w:t>ما كان ممنوعاً لنا إحداثه ابقاؤه عن ذاك غير مجرد</w:t>
      </w:r>
    </w:p>
    <w:p>
      <w:pPr>
        <w:pStyle w:val="BookText"/>
        <w:rPr/>
      </w:pPr>
      <w:r>
        <w:rPr>
          <w:rFonts w:ascii="Amiri" w:hAnsi="Amiri" w:eastAsia="Amiri" w:cs="Amiri"/>
          <w:color w:val="111111"/>
          <w:sz w:val="28"/>
          <w:sz w:val="28"/>
          <w:szCs w:val="28"/>
          <w:rtl w:val="true"/>
          <w:lang w:bidi="ar-SA"/>
        </w:rPr>
        <w:t>مع أنّهم قد احدثوا بنيانها متتابعاً من بعد دفن محمّد</w:t>
      </w:r>
    </w:p>
    <w:p>
      <w:pPr>
        <w:pStyle w:val="BookText"/>
        <w:rPr/>
      </w:pPr>
      <w:r>
        <w:rPr>
          <w:rFonts w:ascii="Amiri" w:hAnsi="Amiri" w:eastAsia="Amiri" w:cs="Amiri"/>
          <w:color w:val="111111"/>
          <w:sz w:val="28"/>
          <w:sz w:val="28"/>
          <w:szCs w:val="28"/>
          <w:rtl w:val="true"/>
          <w:lang w:bidi="ar-SA"/>
        </w:rPr>
        <w:t>زوج النبي بنت عليها حائطاً بين القبور وبينها لم يعهد</w:t>
      </w:r>
    </w:p>
    <w:p>
      <w:pPr>
        <w:pStyle w:val="BookText"/>
        <w:rPr/>
      </w:pPr>
      <w:r>
        <w:rPr>
          <w:rFonts w:ascii="Amiri" w:hAnsi="Amiri" w:eastAsia="Amiri" w:cs="Amiri"/>
          <w:color w:val="111111"/>
          <w:sz w:val="28"/>
          <w:sz w:val="28"/>
          <w:szCs w:val="28"/>
          <w:rtl w:val="true"/>
          <w:lang w:bidi="ar-SA"/>
        </w:rPr>
        <w:t>وابن الزبير لها بنى وكذلك الفاروق ثم سمّيه فلنقتد</w:t>
      </w:r>
    </w:p>
    <w:p>
      <w:pPr>
        <w:pStyle w:val="BookText"/>
        <w:rPr/>
      </w:pPr>
      <w:r>
        <w:rPr>
          <w:rFonts w:ascii="Amiri" w:hAnsi="Amiri" w:eastAsia="Amiri" w:cs="Amiri"/>
          <w:color w:val="111111"/>
          <w:sz w:val="28"/>
          <w:sz w:val="28"/>
          <w:szCs w:val="28"/>
          <w:rtl w:val="true"/>
          <w:lang w:bidi="ar-SA"/>
        </w:rPr>
        <w:t>جهلوا تراهم ماعلمتم أم غدوا متساهلين وأنتم بتشدد</w:t>
      </w:r>
    </w:p>
    <w:p>
      <w:pPr>
        <w:pStyle w:val="BookText"/>
        <w:rPr/>
      </w:pPr>
      <w:r>
        <w:rPr>
          <w:rFonts w:ascii="Amiri" w:hAnsi="Amiri" w:eastAsia="Amiri" w:cs="Amiri"/>
          <w:color w:val="111111"/>
          <w:sz w:val="28"/>
          <w:sz w:val="28"/>
          <w:szCs w:val="28"/>
          <w:rtl w:val="true"/>
          <w:lang w:bidi="ar-SA"/>
        </w:rPr>
        <w:t>وتتابع الباقون في بنيانها وغدت لأصل الدين اعظم مقصد</w:t>
      </w:r>
    </w:p>
    <w:p>
      <w:pPr>
        <w:pStyle w:val="BookText"/>
        <w:rPr/>
      </w:pPr>
      <w:r>
        <w:rPr>
          <w:rFonts w:ascii="Amiri" w:hAnsi="Amiri" w:eastAsia="Amiri" w:cs="Amiri"/>
          <w:color w:val="111111"/>
          <w:sz w:val="28"/>
          <w:sz w:val="28"/>
          <w:szCs w:val="28"/>
          <w:rtl w:val="true"/>
          <w:lang w:bidi="ar-SA"/>
        </w:rPr>
        <w:t>لضريح أحمد حرمة ما ردّها غير الجهول وغير ذي الطبع الردي</w:t>
      </w:r>
    </w:p>
    <w:p>
      <w:pPr>
        <w:pStyle w:val="BookText"/>
        <w:rPr/>
      </w:pPr>
      <w:r>
        <w:rPr>
          <w:rFonts w:ascii="Amiri" w:hAnsi="Amiri" w:eastAsia="Amiri" w:cs="Amiri"/>
          <w:color w:val="111111"/>
          <w:sz w:val="28"/>
          <w:sz w:val="28"/>
          <w:szCs w:val="28"/>
          <w:rtl w:val="true"/>
          <w:lang w:bidi="ar-SA"/>
        </w:rPr>
        <w:t>لو لم يكن شرف القبور في الذي يدعو إلى هذا المقيم المقعد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ضرائح آله فلها الذي لضريح جدهم برغم الحُسّد</w:t>
      </w:r>
      <w:r>
        <w:rPr>
          <w:rStyle w:val="FootnoteAnchor"/>
          <w:rtl w:val="true"/>
        </w:rPr>
        <w:footnoteReference w:id="953"/>
      </w:r>
      <w:bookmarkStart w:id="960" w:name="pg16780_177562"/>
    </w:p>
    <w:p>
      <w:pPr>
        <w:pStyle w:val="Heading6"/>
        <w:numPr>
          <w:ilvl w:val="5"/>
          <w:numId w:val="1"/>
        </w:numPr>
        <w:rPr/>
      </w:pPr>
      <w:bookmarkStart w:id="961" w:name="__RefHeading___Toc7190181_73709187"/>
      <w:bookmarkStart w:id="962" w:name="_Toc364"/>
      <w:bookmarkEnd w:id="960"/>
      <w:bookmarkEnd w:id="961"/>
      <w:r>
        <w:rPr/>
        <w:t>5</w:t>
      </w:r>
      <w:r>
        <w:rPr>
          <w:rtl w:val="true"/>
        </w:rPr>
        <w:t xml:space="preserve">. </w:t>
      </w:r>
      <w:r>
        <w:rPr>
          <w:rtl w:val="true"/>
        </w:rPr>
        <w:t>صيانة القبور في أحاديث العترة</w:t>
      </w:r>
      <w:bookmarkEnd w:id="962"/>
    </w:p>
    <w:p>
      <w:pPr>
        <w:pStyle w:val="BookText"/>
        <w:rPr/>
      </w:pPr>
      <w:r>
        <w:rPr>
          <w:rFonts w:ascii="Amiri" w:hAnsi="Amiri" w:eastAsia="Amiri" w:cs="Amiri"/>
          <w:color w:val="111111"/>
          <w:sz w:val="28"/>
          <w:sz w:val="28"/>
          <w:szCs w:val="28"/>
          <w:rtl w:val="true"/>
          <w:lang w:bidi="ar-SA"/>
        </w:rPr>
        <w:t xml:space="preserve">قد سبق أنّ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للروايات الواردة عن أئمة أهل البيت عليهم السلام وحاول أن يطبق عنهم على ما عليه الوهابيون، ولذلك نحن سندرس رواياتهم في هذا المضمار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الواردة عنهم على أصناف</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7190183_73709187"/>
      <w:bookmarkStart w:id="964" w:name="_Toc365"/>
      <w:bookmarkEnd w:id="963"/>
      <w:r>
        <w:rPr>
          <w:rtl w:val="true"/>
        </w:rPr>
        <w:t>الأوّل</w:t>
      </w:r>
      <w:r>
        <w:rPr>
          <w:rtl w:val="true"/>
        </w:rPr>
        <w:t xml:space="preserve">: </w:t>
      </w:r>
      <w:r>
        <w:rPr>
          <w:rtl w:val="true"/>
        </w:rPr>
        <w:t>ما يدل على استحباب تعمير القبور</w:t>
      </w:r>
      <w:bookmarkEnd w:id="964"/>
    </w:p>
    <w:p>
      <w:pPr>
        <w:pStyle w:val="BookText"/>
        <w:rPr/>
      </w:pPr>
      <w:r>
        <w:rPr>
          <w:rFonts w:ascii="Amiri" w:hAnsi="Amiri" w:eastAsia="Amiri" w:cs="Amiri"/>
          <w:color w:val="111111"/>
          <w:sz w:val="28"/>
          <w:sz w:val="28"/>
          <w:szCs w:val="28"/>
          <w:rtl w:val="true"/>
          <w:lang w:bidi="ar-SA"/>
        </w:rPr>
        <w:t>روى الشيخ الطوسي في التهذيب بطريقه عن أبي عامر واعظ أهل الحجاز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أتيت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تربته‌؟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عامر حدّثني أبي عن أبيه عن جده الحسين بن علي عن علي عليه السلام أنّ النبي صلى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بأرض العراق وتدفن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وعمّرها وتعاهدها؟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جعل قبرك وقبر ولدك بقاعاً من بقاع الجنة وعرصة من عرصاتها، وإنّ اللّه جعل قلوب نجباء من خلقه وصفوته من عباده تحنّ إليكم وتحتمل المذلة والأذى فيكم، فيعمّرون قبوركم ويكثرون زيارتها تقرّباً منهم إلى اللّه، مودة منهم لرسوله، أولئك يا علي المخصوصون بشفاعتي والواردون حوضي، وهم زواري غداً في الجنة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عمّر قبوركم وتعاهدها فكأنّما أعان سليمان بن داود على بناء بيت المقدس، ومن زار قبوركم عدل ذلك له ثواب سبعين حجة بعد حجة الإسلام، وخرج من ذنوبه حتى يرجع من زيارتكم كيوم ولدته أُمّه، فأبشر وبشّر أولياءك ومحبّيك من النعيم وقرّة العين بما لا عين رأت ولا أذن سمعت ولا خطر على قلب بشر، ولكن حثالة من الناس يعيّرون زوار قبوركم بزيارتكم كما</w:t>
      </w:r>
      <w:bookmarkStart w:id="965" w:name="pg16780_177564"/>
    </w:p>
    <w:p>
      <w:pPr>
        <w:pStyle w:val="BookText"/>
        <w:rPr/>
      </w:pPr>
      <w:bookmarkEnd w:id="965"/>
      <w:r>
        <w:rPr>
          <w:rFonts w:ascii="Amiri" w:hAnsi="Amiri" w:eastAsia="Amiri" w:cs="Amiri"/>
          <w:color w:val="111111"/>
          <w:sz w:val="28"/>
          <w:sz w:val="28"/>
          <w:szCs w:val="28"/>
          <w:rtl w:val="true"/>
          <w:lang w:bidi="ar-SA"/>
        </w:rPr>
        <w:t>تعيّر الزانية بزناها، أُولئك شرار أُمّتي، لا نالتهم شفاعتي، ولا يردون حوضي</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فهل ترى أنّ الحديث يحث على تعمير قبور الأولياء وصيانتها عن الدمار والخراب، وما لمعمّرها عنداللّه من الأجر والثواب،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لموقف ابن تيمية وابن عبد الوهاب اللّذين اتفقا على محو آثار الأنبياء والأولياء وهدم الأبنية وجعل القبور معرضاً لجريان السيول والأمطار وتردد الحيوانات عليها؟</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7190185_73709187"/>
      <w:bookmarkStart w:id="967" w:name="_Toc366"/>
      <w:bookmarkEnd w:id="966"/>
      <w:r>
        <w:rPr>
          <w:rtl w:val="true"/>
        </w:rPr>
        <w:t>الثاني</w:t>
      </w:r>
      <w:r>
        <w:rPr>
          <w:rtl w:val="true"/>
        </w:rPr>
        <w:t xml:space="preserve">: </w:t>
      </w:r>
      <w:r>
        <w:rPr>
          <w:rtl w:val="true"/>
        </w:rPr>
        <w:t>آداب الزيارة تدل على وجود البناء</w:t>
      </w:r>
      <w:bookmarkEnd w:id="967"/>
    </w:p>
    <w:p>
      <w:pPr>
        <w:pStyle w:val="BookText"/>
        <w:rPr/>
      </w:pPr>
      <w:r>
        <w:rPr>
          <w:rFonts w:ascii="Amiri" w:hAnsi="Amiri" w:eastAsia="Amiri" w:cs="Amiri"/>
          <w:color w:val="111111"/>
          <w:sz w:val="28"/>
          <w:sz w:val="28"/>
          <w:szCs w:val="28"/>
          <w:rtl w:val="true"/>
          <w:lang w:bidi="ar-SA"/>
        </w:rPr>
        <w:t>قد ورد عنهم عليهم السلام روايات تعلم المسلمين آداب الزيارة وكيفيتها، وذلك يحكي بوضوح على أنّ المشاهد كانت مشتملة على البناء والأبواب في عصورهم عليهم السلام، وإليك بعض هذه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الحسين بن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ويونس بن ظبيان والمفضل بن عمر وأبو سلمة بن السراج جلوساً عند أبي عبد اللّه عليه السلام وكانت المتكلم يونس بن ظبيان وكان أكبر منا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أردت زيارة الحسين كيف أصنع، وكيف أقول‌؟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أبا عبد اللّه عليه السلام فاغتسل على شاطئ الفرات وألبس ثيابك الطاهرة، ثم امش حافياً فإنّك في حرم من حرم اللّه وحرم رسوله، وعليك بالتكبير والتهليل والتمجيد والتعظيم للّه كثيراً، والصلاة على محمد وأهل بيته حتى تصير إلى باب الحائر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وابن حجته، السلام عليكم يا ملائكة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 عبارة عن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الجوانب الأربع للقبر الشريف،</w:t>
      </w:r>
    </w:p>
    <w:p>
      <w:p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تصير إلى باب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وجود باب في ذلك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حاكياً عن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المفيد في مناسك الزيارات ترتيباً لزيارة أبي عبد اللّه الحسين ابن علي عليهما السلام أحببت إيراده على وجهه، ذكر رحمه الله أنّه إذا انتهيت إلى باب المشهد فقف عليه وكبّر أربعاً ثم 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ويطلق المشهد على الموضع الذي استشهد فيه الإمام وهذا يحكي عن وجود الباب وقت ذاك، والباب فرع أن تكون هناك جدران وسقف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 في زيارة أخي الإمام الحسين عليه السلام سيدنا العباس بن علي عليهما السلام وهي التي وردت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حتى تأتي مشهد العباس بن علي عليهما السلام، فإذا أتيته فقف على باب السقيفة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بسنده عن موسى بن عبد اللّه النخعي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يابن رسول اللّه قولاً أقوله بليغاً كاملاً إذا زرت واحداً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واشهد الشهادتين وأنت على غسل</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بعضهم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زيارة قبر أبي الحسن علي بن محمد وأبي محمد الحسن بن علي عليهم السلام، تقول بعد الغسل إن وصلت إلى قبريهما وإلاّ أومأت بالسلام من عند الباب الذي على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الشباك </w:t>
      </w:r>
      <w:r>
        <w:rPr>
          <w:rFonts w:eastAsia="Amiri" w:cs="Amiri" w:ascii="Amiri" w:hAnsi="Amiri"/>
          <w:color w:val="111111"/>
          <w:sz w:val="28"/>
          <w:szCs w:val="28"/>
          <w:rtl w:val="true"/>
          <w:lang w:bidi="ar-SA"/>
        </w:rPr>
        <w:t>-».</w:t>
      </w:r>
      <w:r>
        <w:rPr>
          <w:rStyle w:val="FootnoteAnchor"/>
          <w:rtl w:val="true"/>
        </w:rPr>
        <w:footnoteReference w:id="957"/>
      </w:r>
      <w:bookmarkStart w:id="968" w:name="pg16780_177568"/>
    </w:p>
    <w:p>
      <w:pPr>
        <w:pStyle w:val="BookText"/>
        <w:rPr/>
      </w:pPr>
      <w:bookmarkEnd w:id="96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محمد الخزّاز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عن النبي صلى الله عليه و آله و سلم أنّه أخبره بقتل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الإجابة تحت قبته والشفاء في تربته والأئمة من ولده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أوضح الدلائل على وجود 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تجرّؤ المتوكل على قبر الإمام الحسين عليه السلام حيث قام بهدمه وتخريبه وأجرى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ست وثلاثين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 قبر الحسين، وهدم ما حوله من الدور، وأن يعمل مزارع، ومنع الناس من زيارته، وخُرِّب، وبقي صحراء</w:t>
      </w:r>
      <w:r>
        <w:rPr>
          <w:rFonts w:eastAsia="Amiri" w:cs="Amiri" w:ascii="Amiri" w:hAnsi="Amiri"/>
          <w:color w:val="111111"/>
          <w:sz w:val="28"/>
          <w:szCs w:val="28"/>
          <w:rtl w:val="true"/>
          <w:lang w:bidi="ar-SA"/>
        </w:rPr>
        <w:t>.</w:t>
      </w:r>
      <w:r>
        <w:rPr>
          <w:rStyle w:val="FootnoteAnchor"/>
          <w:rtl w:val="true"/>
        </w:rPr>
        <w:footnoteReference w:id="959"/>
      </w:r>
    </w:p>
    <w:p>
      <w:pPr>
        <w:pStyle w:val="Heading6"/>
        <w:numPr>
          <w:ilvl w:val="5"/>
          <w:numId w:val="1"/>
        </w:numPr>
        <w:rPr/>
      </w:pPr>
      <w:bookmarkStart w:id="969" w:name="__RefHeading___Toc7190187_73709187"/>
      <w:bookmarkStart w:id="970" w:name="_Toc367"/>
      <w:bookmarkEnd w:id="969"/>
      <w:r>
        <w:rPr>
          <w:rtl w:val="true"/>
        </w:rPr>
        <w:t>الثالث</w:t>
      </w:r>
      <w:r>
        <w:rPr>
          <w:rtl w:val="true"/>
        </w:rPr>
        <w:t xml:space="preserve">: </w:t>
      </w:r>
      <w:r>
        <w:rPr>
          <w:rtl w:val="true"/>
        </w:rPr>
        <w:t>الدعوة إلى زيارة المشاهد</w:t>
      </w:r>
      <w:bookmarkEnd w:id="970"/>
    </w:p>
    <w:p>
      <w:pPr>
        <w:pStyle w:val="BookText"/>
        <w:rPr/>
      </w:pPr>
      <w:r>
        <w:rPr>
          <w:rFonts w:ascii="Amiri" w:hAnsi="Amiri" w:eastAsia="Amiri" w:cs="Amiri"/>
          <w:color w:val="111111"/>
          <w:sz w:val="28"/>
          <w:sz w:val="28"/>
          <w:szCs w:val="28"/>
          <w:rtl w:val="true"/>
          <w:lang w:bidi="ar-SA"/>
        </w:rPr>
        <w:t xml:space="preserve">هناك روايات متضافرة أو متواترة تحث على زيارة قبر النبي الأكرم والعترة الطاهرة صلوات عليهم أجمعين ولا يمكن لنا نقل شيء يسير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نكتفي باثنين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بسنده 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حجّكم برسول اللّه صلى الله عليه و آله و سلم إذا خرجتم إلى بيت اللّه، فإنّ تركه جفاء وبذلك أُمرتم</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بسنده عن الوشّاء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زيارة قبورهم</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ندرس هذا القسم من الروايات من دون رأي مسبق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صحّت هذه الروايات وكان إتمام الحج بزيارة قبر النبي صلى الله عليه و آله و سلم، أو كان تمام الوفاء بالعهد بزيارة قبورهم فيلزم أن تصان قبورهم وتحفظ وتبقى شاخصة على مر الدهور والأيام حتى يتمكّن المسلمون من زيارة قبورهم، ولا يتحقق ذلك إلاّ بالبناء عليها وصيانتها من الحوادث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قام أحد المعاندين بتدمير هذه الأبنية بتهمة الشرك فقد عرّض قبورهم للخراب والدمار وبالتالي منع الباقين من القيام بهذه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قصيرة دعوة الأُمّة الاسلامية إلى زيارة قبور النبي الأكرم وعترته الطاهرة والشهداء لا يتحقّق إلّاأن يكون هناك ضمان لبقاء هذه القبور والتعرف عليها، فلو تعرضت قبورهم للحوادث الطبيعية ولم يبق منها أثر فكيف يمكن إتمام الحج بزيارة النبي صلى الله عليه و آله و سلم، وتمام الوفاء بالعهد بزيارة الإمام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ما ذكرنا من أصناف الروايات نقف أنّ ما عليه أئمة أهل البيت ينافي تماماً ما عليه الوهابيون من تهديم القبور وإزالة آثارها وتعريضها للخراب والدمار، فأين هذا من هذا ياترى‌؟</w:t>
      </w:r>
      <w:r>
        <w:rPr>
          <w:rFonts w:eastAsia="Amiri" w:cs="Amiri" w:ascii="Amiri" w:hAnsi="Amiri"/>
          <w:color w:val="111111"/>
          <w:sz w:val="28"/>
          <w:szCs w:val="28"/>
          <w:rtl w:val="true"/>
          <w:lang w:bidi="ar-SA"/>
        </w:rPr>
        <w:t>!!</w:t>
      </w:r>
      <w:bookmarkStart w:id="971" w:name="pg16780_177572"/>
    </w:p>
    <w:p>
      <w:pPr>
        <w:pStyle w:val="Heading4"/>
        <w:numPr>
          <w:ilvl w:val="3"/>
          <w:numId w:val="1"/>
        </w:numPr>
        <w:rPr/>
      </w:pPr>
      <w:bookmarkStart w:id="972" w:name="__RefHeading___Toc7190189_73709187"/>
      <w:bookmarkStart w:id="973" w:name="_Toc368"/>
      <w:bookmarkEnd w:id="971"/>
      <w:bookmarkEnd w:id="972"/>
      <w:r>
        <w:rPr>
          <w:rtl w:val="true"/>
        </w:rPr>
        <w:t>الفصل الثالث حجج المؤلف وذرائعه</w:t>
      </w:r>
      <w:bookmarkEnd w:id="973"/>
    </w:p>
    <w:p>
      <w:pPr>
        <w:pStyle w:val="Heading5"/>
        <w:numPr>
          <w:ilvl w:val="4"/>
          <w:numId w:val="1"/>
        </w:numPr>
        <w:rPr/>
      </w:pPr>
      <w:bookmarkStart w:id="974" w:name="__RefHeading___Toc7190191_73709187"/>
      <w:bookmarkStart w:id="975" w:name="_Toc369"/>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قد تعرفت على موقف أهل البيت عليهم السلام من البناء على القبور، فهلم ندرس حجج الكاتب التي ذكرها لتشويش الأذهان، ولكي يتّضح ما هو المقصود منها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عليه على أصناف</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7190193_73709187"/>
      <w:bookmarkStart w:id="977" w:name="_Toc370"/>
      <w:bookmarkEnd w:id="976"/>
      <w:r>
        <w:rPr>
          <w:rtl w:val="true"/>
        </w:rPr>
        <w:t>الأوّل</w:t>
      </w:r>
      <w:r>
        <w:rPr>
          <w:rtl w:val="true"/>
        </w:rPr>
        <w:t xml:space="preserve">: </w:t>
      </w:r>
      <w:r>
        <w:rPr>
          <w:rtl w:val="true"/>
        </w:rPr>
        <w:t>النهي عن زيادة التراب على القبر</w:t>
      </w:r>
      <w:bookmarkEnd w:id="977"/>
    </w:p>
    <w:p>
      <w:pPr>
        <w:pStyle w:val="Heading6"/>
        <w:numPr>
          <w:ilvl w:val="5"/>
          <w:numId w:val="1"/>
        </w:numPr>
        <w:rPr/>
      </w:pPr>
      <w:bookmarkStart w:id="978" w:name="__RefHeading___Toc7190195_73709187"/>
      <w:bookmarkStart w:id="979" w:name="_Toc371"/>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يستفاد من الروايات أنّ قبر الميت يملأ بنفس التراب الذي أخرج منه ولا يزاد في ملء الحفر بشيء من الخارج، وإليك ما روي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السكوني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نهى أن يزاد على القبر تراب لم يُخرج منه</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جعل على القبر من غير تراب فهو ثقل على الميت</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تطيّنوا القبر من غير طينه</w:t>
      </w:r>
      <w:r>
        <w:rPr>
          <w:rFonts w:eastAsia="Amiri" w:cs="Amiri" w:ascii="Amiri" w:hAnsi="Amiri"/>
          <w:color w:val="111111"/>
          <w:sz w:val="28"/>
          <w:szCs w:val="28"/>
          <w:rtl w:val="true"/>
          <w:lang w:bidi="ar-SA"/>
        </w:rPr>
        <w:t>».</w:t>
      </w:r>
      <w:r>
        <w:rPr>
          <w:rStyle w:val="FootnoteAnchor"/>
          <w:rtl w:val="true"/>
        </w:rPr>
        <w:footnoteReference w:id="964"/>
      </w:r>
    </w:p>
    <w:p>
      <w:pPr>
        <w:pStyle w:val="Heading6"/>
        <w:numPr>
          <w:ilvl w:val="5"/>
          <w:numId w:val="1"/>
        </w:numPr>
        <w:rPr/>
      </w:pPr>
      <w:bookmarkStart w:id="980" w:name="__RefHeading___Toc7190197_73709187"/>
      <w:bookmarkStart w:id="981" w:name="_Toc372"/>
      <w:bookmarkEnd w:id="980"/>
      <w:r>
        <w:rPr>
          <w:rtl w:val="true"/>
        </w:rPr>
        <w:t>دراسة الروايات</w:t>
      </w:r>
      <w:bookmarkEnd w:id="98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والثالثة فقد وقع في سنديهما السكوني والنوفلي، وهما غير إماميين، وربّما يستشهد برواياتهما، وأمّا الثانية فهي مرسلة</w:t>
      </w:r>
      <w:r>
        <w:rPr>
          <w:rFonts w:eastAsia="Amiri" w:cs="Amiri" w:ascii="Amiri" w:hAnsi="Amiri"/>
          <w:color w:val="111111"/>
          <w:sz w:val="28"/>
          <w:szCs w:val="28"/>
          <w:rtl w:val="true"/>
          <w:lang w:bidi="ar-SA"/>
        </w:rPr>
        <w:t>.</w:t>
      </w:r>
      <w:bookmarkStart w:id="982" w:name="pg16780_177575"/>
    </w:p>
    <w:p>
      <w:pPr>
        <w:pStyle w:val="BookText"/>
        <w:rPr/>
      </w:pPr>
      <w:bookmarkEnd w:id="982"/>
      <w:r>
        <w:rPr>
          <w:rFonts w:ascii="Amiri" w:hAnsi="Amiri" w:eastAsia="Amiri" w:cs="Amiri"/>
          <w:color w:val="111111"/>
          <w:sz w:val="28"/>
          <w:sz w:val="28"/>
          <w:szCs w:val="28"/>
          <w:rtl w:val="true"/>
          <w:lang w:bidi="ar-SA"/>
        </w:rPr>
        <w:t>هذا حول السند وأمّا المضمون فلا صلة له بما يرتئيه الكاتب، فإنّ النهي عن زيادة التراب على القبر لا صلة له بالبناء على القبر حتى يستريح الزائر عند زيارته ويصان من الحر والبرد، فإنّ جدران البناء تقع حول القبر وأطرافه، ولا صلة لها بالقبر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المضمون ينافي ما قام به الرسول صلى الله عليه و آله و سلم عندما دفن عثمان ابن مظعون، حيث أعلم قبره بصخرة</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وقد روى السمهودي أنّ الرسول الأكرم صلى الله عليه و آله و سلم أمر رجلاً بحمل صخرة، ليعلّم بها قبر عثمان بن مظعون، ولم يستطع حملها فقام إليه رسول اللّه، فحسر رسول اللّه صلى الله عليه و آله و سلم عن ذراعيه فوضعها عند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بها قبر أخي، وادفن إليه من مات من أهله</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أضف إلى ذلك أنّ وضع الصندوق أو الضريح على القبر لا يزيد على القبر ثقلاً ولا وزناً، لأنّ جدران الصندوق أبعد من حدود القبر</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7190199_73709187"/>
      <w:bookmarkStart w:id="984" w:name="_Toc373"/>
      <w:bookmarkEnd w:id="983"/>
      <w:r>
        <w:rPr>
          <w:rtl w:val="true"/>
        </w:rPr>
        <w:t>الثاني</w:t>
      </w:r>
      <w:r>
        <w:rPr>
          <w:rtl w:val="true"/>
        </w:rPr>
        <w:t xml:space="preserve">: </w:t>
      </w:r>
      <w:r>
        <w:rPr>
          <w:rtl w:val="true"/>
        </w:rPr>
        <w:t>النهي عن البناء على القبور</w:t>
      </w:r>
      <w:bookmarkEnd w:id="984"/>
    </w:p>
    <w:p>
      <w:pPr>
        <w:pStyle w:val="Heading6"/>
        <w:numPr>
          <w:ilvl w:val="5"/>
          <w:numId w:val="1"/>
        </w:numPr>
        <w:rPr/>
      </w:pPr>
      <w:bookmarkStart w:id="985" w:name="__RefHeading___Toc7190201_73709187"/>
      <w:bookmarkStart w:id="986" w:name="_Toc374"/>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ممّا وقع ذريعة في يد الكاتب ما روي عن أئمة أهل البيت عليهم السلام من النهي عن البناء على القبور، وإليك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عن البناء على القبر والجلوس عليه هل يصلح‌؟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البناء عليه ولا الجلوس، ولا تجصيصه ولا تطيينه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87" w:name="pg16780_177577"/>
    </w:p>
    <w:p>
      <w:pPr>
        <w:pStyle w:val="BookText"/>
        <w:rPr/>
      </w:pPr>
      <w:bookmarkEnd w:id="9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يونس بن ظبيان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أن يُصلّى على قبر أو يقعد عليه أو يُبنى عليه</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جراح المدائني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تبنوا على القبور ولا تصوّروا سقوف البيوت، فإنّ رسول اللّه صلى الله عليه و آله و سلم كَرِهَ ذلك</w:t>
      </w:r>
      <w:r>
        <w:rPr>
          <w:rFonts w:eastAsia="Amiri" w:cs="Amiri" w:ascii="Amiri" w:hAnsi="Amiri"/>
          <w:color w:val="111111"/>
          <w:sz w:val="28"/>
          <w:szCs w:val="28"/>
          <w:rtl w:val="true"/>
          <w:lang w:bidi="ar-SA"/>
        </w:rPr>
        <w:t>».</w:t>
      </w:r>
      <w:r>
        <w:rPr>
          <w:rStyle w:val="FootnoteAnchor"/>
          <w:rtl w:val="true"/>
        </w:rPr>
        <w:footnoteReference w:id="968"/>
      </w:r>
    </w:p>
    <w:p>
      <w:pPr>
        <w:pStyle w:val="Heading6"/>
        <w:numPr>
          <w:ilvl w:val="5"/>
          <w:numId w:val="1"/>
        </w:numPr>
        <w:rPr/>
      </w:pPr>
      <w:bookmarkStart w:id="988" w:name="__RefHeading___Toc7190203_73709187"/>
      <w:bookmarkStart w:id="989" w:name="_Toc375"/>
      <w:bookmarkEnd w:id="988"/>
      <w:r>
        <w:rPr>
          <w:rtl w:val="true"/>
        </w:rPr>
        <w:t>تحليل الروايات</w:t>
      </w:r>
      <w:bookmarkEnd w:id="989"/>
    </w:p>
    <w:p>
      <w:pPr>
        <w:pStyle w:val="BookText"/>
        <w:rPr/>
      </w:pPr>
      <w:r>
        <w:rPr>
          <w:rFonts w:ascii="Amiri" w:hAnsi="Amiri" w:eastAsia="Amiri" w:cs="Amiri"/>
          <w:color w:val="111111"/>
          <w:sz w:val="28"/>
          <w:sz w:val="28"/>
          <w:szCs w:val="28"/>
          <w:rtl w:val="true"/>
          <w:lang w:bidi="ar-SA"/>
        </w:rPr>
        <w:t>أمّا الرواية الأُولى فقد ورد فيها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الكراهة لا الحرمة، وسوف يوافيك ما يزيل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أُمور توصف بالكراهة ولكن هناك ما يسبّب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فقد ورد فيها النهي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تبنوا على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محمولة على الكراهة أيضاً بقرينة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جواز البناء على القبور فيما سبق أفضل دليل على حمل النهي في هذه الروايات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فقد وقع في سندها راويان،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مروان القندي، ويونس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عرفه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وقيل أبو عبد اللّه الأنباري، روى عن أبي عبد اللّه وأبي الحسن عليهما السلام، ووقف في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 روى الكشي ما يدلّ على خبثه ووقفه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مردود الرواية</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وأمّا الثاني فقد قال النجاشي على ما حكى عنه القهبائي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يلتفت إلى ما رواه، كل كتبه تخليط، وقال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غال، وروى الكشي بسند صحيح رواية في ذمه، متضمّنة لعن أبي الحسن الرضا إياه، وقال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الفضل ابن شاذان في بعض كتبه، إنّ من الكذابين المشهورين ابن سنان،</w:t>
      </w:r>
      <w:r>
        <w:rPr>
          <w:rStyle w:val="FootnoteAnchor"/>
          <w:rtl w:val="true"/>
        </w:rPr>
        <w:footnoteReference w:id="970"/>
      </w:r>
      <w:r>
        <w:rPr>
          <w:rFonts w:ascii="Amiri" w:hAnsi="Amiri" w:eastAsia="Amiri" w:cs="Amiri"/>
          <w:color w:val="111111"/>
          <w:sz w:val="28"/>
          <w:sz w:val="28"/>
          <w:szCs w:val="28"/>
          <w:rtl w:val="true"/>
          <w:lang w:bidi="ar-SA"/>
        </w:rPr>
        <w:t>إلى غير ذلك من الكلمات الواردة في حقّه،</w:t>
      </w:r>
      <w:r>
        <w:rPr>
          <w:rStyle w:val="FootnoteAnchor"/>
          <w:rtl w:val="true"/>
        </w:rPr>
        <w:footnoteReference w:id="971"/>
      </w:r>
      <w:r>
        <w:rPr>
          <w:rFonts w:ascii="Amiri" w:hAnsi="Amiri" w:eastAsia="Amiri" w:cs="Amiri"/>
          <w:color w:val="111111"/>
          <w:sz w:val="28"/>
          <w:sz w:val="28"/>
          <w:szCs w:val="28"/>
          <w:rtl w:val="true"/>
          <w:lang w:bidi="ar-SA"/>
        </w:rPr>
        <w:t>فكيف يمكن الاستدلال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مورد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أسنادها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عامة الناس، إذ لو بني لكلّ ميت بناءً‌، أو أنّ كلّ أُسرة قامت بالبناء على أمواتهم ربما ضاقت الأرض، ولم يبق مكاناً لدفن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الحلّيّ فى تفسير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تضييقاً على الناس ومنعاً لهم عن الدفن، هذا مختص بالمواضع المباحة، أمّا الأملاك فلا</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وقد ورد نظير هذه الروايات في كتب أهل السنة وحملها بعضهم على ما كان البناء للفخر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يبنى على القبر بيت أو قبة أو مدرسة أو مسجد أو حيطان تحدق به، إذا لم يقصد بها الزينة والتفاخر، وإلاّ كان ذلك حراماً، هذا إذا كانت الأرض غير مسبلة ولا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والمسبلة هي التي اعتاد الناس الدفن فيها ولم يسبق لأحد ملكها، والموقوفة هي التي وقفها المالك بصيغة الوقف، أمّا المسبلة والموقوفة فيحرم فيها البناء مطلقاً، لما في ذلك من التضييق والتحجير على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مكروه مطلقاً سواء كانت الأرض مسبلة أو لا، إلّاأنّه في المسبلة أشد كراهة</w:t>
      </w:r>
      <w:r>
        <w:rPr>
          <w:rFonts w:eastAsia="Amiri" w:cs="Amiri" w:ascii="Amiri" w:hAnsi="Amiri"/>
          <w:color w:val="111111"/>
          <w:sz w:val="28"/>
          <w:szCs w:val="28"/>
          <w:rtl w:val="true"/>
          <w:lang w:bidi="ar-SA"/>
        </w:rPr>
        <w:t>.</w:t>
      </w:r>
      <w:r>
        <w:rPr>
          <w:rStyle w:val="FootnoteAnchor"/>
          <w:rtl w:val="true"/>
        </w:rPr>
        <w:footnoteReference w:id="97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تجصيص القبور والتظليل عليها، والمقام</w:t>
      </w:r>
      <w:bookmarkStart w:id="990" w:name="pg16780_177581"/>
    </w:p>
    <w:p>
      <w:pPr>
        <w:pStyle w:val="BookText"/>
        <w:rPr/>
      </w:pPr>
      <w:bookmarkEnd w:id="990"/>
      <w:r>
        <w:rPr>
          <w:rFonts w:ascii="Amiri" w:hAnsi="Amiri" w:eastAsia="Amiri" w:cs="Amiri"/>
          <w:color w:val="111111"/>
          <w:sz w:val="28"/>
          <w:sz w:val="28"/>
          <w:szCs w:val="28"/>
          <w:rtl w:val="true"/>
          <w:lang w:bidi="ar-SA"/>
        </w:rPr>
        <w:t>عندها، وتجديدها بعد اندراسها، ولا بأس بتطيينها ابتداءً‌</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والمكروه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وتجصيص القبر، والتظليل عليه والمقام عنده، وتجديده بعد الاندراس</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كراهة البناء على القبر واتّخاذه مسجداً، وكذا يكره القعود على القبر، وفي المبسوط نقل الإجماع على كراهة البناء عليه</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رواها الصدوق والشيخان وجماعة من المتأخّرين في كتبهم، ولم يستثنوا قبراً، ولا ريب أنّ الإمامية مطبقة على مخالفة قضيتين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البناء، والأُخرى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القدح في هذه الأخبار لأنّها آحاد، وبعضها ضعيف الاسناد، وقد عارضها أخبار أشهر منها، 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بالبناء عليه، وضرب الفسطاط يصونه ومن يزوره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وتخصص 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تعظيم قبورهم وعمارتها وأفضلية الصلاة عندها وهي كثيرة</w:t>
      </w:r>
      <w:r>
        <w:rPr>
          <w:rFonts w:eastAsia="Amiri" w:cs="Amiri" w:ascii="Amiri" w:hAnsi="Amiri"/>
          <w:color w:val="111111"/>
          <w:sz w:val="28"/>
          <w:szCs w:val="28"/>
          <w:rtl w:val="true"/>
          <w:lang w:bidi="ar-SA"/>
        </w:rPr>
        <w:t>.</w:t>
      </w:r>
      <w:r>
        <w:rPr>
          <w:rStyle w:val="FootnoteAnchor"/>
          <w:rtl w:val="true"/>
        </w:rPr>
        <w:footnoteReference w:id="977"/>
      </w:r>
    </w:p>
    <w:p>
      <w:pPr>
        <w:pStyle w:val="Heading5"/>
        <w:numPr>
          <w:ilvl w:val="4"/>
          <w:numId w:val="1"/>
        </w:numPr>
        <w:rPr/>
      </w:pPr>
      <w:bookmarkStart w:id="991" w:name="__RefHeading___Toc7190205_73709187"/>
      <w:bookmarkStart w:id="992" w:name="_Toc376"/>
      <w:bookmarkEnd w:id="991"/>
      <w:r>
        <w:rPr>
          <w:rtl w:val="true"/>
        </w:rPr>
        <w:t>الثالث</w:t>
      </w:r>
      <w:r>
        <w:rPr>
          <w:rtl w:val="true"/>
        </w:rPr>
        <w:t xml:space="preserve">: </w:t>
      </w:r>
      <w:r>
        <w:rPr>
          <w:rtl w:val="true"/>
        </w:rPr>
        <w:t>النهي عن التجصيص والتطيين</w:t>
      </w:r>
      <w:bookmarkEnd w:id="992"/>
    </w:p>
    <w:p>
      <w:pPr>
        <w:pStyle w:val="BookText"/>
        <w:rPr/>
      </w:pPr>
      <w:r>
        <w:rPr>
          <w:rFonts w:ascii="Amiri" w:hAnsi="Amiri" w:eastAsia="Amiri" w:cs="Amiri"/>
          <w:color w:val="111111"/>
          <w:sz w:val="28"/>
          <w:sz w:val="28"/>
          <w:szCs w:val="28"/>
          <w:rtl w:val="true"/>
          <w:lang w:bidi="ar-SA"/>
        </w:rPr>
        <w:t>لم يرد في النهي عن التجصيص والتطيين إلّارواية واحدة تقدمت في الصنف الثاني من الروايات، وقد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الكراهة، وقد مرّ أنّ الشيخ وأبا حمزة أفتيا بكراهتهما كما مرّ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ما رواه الكليني رحمه الله عن يونس بن يعقوب</w:t>
      </w:r>
      <w:bookmarkStart w:id="993" w:name="pg16780_177583"/>
    </w:p>
    <w:p>
      <w:pPr>
        <w:pStyle w:val="BookText"/>
        <w:rPr/>
      </w:pPr>
      <w:bookmarkEnd w:id="9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أبو الحسن موسى عليه السلام من بغداد ومضى إلى المدينة ماتت له ابنة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وأمر بعض مواليه أن يجصّص قبرها ويكتب على لوحٍ اسمَها ويجعله في القبر</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التجصيص والتطيين راجع إلى داخل القبر لا خارجه، وذلك لاتّفاق الأُمّة الإسلامية على استحباب رفع القبر بمقدار شبر أو أربع أصابع منفرجات، وما ذلك إلّاليبقى ويُعرف ويزار، ومن المعلوم أنّ رفع التراب فوق القبر لا يبقى إلّابالتطيين والتجصيص خارج القبر</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7190207_73709187"/>
      <w:bookmarkStart w:id="995" w:name="_Toc377"/>
      <w:bookmarkEnd w:id="994"/>
      <w:r>
        <w:rPr>
          <w:rtl w:val="true"/>
        </w:rPr>
        <w:t>الرابع</w:t>
      </w:r>
      <w:r>
        <w:rPr>
          <w:rtl w:val="true"/>
        </w:rPr>
        <w:t xml:space="preserve">: </w:t>
      </w:r>
      <w:r>
        <w:rPr>
          <w:rtl w:val="true"/>
        </w:rPr>
        <w:t>استحباب رفع القبر شبراً</w:t>
      </w:r>
      <w:bookmarkEnd w:id="995"/>
    </w:p>
    <w:p>
      <w:pPr>
        <w:pStyle w:val="BookText"/>
        <w:rPr/>
      </w:pPr>
      <w:r>
        <w:rPr>
          <w:rFonts w:ascii="Amiri" w:hAnsi="Amiri" w:eastAsia="Amiri" w:cs="Amiri"/>
          <w:color w:val="111111"/>
          <w:sz w:val="28"/>
          <w:sz w:val="28"/>
          <w:szCs w:val="28"/>
          <w:rtl w:val="true"/>
          <w:lang w:bidi="ar-SA"/>
        </w:rPr>
        <w:t>لقد استفاضت الروايات من طرقنا ومن طرق أهل السنة أيضاً على استحباب رفع القبر مقدار شبر أو أربع أصابع منفرجات، وإليك عدداً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بسنده عن قدامة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سلّ إبراهيم ابنه سلاً ورفع قبره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عقبة بن بشير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ادفني في هذا المكان، وارفع قبري من الأرض أربع أصابع، ورشّ عليه من الماء</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أمرني أن أرفع القبر من الأرض أربع أصابع مفرّجات</w:t>
      </w:r>
      <w:r>
        <w:rPr>
          <w:rFonts w:eastAsia="Amiri" w:cs="Amiri" w:ascii="Amiri" w:hAnsi="Amiri"/>
          <w:color w:val="111111"/>
          <w:sz w:val="28"/>
          <w:szCs w:val="28"/>
          <w:rtl w:val="true"/>
          <w:lang w:bidi="ar-SA"/>
        </w:rPr>
        <w:t>».</w:t>
      </w:r>
      <w:r>
        <w:rPr>
          <w:rStyle w:val="FootnoteAnchor"/>
          <w:rtl w:val="true"/>
        </w:rPr>
        <w:footnoteReference w:id="981"/>
      </w:r>
      <w:bookmarkStart w:id="996" w:name="pg16780_177585"/>
    </w:p>
    <w:p>
      <w:pPr>
        <w:pStyle w:val="BookText"/>
        <w:rPr/>
      </w:pPr>
      <w:bookmarkEnd w:id="996"/>
      <w:r>
        <w:rPr>
          <w:rFonts w:ascii="Amiri" w:hAnsi="Amiri" w:eastAsia="Amiri" w:cs="Amiri"/>
          <w:color w:val="111111"/>
          <w:sz w:val="28"/>
          <w:sz w:val="28"/>
          <w:szCs w:val="28"/>
          <w:rtl w:val="true"/>
          <w:lang w:bidi="ar-SA"/>
        </w:rPr>
        <w:t xml:space="preserve">وهذه الروايات تأمر برفع القبر أربع أصابع أو شبراً ولا تنهى عن الزائد عليه، نعم ورد في رواية واحدة، أنّ الإمام موسى الكاظم عليه السلام نهى أن يرفع قبره أزيد من أربع أصابع، روى عمر بن واقد عن أبي الحسن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حملت إلى المقبرة المعروفة بمقابر قريش فألحدوني بها، ولا ترفعوا قبري أكثر من أربع أصابع مفرّجات</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ووجه النهي أنّ الإمام الكاظم عليه السلام قد دفن في مقابر قريش والتي كان كل القرشيين، من العلويين والعباسيين يدفن فيها، فلو كان قبره يرفع أكثر من قبور غيره، لأثار حفيظة الآخرين، هذا وربما يتعرض القبر للإهانة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القبر شبراً أو أربع أصابع أمر مستحب، وأمّا الزائد عليه، كما لم يثبت استحبابه، لم تثبت كراهته ولا حرمته</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7190209_73709187"/>
      <w:bookmarkStart w:id="998" w:name="_Toc378"/>
      <w:bookmarkEnd w:id="997"/>
      <w:r>
        <w:rPr>
          <w:rtl w:val="true"/>
        </w:rPr>
        <w:t>الخامس</w:t>
      </w:r>
      <w:r>
        <w:rPr>
          <w:rtl w:val="true"/>
        </w:rPr>
        <w:t xml:space="preserve">: </w:t>
      </w:r>
      <w:r>
        <w:rPr>
          <w:rtl w:val="true"/>
        </w:rPr>
        <w:t>تسوية القبور</w:t>
      </w:r>
      <w:bookmarkEnd w:id="998"/>
    </w:p>
    <w:p>
      <w:pPr>
        <w:pStyle w:val="Heading6"/>
        <w:numPr>
          <w:ilvl w:val="5"/>
          <w:numId w:val="1"/>
        </w:numPr>
        <w:rPr/>
      </w:pPr>
      <w:bookmarkStart w:id="999" w:name="__RefHeading___Toc7190211_73709187"/>
      <w:bookmarkStart w:id="1000" w:name="_Toc379"/>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روى الكليني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رسول اللّه صلى الله عليه و آله و سلم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 محوتها، ولا قبراً إلّاسويته، ولا كلباً إلّاقتلته</w:t>
      </w:r>
      <w:r>
        <w:rPr>
          <w:rFonts w:eastAsia="Amiri" w:cs="Amiri" w:ascii="Amiri" w:hAnsi="Amiri"/>
          <w:color w:val="111111"/>
          <w:sz w:val="28"/>
          <w:szCs w:val="28"/>
          <w:rtl w:val="true"/>
          <w:lang w:bidi="ar-SA"/>
        </w:rPr>
        <w:t>».</w:t>
      </w:r>
      <w:r>
        <w:rPr>
          <w:rStyle w:val="FootnoteAnchor"/>
          <w:rtl w:val="true"/>
        </w:rPr>
        <w:footnoteReference w:id="983"/>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أبعثك على ما بعثني عليه رسول اللّه صلى الله عليه و آله و سلم، أن لا تدع تمثالاً إلّاطمسته، ولا قبراً مشرفاً إلّاسويته</w:t>
      </w:r>
      <w:r>
        <w:rPr>
          <w:rFonts w:eastAsia="Amiri" w:cs="Amiri" w:ascii="Amiri" w:hAnsi="Amiri"/>
          <w:color w:val="111111"/>
          <w:sz w:val="28"/>
          <w:szCs w:val="28"/>
          <w:rtl w:val="true"/>
          <w:lang w:bidi="ar-SA"/>
        </w:rPr>
        <w:t>».</w:t>
      </w:r>
      <w:r>
        <w:rPr>
          <w:rStyle w:val="FootnoteAnchor"/>
          <w:rtl w:val="true"/>
        </w:rPr>
        <w:footnoteReference w:id="984"/>
      </w:r>
      <w:bookmarkStart w:id="1001" w:name="pg16780_177587"/>
    </w:p>
    <w:p>
      <w:pPr>
        <w:pStyle w:val="Heading6"/>
        <w:numPr>
          <w:ilvl w:val="5"/>
          <w:numId w:val="1"/>
        </w:numPr>
        <w:rPr/>
      </w:pPr>
      <w:bookmarkStart w:id="1002" w:name="__RefHeading___Toc7190213_73709187"/>
      <w:bookmarkStart w:id="1003" w:name="_Toc380"/>
      <w:bookmarkEnd w:id="1001"/>
      <w:bookmarkEnd w:id="1002"/>
      <w:r>
        <w:rPr>
          <w:rtl w:val="true"/>
        </w:rPr>
        <w:t>مناقشة الحديث</w:t>
      </w:r>
      <w:bookmarkEnd w:id="1003"/>
    </w:p>
    <w:p>
      <w:pPr>
        <w:pStyle w:val="BookText"/>
        <w:rPr/>
      </w:pPr>
      <w:r>
        <w:rPr>
          <w:rFonts w:ascii="Amiri" w:hAnsi="Amiri" w:eastAsia="Amiri" w:cs="Amiri"/>
          <w:color w:val="111111"/>
          <w:sz w:val="28"/>
          <w:sz w:val="28"/>
          <w:szCs w:val="28"/>
          <w:rtl w:val="true"/>
          <w:lang w:bidi="ar-SA"/>
        </w:rPr>
        <w:t>نحن لا ندرس سند الحديث مطلقاً سواء الوارد من طرقنا أو طرقهم، وانّما نركز البحث على مضمونه،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من طريقنا أنّ رسول اللّه صلى الله عليه و آله و سلم بعث علياً عليه السلام إلى المدينة، لا يخلو من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بعثه إلى المدينة قبل هجرته صلى الله عليه و آله و سلم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بعثه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فباطل قطعاً، إذ لم يكن لعلي أي هجرة إلى المدينة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بعيد جدّاً، لأنّ الظاهر أنّ المراد من الصورة هو صورة الأصنام والأوثان التي يحافظ عليها في البيوت أو الأزقّة، وهل يحتمل أن يكون لها وجود بعد انتشار الإسلام في المدينة وأطرافها، وقد استقبلت الطائفتان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النبي صلى الله عليه و آله و سلم برحابة صدر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التسوية الواردة في الحديث من الطريقين تستعمل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الفعل متعدياً لمفعول واحد فقط،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الفعل متعدياً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بلا واسطة، والآخر بواسطة حرف الجر،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أمّا الوجه الأوّل فتكون التسوية وصفاً لنفس الشيء لابالمقايسة إلى غيره، كما في الآية المتقدمة حيث إنّ المراد تسوية بدن آدم عليه السلام، ونظيره قوله سبحانه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والمراد أي سوّى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المقصود تسوية الشيء وإكماله ورفع الإعوجاج والنقص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أي فيما لو أخذ مفعولين وتعدّى إلى المفعول الثاني بحرف الجر، تكون التسوية وصفاً للشيء بالإضافة إلى الأمر الآخر كما في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w:t>
      </w:r>
      <w:r>
        <w:rPr>
          <w:rFonts w:eastAsia="Amiri" w:cs="Amiri" w:ascii="Amiri" w:hAnsi="Amiri"/>
          <w:color w:val="111111"/>
          <w:sz w:val="28"/>
          <w:szCs w:val="28"/>
          <w:rtl w:val="true"/>
          <w:lang w:bidi="ar-SA"/>
        </w:rPr>
        <w:t>) .</w:t>
      </w:r>
      <w:r>
        <w:rPr>
          <w:rStyle w:val="FootnoteAnchor"/>
          <w:rtl w:val="true"/>
        </w:rPr>
        <w:footnoteReference w:id="988"/>
      </w:r>
      <w:r>
        <w:rPr>
          <w:rFonts w:ascii="Amiri" w:hAnsi="Amiri" w:eastAsia="Amiri" w:cs="Amiri"/>
          <w:color w:val="111111"/>
          <w:sz w:val="28"/>
          <w:sz w:val="28"/>
          <w:szCs w:val="28"/>
          <w:rtl w:val="true"/>
          <w:lang w:bidi="ar-SA"/>
        </w:rPr>
        <w:t>ترى أنّ التسوية هناك ليست وصفاً لنفس المعبود بما هوهو، بل له بالقياس إلى رب العالمين، ونظيره الآية الثانية فالتسوية صفة للكافرين بالقياس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واقع هذه الكلمة واختلاف مضمونها حسب وحدة المفعول وكثرته فاعلم أنّ فعل التسوية في الحديث قد اكتفى بمفعول واحد فتكون التسوية وصفاً لنفس القبر، لا بالقياس إلى غيره كالأرض، فيكون المراد كون القبر مستوياً لا محدباً، ومسطحاً لا مسنّماً، فالحديث يدل على حرمة أو كراهة التسنيم، ويدل بالملازمة على استحباب التسطيح، وأين هذا من تخريب البناء على القبور، وادّعاء حرمة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النووي في شرحه على صحيح مسلم الحديث على نحو ما ذكرنا،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بتسويتها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قبراً مشرفاً إلاّ سويته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أن القبر لايرفع على الأرض رفعاً كثيراً ولا يسنّم بل يرفع نحو شبر ويسطّح، وهذا مذهب الشافعي ومن وافقه، ونقل القاضي عياض عن</w:t>
      </w:r>
    </w:p>
    <w:p>
      <w:pPr>
        <w:pStyle w:val="BookText"/>
        <w:rPr/>
      </w:pPr>
      <w:r>
        <w:rPr>
          <w:rFonts w:ascii="Amiri" w:hAnsi="Amiri" w:eastAsia="Amiri" w:cs="Amiri"/>
          <w:color w:val="111111"/>
          <w:sz w:val="28"/>
          <w:sz w:val="28"/>
          <w:szCs w:val="28"/>
          <w:rtl w:val="true"/>
          <w:lang w:bidi="ar-SA"/>
        </w:rPr>
        <w:t>أكثر العلماء أنّ الأفضل عندهم تسنيمها وهو مذهب مالك</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هذا كلّه يعود إلى إيضاح 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نقل من طرقنا بصور مختلفة تفتقد الاعتماد عليها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قبراً،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قبراً،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جدّث قبراً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الميت في قبر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خدّد قبراً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نبشه</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أفيمكن الاستدلال بهذا الحديث المردّد بين أربع صور كل يخالف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اتّخذه الكاتب ذريعة لما بيّناه من أحاديث العترة الطاهرة، وقد عرفت أنّ الأدلة تدل بوضوح على جواز البناء واستحبابه بالنسبة إلى قبور الأنبياء والأولياء، وأمّا ما يتوهّم منه النهي فهو محمول على الكراهة في فترات خاصة أو لأُناس عاديين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الكلام في هذا الفصل، فلنعد إلى بناء المساجد عند المشاهد، وهذا ما ندرسه في الفصل التالي، إن شاء اللّه تعالى</w:t>
      </w:r>
      <w:r>
        <w:rPr>
          <w:rFonts w:eastAsia="Amiri" w:cs="Amiri" w:ascii="Amiri" w:hAnsi="Amiri"/>
          <w:color w:val="111111"/>
          <w:sz w:val="28"/>
          <w:szCs w:val="28"/>
          <w:rtl w:val="true"/>
          <w:lang w:bidi="ar-SA"/>
        </w:rPr>
        <w:t>.</w:t>
      </w:r>
      <w:bookmarkStart w:id="1004" w:name="pg16780_177593"/>
    </w:p>
    <w:p>
      <w:pPr>
        <w:pStyle w:val="Heading4"/>
        <w:numPr>
          <w:ilvl w:val="3"/>
          <w:numId w:val="1"/>
        </w:numPr>
        <w:rPr/>
      </w:pPr>
      <w:bookmarkStart w:id="1005" w:name="__RefHeading___Toc7190215_73709187"/>
      <w:bookmarkStart w:id="1006" w:name="_Toc381"/>
      <w:bookmarkEnd w:id="1004"/>
      <w:bookmarkEnd w:id="1005"/>
      <w:r>
        <w:rPr>
          <w:rtl w:val="true"/>
        </w:rPr>
        <w:t>الفصل الرابع بناء المساجد جنب المشاهد</w:t>
      </w:r>
      <w:bookmarkEnd w:id="1006"/>
    </w:p>
    <w:p>
      <w:pPr>
        <w:pStyle w:val="Heading5"/>
        <w:numPr>
          <w:ilvl w:val="4"/>
          <w:numId w:val="1"/>
        </w:numPr>
        <w:rPr/>
      </w:pPr>
      <w:bookmarkStart w:id="1007" w:name="__RefHeading___Toc7190217_73709187"/>
      <w:bookmarkStart w:id="1008" w:name="_Toc382"/>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المسجد هو معبد الموحّدين، يعبدون اللّه وحده ولا يدعون فيه أحداً إلّا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والمراد من الدعوة هو العبادة أي لا تعبدوا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القرآن الكريم تارة يذكر العبادة بلفظها، وأُخرى يذكرها بلفظ الدعوة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ترى أنّه سبحانه قد عبّر عن العبادة بالدعاء في صدر الآية، وهذا يدلّ على أنّ الدعاء المرادف للعبادة مختص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الدعاء المجرد عن عنوان العبادة فأمر مباح أو مستحب أو واجب، وعلى كلّ تقدير فالمسجد مركز العبادة الخاصّة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جرت السنة منذ زمان على بناء المساجد في جنب المراقد تبركاً بوجود الأولياء، كما عمل به الموحّدون الذين عثروا على أصحاب الكهف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وسوف يوافيك تفصيله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شاهد المؤمنين الذين يصلّون في تلك المساجد التي بنيت جنب</w:t>
      </w:r>
      <w:bookmarkStart w:id="1009" w:name="pg16780_177595"/>
    </w:p>
    <w:p>
      <w:pPr>
        <w:pStyle w:val="BookText"/>
        <w:rPr/>
      </w:pPr>
      <w:bookmarkEnd w:id="1009"/>
      <w:r>
        <w:rPr>
          <w:rFonts w:ascii="Amiri" w:hAnsi="Amiri" w:eastAsia="Amiri" w:cs="Amiri"/>
          <w:color w:val="111111"/>
          <w:sz w:val="28"/>
          <w:sz w:val="28"/>
          <w:szCs w:val="28"/>
          <w:rtl w:val="true"/>
          <w:lang w:bidi="ar-SA"/>
        </w:rPr>
        <w:t>المراقد يذعن بأنّهم يعبدون اللّه وحده ويصلّون باتجاه القبلة الّتي كتبها اللّه عليهم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كما يرى أنّهم يسجدون على الأرض من دون أن يتخذوا القبر قبلة أو مسجوداً عليه أو غير ذلك، من الأُمور المحرمة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يتصوره الغافل في حقهم أنّهم يرتكبون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القبر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مسجوداً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مسجوداً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فكلّها افتراءات لا صحة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الحافز للصلاة في هذه المساجد هو التبرك بالنبي صلى الله عليه و آله و سلم أو بالإمام أو الولي المدفون هناك كما أمر المسلمون بالصلاة خلف مقام إبراهيم عليه السلام لتلك الغاية،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وإليك ما يشهد على جواز بناء المساجد جنب المشاهد والصلاة فيها</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7190219_73709187"/>
      <w:bookmarkStart w:id="1011" w:name="_Toc383"/>
      <w:bookmarkEnd w:id="1010"/>
      <w:r>
        <w:rPr/>
        <w:t>1</w:t>
      </w:r>
      <w:r>
        <w:rPr>
          <w:rtl w:val="true"/>
        </w:rPr>
        <w:t xml:space="preserve">. </w:t>
      </w:r>
      <w:r>
        <w:rPr>
          <w:rtl w:val="true"/>
        </w:rPr>
        <w:t>عمل الموحّدين في عصر أصحاب الكهف</w:t>
      </w:r>
      <w:bookmarkEnd w:id="1011"/>
    </w:p>
    <w:p>
      <w:pPr>
        <w:pStyle w:val="BookText"/>
        <w:rPr/>
      </w:pPr>
      <w:r>
        <w:rPr>
          <w:rFonts w:ascii="Amiri" w:hAnsi="Amiri" w:eastAsia="Amiri" w:cs="Amiri"/>
          <w:color w:val="111111"/>
          <w:sz w:val="28"/>
          <w:sz w:val="28"/>
          <w:szCs w:val="28"/>
          <w:rtl w:val="true"/>
          <w:lang w:bidi="ar-SA"/>
        </w:rPr>
        <w:t>عثر الناس على أصحاب الكهف بعد مرور أكثر من ثلاثمائة سنة، فوقع الخلاف بينهم، فقال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 رَبُّهُمْ أَعْلَمُ بِهِمْ‌</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الموحّدون الذين يصفهم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وهذا يدلّ على أنّ كلا الأمرين قد وقعا مورد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 الأمرين منافياً للتوحيد لما ذكره سبحانه بلا نقد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المحدث المعاصر الشيخ الألباني الذي يقتفي أثر الوهابيين أوّل الآية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تحذير الساجد باتّخاذ القبور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عقيدته المسبّقة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الأمراء والمتنفذون، ولم يعلم أنّهم كانوا رجالاً صالحين</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ولكنّه غفل عن أمرين ولو كان واقفاً عليهما لم يؤوّل كلام اللّه سبحانه تأييداً لعقيدته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أصحاب الكهف لا إلى الطائفة الأُولى الّذين اكتفوا بالبناء عليهم، والمراد أنّ الّذين عرفوا أصحاب الكهف حق المعرفة وعرفوا مقاماتهم عند اللّه سبحانه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الطائفة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فاستنكروا حالهم وأحالوه إلى ربّهم، بخلاف الطائفة الأُولى الذين عرفوهم وغلبوا على أمرهم وتسلّطوا على أحوالهم، فيكون المراد من الغلبة، هو التعرف على أحوالهم لا غلبة قوم على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افترضنا أنّ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الغلبة على الطائفة الأُولى لكن المراد من الغلبة هو الغلبة الدينية، بشهادة ما رواه الطبري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إليهم أرواحهم في أجسامهم من الغد حين أصبحوا، فبعثوا أحدهم بوَرِق يشتري طعاماً، فلمّا أتى باب مدينتهم، رأى شيئاً يُنكره، حتّى دخل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بهذه الدراهم طعاماً،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هذه</w:t>
      </w:r>
      <w:bookmarkStart w:id="1012" w:name="pg16780_177599"/>
    </w:p>
    <w:p>
      <w:pPr>
        <w:pStyle w:val="BookText"/>
        <w:rPr/>
      </w:pPr>
      <w:bookmarkEnd w:id="1012"/>
      <w:r>
        <w:rPr>
          <w:rFonts w:ascii="Amiri" w:hAnsi="Amiri" w:eastAsia="Amiri" w:cs="Amiri"/>
          <w:color w:val="111111"/>
          <w:sz w:val="28"/>
          <w:sz w:val="28"/>
          <w:szCs w:val="28"/>
          <w:rtl w:val="true"/>
          <w:lang w:bidi="ar-SA"/>
        </w:rPr>
        <w:t>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وأصحاب لي أمس، فآوانا الليل، ثم أصبحوا، فأرسلوني،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الدراهم كانت على عهد مُلك فلان، فأنّى لك بها؟ فرفعه إلى الملك، وكان ملكاً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الوَرِق‌؟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وأصحاب لي أمس، حتّى أدركنا الليل في كهف كذا وكذا، ثم أمروني أن أشتري لهم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معه حتّى أتوا باب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أدخل على أصحابي قبلكم، فلما رأوه ودنا منهم ضُرب على أذنه وآذانهم، فجعلوا كلما دخل رجل أُرعب، فلم يقدروا على أن يدخلوا عليهم، فبنوا عندهم كنيسة، اتّخذوها مسجداً يصلّون فيه</w:t>
      </w:r>
      <w:r>
        <w:rPr>
          <w:rFonts w:eastAsia="Amiri" w:cs="Amiri" w:ascii="Amiri" w:hAnsi="Amiri"/>
          <w:color w:val="111111"/>
          <w:sz w:val="28"/>
          <w:szCs w:val="28"/>
          <w:rtl w:val="true"/>
          <w:lang w:bidi="ar-SA"/>
        </w:rPr>
        <w:t>.</w:t>
      </w:r>
      <w:r>
        <w:rPr>
          <w:rStyle w:val="FootnoteAnchor"/>
          <w:rtl w:val="true"/>
        </w:rPr>
        <w:footnoteReference w:id="997"/>
      </w:r>
    </w:p>
    <w:p>
      <w:pPr>
        <w:pStyle w:val="Heading5"/>
        <w:numPr>
          <w:ilvl w:val="4"/>
          <w:numId w:val="1"/>
        </w:numPr>
        <w:rPr/>
      </w:pPr>
      <w:bookmarkStart w:id="1013" w:name="__RefHeading___Toc7190221_73709187"/>
      <w:bookmarkStart w:id="1014" w:name="_Toc384"/>
      <w:bookmarkEnd w:id="1013"/>
      <w:r>
        <w:rPr/>
        <w:t>2</w:t>
      </w:r>
      <w:r>
        <w:rPr>
          <w:rtl w:val="true"/>
        </w:rPr>
        <w:t xml:space="preserve">. </w:t>
      </w:r>
      <w:r>
        <w:rPr>
          <w:rtl w:val="true"/>
        </w:rPr>
        <w:t>المسجد النبوي ومرقد الرسول صلى الله عليه و آله و سلم</w:t>
      </w:r>
      <w:bookmarkEnd w:id="1014"/>
    </w:p>
    <w:p>
      <w:pPr>
        <w:pStyle w:val="BookText"/>
        <w:rPr/>
      </w:pPr>
      <w:r>
        <w:rPr>
          <w:rFonts w:ascii="Amiri" w:hAnsi="Amiri" w:eastAsia="Amiri" w:cs="Amiri"/>
          <w:color w:val="111111"/>
          <w:sz w:val="28"/>
          <w:sz w:val="28"/>
          <w:szCs w:val="28"/>
          <w:rtl w:val="true"/>
          <w:lang w:bidi="ar-SA"/>
        </w:rPr>
        <w:t>توفّي رسول اللّه صلى الله عليه و آله و سلم في بيت إحدى زوجاته، وانجرّ الأمر إلى دفنه في نفس المكان الّذي توفّي فيه، وقد صار بيته معبداً لزوجته عائشة بقية حياتها، ولم يعترض أحد على صلاتها في بيتها والقبر إلى جانبها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السنة الثامنة والثمانين لمّا ضاق المسجد على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انتشر الإسلام في ربوع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الوليد بن عبد الملك والي المدينة عمر بن عبد العزيز بأن يوسّع المسجد بتخريب بيوت أزواج النبي صلى الله عليه و آله و سلم الّتي كانت مبنية حول المسجد، فقام هو بتخريبها جميعاً، وعندئذٍ وقع مرقد النبي في داخل المسجد، ولم يعترض على ذلك العمل أحدٌ من التابعين حتّى الإمام زين العابدين عليه السلام ولا سائر الفقهاء في ذلك الزمن، وهذا يحكي عن أنّ وجود المرقد داخل المسجد لا يعارض أُصول التوحيد ولا أُصول الشريعة، إذ أنّ الغاية هي</w:t>
      </w:r>
      <w:bookmarkStart w:id="1015" w:name="pg16780_177601"/>
    </w:p>
    <w:p>
      <w:pPr>
        <w:pStyle w:val="BookText"/>
        <w:rPr/>
      </w:pPr>
      <w:bookmarkEnd w:id="1015"/>
      <w:r>
        <w:rPr>
          <w:rFonts w:ascii="Amiri" w:hAnsi="Amiri" w:eastAsia="Amiri" w:cs="Amiri"/>
          <w:color w:val="111111"/>
          <w:sz w:val="28"/>
          <w:sz w:val="28"/>
          <w:szCs w:val="28"/>
          <w:rtl w:val="true"/>
          <w:lang w:bidi="ar-SA"/>
        </w:rPr>
        <w:t>التبرك بوجود النبي صلى الله عليه و آله و سلم، وقد مر على ذلك أزيد من ثلاثة عشر قرناً ولم ينبس أحدٌ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روي عن سعيد بن المسيب أنّه اعترض على التخريب ولم يعلم وجه اعتراضه، إذ يحتمل أن يكون أنّ أصحاب البيوت كانوا غير راضين، أو أنّ الاعتراض كان لأجل أثر البناء لهذه الأبنية الّتي هي من الخشب والطين، حتّى يرى أبناء الاجيال التالية كيف عاش النبي صلى الله عليه و آله و سلم وأهله وعياله حياة بسيطة</w:t>
      </w:r>
      <w:r>
        <w:rPr>
          <w:rFonts w:eastAsia="Amiri" w:cs="Amiri" w:ascii="Amiri" w:hAnsi="Amiri"/>
          <w:color w:val="111111"/>
          <w:sz w:val="28"/>
          <w:szCs w:val="28"/>
          <w:rtl w:val="true"/>
          <w:lang w:bidi="ar-SA"/>
        </w:rPr>
        <w:t>.</w:t>
      </w:r>
      <w:r>
        <w:rPr>
          <w:rStyle w:val="FootnoteAnchor"/>
          <w:rtl w:val="true"/>
        </w:rPr>
        <w:footnoteReference w:id="998"/>
      </w:r>
    </w:p>
    <w:p>
      <w:pPr>
        <w:pStyle w:val="Heading5"/>
        <w:numPr>
          <w:ilvl w:val="4"/>
          <w:numId w:val="1"/>
        </w:numPr>
        <w:rPr/>
      </w:pPr>
      <w:bookmarkStart w:id="1016" w:name="__RefHeading___Toc7190223_73709187"/>
      <w:bookmarkStart w:id="1017" w:name="_Toc385"/>
      <w:bookmarkEnd w:id="1016"/>
      <w:r>
        <w:rPr/>
        <w:t>3</w:t>
      </w:r>
      <w:r>
        <w:rPr>
          <w:rtl w:val="true"/>
        </w:rPr>
        <w:t xml:space="preserve">. </w:t>
      </w:r>
      <w:r>
        <w:rPr>
          <w:rtl w:val="true"/>
        </w:rPr>
        <w:t>سيرة المسلمين وبناء المساجد عند المشاهد</w:t>
      </w:r>
      <w:bookmarkEnd w:id="1017"/>
    </w:p>
    <w:p>
      <w:pPr>
        <w:pStyle w:val="BookText"/>
        <w:rPr/>
      </w:pPr>
      <w:r>
        <w:rPr>
          <w:rFonts w:ascii="Amiri" w:hAnsi="Amiri" w:eastAsia="Amiri" w:cs="Amiri"/>
          <w:color w:val="111111"/>
          <w:sz w:val="28"/>
          <w:sz w:val="28"/>
          <w:szCs w:val="28"/>
          <w:rtl w:val="true"/>
          <w:lang w:bidi="ar-SA"/>
        </w:rPr>
        <w:t xml:space="preserve">يظهر ممّا ذكره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المساجد عند المشاهد كثيراً، وإليك بعض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قبر فاطمة بنت أسد أُمّ علي بن أبي طالب رضي اللّه تعالى عنهما، لمّا استقر بفاطمة وعلم بذلك رسول اللّه صلى الله عليه و آله و سلم قام بقبرها فحفر في موضع المسجد الّذي يقال له اليوم قبر فاطمة، ثم لحد لها لحداً ولم يضرح لها ضريحاً، فلمّا فرغ منه نزل فاضطجع في اللحد وقرأ فيه القرآن ثم نزع قميصه فأمر أن تكفن فيه ثمّ صلّى عليها عند قبرها فكبر تسعاً</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يذكر البيهقي أنّ فاطمة سيدة نساء العالمين عليها السلام كانت تذهب إلى زيارة قبر عمّها حمزة وتصلّي لديه</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نقل السيوطي أنّ رسول اللّه صلى الله عليه و آله و سلم نزل في ليلة المعراج الأماكن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طيبة؛ طور سيناء، بيت لحم وقد أمره جبرائيل بالصلاة فيها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طيبة فهي مهجرك، وأمّا طور سيناء فهو الموضع الّذي كلم اللّه</w:t>
      </w:r>
      <w:bookmarkStart w:id="1018" w:name="pg16780_177603"/>
    </w:p>
    <w:p>
      <w:pPr>
        <w:pStyle w:val="BookText"/>
        <w:rPr/>
      </w:pPr>
      <w:bookmarkEnd w:id="1018"/>
      <w:r>
        <w:rPr>
          <w:rFonts w:ascii="Amiri" w:hAnsi="Amiri" w:eastAsia="Amiri" w:cs="Amiri"/>
          <w:color w:val="111111"/>
          <w:sz w:val="28"/>
          <w:sz w:val="28"/>
          <w:szCs w:val="28"/>
          <w:rtl w:val="true"/>
          <w:lang w:bidi="ar-SA"/>
        </w:rPr>
        <w:t>موسى، وأمّا بيت لحم فهو مولد عيسى المسيح عليه السلام</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كلّ ذلك يدلّ على أنّ الصلاة تبركاً بالمواضع الّتي مسها جسد نبي أو أحد الأولياء، كان أمراً مشروعاً لم ينكره أحد</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7190225_73709187"/>
      <w:bookmarkStart w:id="1020" w:name="_Toc386"/>
      <w:bookmarkEnd w:id="1019"/>
      <w:r>
        <w:rPr>
          <w:rtl w:val="true"/>
        </w:rPr>
        <w:t>الصلاة في المشاهد في أحاديث العترة الطاهرة</w:t>
      </w:r>
      <w:bookmarkEnd w:id="1020"/>
    </w:p>
    <w:p>
      <w:pPr>
        <w:pStyle w:val="BookText"/>
        <w:rPr/>
      </w:pPr>
      <w:r>
        <w:rPr>
          <w:rFonts w:ascii="Amiri" w:hAnsi="Amiri" w:eastAsia="Amiri" w:cs="Amiri"/>
          <w:color w:val="111111"/>
          <w:sz w:val="28"/>
          <w:sz w:val="28"/>
          <w:szCs w:val="28"/>
          <w:rtl w:val="true"/>
          <w:lang w:bidi="ar-SA"/>
        </w:rPr>
        <w:t>وبما أنّ كاتب الرسالة يريد أن يطبق أحاديث العترة على عقائد الوهابيين لذا يجب أن نذكر بعض ما روي عنهم لكي يظهر أنّ ما ادّعاه من اتّحاد النظرتين أمر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الحسن بن عطية،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السلام على الشهداء فأت قبر أبي عبد اللّه عليه السلام فاجعله بين يديك ثم تصلي ما بدا لك</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حديث طويل في زيارة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تمضي يا مفضّل إلى صلاتك ولك بكل ركعة تركعها عنده كثواب من حج ألف حجّة</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ابن أبي عمير، عن رجل، عن أبي جعفر عليه السلام،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ما يمنعك إذا عرضت لك حاجة أن تأتي قبر الحسين عليه السلام فتصلي عنده أربع ركعات</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فقد أمر الإمام بالصلاة عند قبر الحسين عليه السلام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اقتصرنا على ما ذكر فإنّ ذكر الجميع يطول</w:t>
      </w:r>
      <w:r>
        <w:rPr>
          <w:rFonts w:eastAsia="Amiri" w:cs="Amiri" w:ascii="Amiri" w:hAnsi="Amiri"/>
          <w:color w:val="111111"/>
          <w:sz w:val="28"/>
          <w:szCs w:val="28"/>
          <w:rtl w:val="true"/>
          <w:lang w:bidi="ar-SA"/>
        </w:rPr>
        <w:t>.</w:t>
      </w:r>
      <w:bookmarkStart w:id="1021" w:name="pg16780_177605"/>
    </w:p>
    <w:p>
      <w:pPr>
        <w:pStyle w:val="BookText"/>
        <w:rPr/>
      </w:pPr>
      <w:bookmarkEnd w:id="1021"/>
      <w:r>
        <w:rPr>
          <w:rFonts w:ascii="Amiri" w:hAnsi="Amiri" w:eastAsia="Amiri" w:cs="Amiri"/>
          <w:color w:val="111111"/>
          <w:sz w:val="28"/>
          <w:sz w:val="28"/>
          <w:szCs w:val="28"/>
          <w:rtl w:val="true"/>
          <w:lang w:bidi="ar-SA"/>
        </w:rPr>
        <w:t>ويستفاد من الجميع أنّ الصلاة عند مشاهد الأئمة عليهم السلام أمر مشروع ومثاب عليه</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7190227_73709187"/>
      <w:bookmarkStart w:id="1023" w:name="_Toc387"/>
      <w:bookmarkEnd w:id="1022"/>
      <w:r>
        <w:rPr>
          <w:rtl w:val="true"/>
        </w:rPr>
        <w:t>ذرائع الكاتب وحججه</w:t>
      </w:r>
      <w:bookmarkEnd w:id="1023"/>
    </w:p>
    <w:p>
      <w:pPr>
        <w:pStyle w:val="BookText"/>
        <w:rPr/>
      </w:pPr>
      <w:r>
        <w:rPr>
          <w:rFonts w:ascii="Amiri" w:hAnsi="Amiri" w:eastAsia="Amiri" w:cs="Amiri"/>
          <w:color w:val="111111"/>
          <w:sz w:val="28"/>
          <w:sz w:val="28"/>
          <w:szCs w:val="28"/>
          <w:rtl w:val="true"/>
          <w:lang w:bidi="ar-SA"/>
        </w:rPr>
        <w:t>اتّخذ الكاتب في المقام بعض الروايات ذريعة لما يتبنّاه من حرمة بناء المساجد على القبور والصلاة فيها، ونحن نذكر تلك الذرائع واحدة بعد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مرسلاً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قبلة ولا مسجداً، فإنّ اللّه لعن اليهود حيث اتخذوا قبور الأنبياء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الحديث يمنع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القبر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 القبر مسجداً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دراسة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مضمون الحديث سؤالاً ربما يسبب الشك في صحته حيث يصف اليهود بأنّهم اتّخذوا قبور أنبيائهم مساجد، وهذا من اليهود بعيد جداً، لأنّ اتخاذ القبر مسجداً آية التكريم والتعظيم واليهود على النقيض من ذلك حيث اشتهروا بقتل أنبيائهم،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سَنَكْتُبُ ما قالُوا وَ قَتْلَهُمُ الْأَنْبِياءَ بِغَيْرِ حَقٍّ‌</w:t>
      </w:r>
      <w:r>
        <w:rPr>
          <w:rFonts w:eastAsia="Amiri" w:cs="Amiri" w:ascii="Amiri" w:hAnsi="Amiri"/>
          <w:color w:val="111111"/>
          <w:sz w:val="28"/>
          <w:szCs w:val="28"/>
          <w:rtl w:val="true"/>
          <w:lang w:bidi="ar-SA"/>
        </w:rPr>
        <w:t>) .</w:t>
      </w:r>
      <w:r>
        <w:rPr>
          <w:rStyle w:val="FootnoteAnchor"/>
          <w:rtl w:val="true"/>
        </w:rPr>
        <w:footnoteReference w:id="1005"/>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وَ كُفْرِهِمْ بِآياتِ اللّهِ وَ قَتْلِهِمُ الْأَنْبِياءَ بِغَيْرِ حَقٍّ‌</w:t>
      </w:r>
      <w:r>
        <w:rPr>
          <w:rFonts w:eastAsia="Amiri" w:cs="Amiri" w:ascii="Amiri" w:hAnsi="Amiri"/>
          <w:color w:val="111111"/>
          <w:sz w:val="28"/>
          <w:szCs w:val="28"/>
          <w:rtl w:val="true"/>
          <w:lang w:bidi="ar-SA"/>
        </w:rPr>
        <w:t>) .</w:t>
      </w:r>
      <w:r>
        <w:rPr>
          <w:rStyle w:val="FootnoteAnchor"/>
          <w:rtl w:val="true"/>
        </w:rPr>
        <w:footnoteReference w:id="100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نغض النظر عن هذا السؤال ونرجع إلى بيان معنى الحديث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ينهى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قبر النبي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قبره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شك أنّه من المحرمات الموبقة فقد جعل اللّه سبحانه الكعبة هي القبلة دون غيرها فالنهي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فالمراد به هو اتخاذ القبر مسجداً بمعنى المسجود عليه تعظيماً له، وهذا أيضاً من المحرمات، ولكنّك لا تجد أحداً من المسلمين مَن يصلي إلى القبر ويتّخذه قبلة ولا مَن يصلي ويسجد على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يتخذ القبر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يصلي إلى القبر كما يصلي إلى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القبر حيال وجهه مع كونه مصلياً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حرام بلا شك؛ وأمّا الثاني فمحمول على الكراهة، بشهادة أنّ المسلمين يصلّون في المسجد النبوي في الصفّة وقبر النبي صلى الله عليه و آله و سلم بحيال 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نكتتان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مصب الرواية الأخيرة هو المقابر العامّة لا المشاهد المشرّفة والمراقد المطهرة، الّتي تضافرت الروايات على استحباب الصلاة فيها بلا نكير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الروايات أخبار آحاد لا يمكن الاستدلال بها على حكم الصلاة</w:t>
      </w:r>
    </w:p>
    <w:p>
      <w:pPr>
        <w:pStyle w:val="BookText"/>
        <w:rPr/>
      </w:pPr>
      <w:r>
        <w:rPr>
          <w:rFonts w:ascii="Amiri" w:hAnsi="Amiri" w:eastAsia="Amiri" w:cs="Amiri"/>
          <w:color w:val="111111"/>
          <w:sz w:val="28"/>
          <w:sz w:val="28"/>
          <w:szCs w:val="28"/>
          <w:rtl w:val="true"/>
          <w:lang w:bidi="ar-SA"/>
        </w:rPr>
        <w:t>في المشاهد ومراقد الأولياء، الّتي تضافرت الروايات على استحبابها، يقول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قبور الأنبياء والأئمّة عليهم السلام لا تندرج في تلك الإطلاقات حتّى تحتاج إلى استثناء، كما هو واضح، وأيضاً فاللائق استثناؤها من كراهة البناء على القبور كما في الذكرى وغيرها، والمقام عندها لا التجصيص والتجديد، اللّهم إلاّ أن يراد منهما ذلك</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ومن أراد التفصيل عليه مراجعة كتابينا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في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الوهابية بين المباني الفكرية والنتائج العملية</w:t>
      </w:r>
      <w:r>
        <w:rPr>
          <w:rFonts w:eastAsia="Amiri" w:cs="Amiri" w:ascii="Amiri" w:hAnsi="Amiri"/>
          <w:color w:val="111111"/>
          <w:sz w:val="28"/>
          <w:szCs w:val="28"/>
          <w:rtl w:val="true"/>
          <w:lang w:bidi="ar-SA"/>
        </w:rPr>
        <w:t>.</w:t>
      </w:r>
      <w:bookmarkStart w:id="1024" w:name="pg16780_177610"/>
    </w:p>
    <w:p>
      <w:pPr>
        <w:pStyle w:val="Heading4"/>
        <w:numPr>
          <w:ilvl w:val="3"/>
          <w:numId w:val="1"/>
        </w:numPr>
        <w:rPr/>
      </w:pPr>
      <w:bookmarkStart w:id="1025" w:name="__RefHeading___Toc7190229_73709187"/>
      <w:bookmarkStart w:id="1026" w:name="_Toc388"/>
      <w:bookmarkEnd w:id="1024"/>
      <w:bookmarkEnd w:id="1025"/>
      <w:r>
        <w:rPr>
          <w:rtl w:val="true"/>
        </w:rPr>
        <w:t>الفصل الخامس البكاء على الميّت وإقامة العزاء عليه</w:t>
      </w:r>
      <w:bookmarkEnd w:id="1026"/>
    </w:p>
    <w:p>
      <w:pPr>
        <w:pStyle w:val="Heading5"/>
        <w:numPr>
          <w:ilvl w:val="4"/>
          <w:numId w:val="1"/>
        </w:numPr>
        <w:rPr/>
      </w:pPr>
      <w:bookmarkStart w:id="1027" w:name="__RefHeading___Toc7190231_73709187"/>
      <w:bookmarkStart w:id="1028" w:name="_Toc389"/>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الحزن والتأثّر عند فقدان الأحبة أمر جُبلت عليه الفطرة الإنسانية، فإذا ابتلي انسانٌ بمصاب عزيز من أعزائه أو فلذة من فلّذات كبده، أو أحدٍ من أرحامه يحسّ بحزن شديد يتعقّبه ذرف الدموع على وجناته، دون أن يستطيع أن يتمالك حزنه أو بكاءه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أجد أحداً ينكر هذه الحقيقة إنكار جدّ وموضوعية، ومن الواضح بمكان انّ الإسلام دين الفطرة يجاريها ولا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ولا يمكن لتشريع عالمي أن يحرّم الحزن على فقد الأحبة والبكاء عليهم إذا لم يقترن بشيء يغضب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نرى أنّ النبي صلى الله عليه و آله و سلم، والصحابة الكرام والتابعين لهم بإحسان ساروا على وفق الفطرة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أصحاب السِّيَر والتاريخ، أنّه لمّا احتضر إبراهيم ابن النبي، جاء صلى الله عليه و آله و سلم فوجده في حجر أُمّه، فأخذه ووضعه في حجره،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إنّا لن نغني عنك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ذرفت عيناه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بك يا إبراهيم لمحزونون، تبكي العين ويحزن القلب ولا نقول ما يسخط الرب، ولولا أنّه أمرٌ حقّ ووعدٌ صدق</w:t>
      </w:r>
    </w:p>
    <w:p>
      <w:pPr>
        <w:pStyle w:val="BookText"/>
        <w:rPr/>
      </w:pPr>
      <w:r>
        <w:rPr>
          <w:rFonts w:ascii="Amiri" w:hAnsi="Amiri" w:eastAsia="Amiri" w:cs="Amiri"/>
          <w:color w:val="111111"/>
          <w:sz w:val="28"/>
          <w:sz w:val="28"/>
          <w:szCs w:val="28"/>
          <w:rtl w:val="true"/>
          <w:lang w:bidi="ar-SA"/>
        </w:rPr>
        <w:t>وأنّها سبيل مأتية، لحزنّا عليك حزناً شديداً أشدّ من هذا</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وفي رواية أُخرى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تدمع، والقلب يحزن، ولا نقول إلّا ما يرضي ربنا، وإنّا بك يا إبراهيم لمحزونون</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وروي أيضاً أنّ رسول اللّه صلى الله عليه و آله و سلم لمّا أُصيب حمزة رضى الله عنه وجاءت صفية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بينها و بينه الأنصار،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دعوها، فجلست عنده فجعلت إذا بكت بكى رسول اللّه صلى الله عليه و آله و سلم، وإذا نشجت نشج،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ورسول اللّه صلى الله عليه و آله و سلم كلما بكت يبكي،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ولمّا رجع رسول اللّه صلى الله عليه و آله و سلم من أحد بكت نساء الأنصار على شهدائهنّ‌، فبلغ ذلك النبي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الأنصار فقالوا لنسائهم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أحداً حتّى تبدأن بحمزة،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فيهم إلى اليوم لا يبكين ميتاً إلّابدأن بحمزة</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وهذا هو النبي صلى الله عليه و آله و سلم ينعى جعفراً، وزيد بن حارثة، وعبد اللّه بن رواحة، وعيناه تذرفان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وهذا هو صلى الله عليه و آله و سلم يقبّل عثمان بن مظعون وهو ميت ودموعه تسيل على خدّه</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أنّه صلى الله عليه و آله و سلم كان يزور قبر أُمّه ويبكي عليها وقد أبكى من حوله</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وشوهد صلى الله عليه و آله و سلم يبكي على ابن لبعض بناته، فقال له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 الّتي جعلها اللّه في بني آدم، وإنّما يرحم اللّه من عباده الرحماء</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كما أنّ بنت المصطفى سيدة نساء العالمين فاطمة الزهراء عليها السلام قد وقفت على قبر أبيها الطاهر وأخذت قبضة من تراب القبر فوضعتها على عينها وبكت،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p>
    <w:p>
      <w:pPr>
        <w:pStyle w:val="BookText"/>
        <w:rPr/>
      </w:pPr>
      <w:r>
        <w:rPr>
          <w:rFonts w:ascii="Amiri" w:hAnsi="Amiri" w:eastAsia="Amiri" w:cs="Amiri"/>
          <w:color w:val="111111"/>
          <w:sz w:val="28"/>
          <w:sz w:val="28"/>
          <w:szCs w:val="28"/>
          <w:rtl w:val="true"/>
          <w:lang w:bidi="ar-SA"/>
        </w:rPr>
        <w:t>وهذا أبو بكر بن أبي قحافة يبكي على رسول اللّه صلى الله عليه و آله و سلم ويرثيه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فابكي ولا تسأمي وحُقّ البكاء على السيّد</w:t>
      </w:r>
    </w:p>
    <w:p>
      <w:pPr>
        <w:pStyle w:val="BookText"/>
        <w:rPr/>
      </w:pPr>
      <w:r>
        <w:rPr>
          <w:rFonts w:ascii="Amiri" w:hAnsi="Amiri" w:eastAsia="Amiri" w:cs="Amiri"/>
          <w:color w:val="111111"/>
          <w:sz w:val="28"/>
          <w:sz w:val="28"/>
          <w:szCs w:val="28"/>
          <w:rtl w:val="true"/>
          <w:lang w:bidi="ar-SA"/>
        </w:rPr>
        <w:t>إنّ البكاء على فراق الأعزة من ثمرات الفطرة الإنسانية، ولذا نرى أنّ النبي يعقوب عليه السلام بكى على ولده يوسف حتّى ابيضّت عيناه،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حتّى وَرد أنّه يجوز شق الثوب في موت الأب والأخ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علي بن محمد العسكري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 الحسن بن علي عليهما السلام وقد خرج من الدار وقد شق قميصه عن خلف وقدّام</w:t>
      </w:r>
      <w:r>
        <w:rPr>
          <w:rFonts w:eastAsia="Amiri" w:cs="Amiri" w:ascii="Amiri" w:hAnsi="Amiri"/>
          <w:color w:val="111111"/>
          <w:sz w:val="28"/>
          <w:szCs w:val="28"/>
          <w:rtl w:val="true"/>
          <w:lang w:bidi="ar-SA"/>
        </w:rPr>
        <w:t>.</w:t>
      </w:r>
      <w:r>
        <w:rPr>
          <w:rStyle w:val="FootnoteAnchor"/>
          <w:rtl w:val="true"/>
        </w:rPr>
        <w:footnoteReference w:id="1018"/>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مرونة حكم الإسلام بحيث يجيز عند شدة المصيبة ان يشق المصاب ثوبه، لئلا يختنق بغصته</w:t>
      </w:r>
      <w:r>
        <w:rPr>
          <w:rFonts w:eastAsia="Amiri" w:cs="Amiri" w:ascii="Amiri" w:hAnsi="Amiri"/>
          <w:color w:val="111111"/>
          <w:sz w:val="28"/>
          <w:szCs w:val="28"/>
          <w:rtl w:val="true"/>
          <w:lang w:bidi="ar-SA"/>
        </w:rPr>
        <w:t>.</w:t>
      </w:r>
      <w:bookmarkStart w:id="1029" w:name="pg16780_177617"/>
    </w:p>
    <w:p>
      <w:pPr>
        <w:pStyle w:val="Heading5"/>
        <w:numPr>
          <w:ilvl w:val="4"/>
          <w:numId w:val="1"/>
        </w:numPr>
        <w:rPr/>
      </w:pPr>
      <w:bookmarkStart w:id="1030" w:name="__RefHeading___Toc7190233_73709187"/>
      <w:bookmarkStart w:id="1031" w:name="_Toc390"/>
      <w:bookmarkEnd w:id="1029"/>
      <w:bookmarkEnd w:id="1030"/>
      <w:r>
        <w:rPr>
          <w:rtl w:val="true"/>
        </w:rPr>
        <w:t>إقامة العزاء على موت الأحباب</w:t>
      </w:r>
      <w:bookmarkEnd w:id="1031"/>
    </w:p>
    <w:p>
      <w:pPr>
        <w:pStyle w:val="BookText"/>
        <w:rPr/>
      </w:pPr>
      <w:r>
        <w:rPr>
          <w:rFonts w:ascii="Amiri" w:hAnsi="Amiri" w:eastAsia="Amiri" w:cs="Amiri"/>
          <w:color w:val="111111"/>
          <w:sz w:val="28"/>
          <w:sz w:val="28"/>
          <w:szCs w:val="28"/>
          <w:rtl w:val="true"/>
          <w:lang w:bidi="ar-SA"/>
        </w:rPr>
        <w:t>إلى هنا ظهر أنّ البكاء من دون أن يقترن بما يغضب الرب أمر مطلوب دعت إليه الفطرة الإنسانية وأمضاه الشرع، بقي الكلام في إقامة العزاء والمآتم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صحّة ذلك ما نقلناه عن النبي الأكرم صلى الله عليه و آله و سلم حيث إنّه لمّا رأى اجتماع نساء الأنصار يبكين شهدائهن هاجت نفسه ورغبت في إقامة العزاء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حمزة فلا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الأنصار بدعوة نسائهم للبكاء على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صاحب مجمع الزوائد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فيهم إلى اليوم لا يبكين ميتاً إلاّ بدأن بحمزة</w:t>
      </w:r>
      <w:r>
        <w:rPr>
          <w:rFonts w:eastAsia="Amiri" w:cs="Amiri" w:ascii="Amiri" w:hAnsi="Amiri"/>
          <w:color w:val="111111"/>
          <w:sz w:val="28"/>
          <w:szCs w:val="28"/>
          <w:rtl w:val="true"/>
          <w:lang w:bidi="ar-SA"/>
        </w:rPr>
        <w:t>.</w:t>
      </w:r>
      <w:r>
        <w:rPr>
          <w:rStyle w:val="FootnoteAnchor"/>
          <w:rtl w:val="true"/>
        </w:rPr>
        <w:footnoteReference w:id="1019"/>
      </w:r>
    </w:p>
    <w:p>
      <w:pPr>
        <w:pStyle w:val="Heading5"/>
        <w:numPr>
          <w:ilvl w:val="4"/>
          <w:numId w:val="1"/>
        </w:numPr>
        <w:rPr/>
      </w:pPr>
      <w:bookmarkStart w:id="1032" w:name="__RefHeading___Toc7190235_73709187"/>
      <w:bookmarkStart w:id="1033" w:name="_Toc391"/>
      <w:bookmarkEnd w:id="1032"/>
      <w:r>
        <w:rPr>
          <w:rtl w:val="true"/>
        </w:rPr>
        <w:t>إقامة العزاء على سيّد الشهداء عليه السلام</w:t>
      </w:r>
      <w:bookmarkEnd w:id="1033"/>
    </w:p>
    <w:p>
      <w:pPr>
        <w:pStyle w:val="BookText"/>
        <w:rPr/>
      </w:pPr>
      <w:r>
        <w:rPr>
          <w:rFonts w:ascii="Amiri" w:hAnsi="Amiri" w:eastAsia="Amiri" w:cs="Amiri"/>
          <w:color w:val="111111"/>
          <w:sz w:val="28"/>
          <w:sz w:val="28"/>
          <w:szCs w:val="28"/>
          <w:rtl w:val="true"/>
          <w:lang w:bidi="ar-SA"/>
        </w:rPr>
        <w:t>إنّ إقامة العزاء على سبط النبي صلى الله عليه و آله و سلم سيد الشهداء الحسين بن علي عليهما السلام هو إحياء لأصل من أُصول الإسلام، وهو لزوم الأمر بالمعروف والنهي عن المنكر والوقوف في وجه الظالمين والمستكبرين الذين استولوا على ثروات الشعوب وإمكانياتهم، ونسوا المواساة والعدل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الحسين بن علي عليهما السلام في وجه طواغيت بني أُمّية الّذين أحلّوا حرام اللّه وهتكوا حرماته وصادروا الحريات، وهو سلام اللّه عليه قد صرح بذلك في أحد خطبه عند مسيره إلى كربلاء،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رأى سلطاناً جائراً مستحلّاً لحرام اللّه، ناكثاً لعهد اللّه، مخالفاً لسنّة رسول اللّه، يعمل في عباد اللّه بالإثم والعدوان، فلم يغيّر عليه بفعل ولا قول، كان حقّاً على اللّه أن يدخله مدخله، ألا وإنّ هؤلاء قد لزموا طاعة الشيطان وتركوا طاعة</w:t>
      </w:r>
    </w:p>
    <w:p>
      <w:pPr>
        <w:pStyle w:val="BookText"/>
        <w:rPr/>
      </w:pPr>
      <w:r>
        <w:rPr>
          <w:rFonts w:ascii="Amiri" w:hAnsi="Amiri" w:eastAsia="Amiri" w:cs="Amiri"/>
          <w:color w:val="111111"/>
          <w:sz w:val="28"/>
          <w:sz w:val="28"/>
          <w:szCs w:val="28"/>
          <w:rtl w:val="true"/>
          <w:lang w:bidi="ar-SA"/>
        </w:rPr>
        <w:t>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ثمّ إنّه عليه السلام كتب إلى أخيه محمد ابن الحنفية قبل أن يترك المدينة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مفسداً ولا ظالماً وإنّما خرجت لطلب الإصلاح في أُمّة جدّي وأُبي، أريد أن آمر بالمعروف وأنهى عن المنكر، فمن قبلني بقبول الحقّ فاللّه أولى بالحق، ومن ردّ عليّ هذا أصبر حتّى يحكم اللّه بيني وبين القوم بالحق وهو خير الحاكمين</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هذا هو أبوالشهداء عليه السلام يبين موقفه من ظلم الحكام، فعلى شيعته ومحبيه الاقتداء به واقتفاء 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لا يُنسى هذا المنهج الّذي هو أصل من أُصول الإسلام تخرج يوم عاشوراء أو قبله وبعده جماهير المحبين يرددون شعارات حماسية وفي الوقت نفسه أشعاراً محزنة لكي يبقى هذا المنهج حيّاً نابضاً في نفوس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يُسبب إثارة حفيظة الآخرين هو أنّ هذه المسيرات الجماهيرية منشأ لانتشار الصحوة الإسلامية في عامة البلاد وتنبيه على ظلم الظالمين، هذا من جانب، ومن جانب آخر خوف أصحاب السلطة والمسند والمقام الحكومي وأصحاب الثروات الطائلة ذات الأرقام المليونية، من أن يثور الشعب ضدهم، ويؤسّسوا حكماً إسلامياً مبنياً على أُسس من العدل والقسط، كلّ هذا صار سبباً لاتّخاذ موقف مضاد من هذه المراسم والتعازي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تخصيص العزاء باسم الإمام الحسين عليه السلام ليس الدافع له دافعاً</w:t>
      </w:r>
    </w:p>
    <w:p>
      <w:pPr>
        <w:pStyle w:val="BookText"/>
        <w:rPr/>
      </w:pPr>
      <w:r>
        <w:rPr>
          <w:rFonts w:ascii="Amiri" w:hAnsi="Amiri" w:eastAsia="Amiri" w:cs="Amiri"/>
          <w:color w:val="111111"/>
          <w:sz w:val="28"/>
          <w:sz w:val="28"/>
          <w:szCs w:val="28"/>
          <w:rtl w:val="true"/>
          <w:lang w:bidi="ar-SA"/>
        </w:rPr>
        <w:t>شخصياً، وإنّما طبيعة الثورة الّتي قادها سلام اللّه عليه لها من الخصوصية ما يجعلها موضع اهتمام محبي العدل والمساواة من شيعة أئمة أهل البيت عليهم السلام الذين أوصوهم بإحياء ذكرى سيد الشهداء عليه السلام سنوياً، فهم بهذه المراسم والتعازي يستجيبون لتعاليم قادتهم وأئمتهم عليهم السلام إحياءً لهذا المنهج الثوري وتحقيقاً لأهدافه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 الكثير من العلماء والكتاب والقادة عن الإمام الحسين عليه السلام وثورته، ومن هذا البحر الخضم نختار قولاً لأحد مفكّري ومفسّري أهل السنة في القرن الرابع عشر الهجري، ألا وهو سيد قطب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يستشهد في تلك الصورة العظيمة من جانب، المفجعة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هذه نصراً أم هزيمة‌؟ في الصورة الظاهرة وبالمقياس الصغير كانت هزيمة، فأمّا في الحقيقة الخالصة وبالمقياس الكبير فقد كانت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شهيد في الأرض تهتز له الجوانح بالحب والعطف، وتهفو له القلوب وتجيش بالغيرة والفداء كالحسين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يستوي في هذا المتشيّعون وغير المتشيّعين، من المسلمين، وكثير من غير المسلمين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شهيد ما كان يملك أن ينصر عقيدته ودعوته ولو عاش ألف عام، كما نصرها باستشهاده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يملك أن يودع القلوب من المعاني الكبيرة، ويحفِّز الألوف إلى الأعمال الكبيرة، بخطبة مثل خطبته الأخيرة التي يكتبها بدمه، فتبقى حافزاً محركاً للأبناء والأحفاد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حافزاً محركاً لخطى التاريخ كله مدى أجيال</w:t>
      </w:r>
      <w:r>
        <w:rPr>
          <w:rFonts w:eastAsia="Amiri" w:cs="Amiri" w:ascii="Amiri" w:hAnsi="Amiri"/>
          <w:color w:val="111111"/>
          <w:sz w:val="28"/>
          <w:szCs w:val="28"/>
          <w:rtl w:val="true"/>
          <w:lang w:bidi="ar-SA"/>
        </w:rPr>
        <w:t>.</w:t>
      </w:r>
      <w:r>
        <w:rPr>
          <w:rStyle w:val="FootnoteAnchor"/>
          <w:rtl w:val="true"/>
        </w:rPr>
        <w:footnoteReference w:id="1022"/>
      </w:r>
      <w:bookmarkStart w:id="1034" w:name="pg16780_177623"/>
    </w:p>
    <w:p>
      <w:pPr>
        <w:pStyle w:val="Heading4"/>
        <w:numPr>
          <w:ilvl w:val="3"/>
          <w:numId w:val="1"/>
        </w:numPr>
        <w:rPr/>
      </w:pPr>
      <w:bookmarkStart w:id="1035" w:name="__RefHeading___Toc7190237_73709187"/>
      <w:bookmarkStart w:id="1036" w:name="_Toc392"/>
      <w:bookmarkEnd w:id="1034"/>
      <w:bookmarkEnd w:id="1035"/>
      <w:r>
        <w:rPr>
          <w:rtl w:val="true"/>
        </w:rPr>
        <w:t>خاتمة المطاف</w:t>
      </w:r>
      <w:r>
        <w:rPr>
          <w:rtl w:val="true"/>
        </w:rPr>
        <w:t xml:space="preserve">: </w:t>
      </w:r>
      <w:r>
        <w:rPr>
          <w:rtl w:val="true"/>
        </w:rPr>
        <w:t>تضخيم بعض الممارسات</w:t>
      </w:r>
      <w:bookmarkEnd w:id="1036"/>
    </w:p>
    <w:p>
      <w:pPr>
        <w:pStyle w:val="Heading5"/>
        <w:numPr>
          <w:ilvl w:val="4"/>
          <w:numId w:val="1"/>
        </w:numPr>
        <w:rPr/>
      </w:pPr>
      <w:bookmarkStart w:id="1037" w:name="__RefHeading___Toc7190239_73709187"/>
      <w:bookmarkStart w:id="1038" w:name="_Toc393"/>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يركز المؤلف في آخر كتابه على أُمور يصفها بأنّها محرّمات ترتكب عند القبور وليس في كيسه إلّاما ذكره محمد بن عبد الوهاب وأتباعه، في حق محبي النبي وأهل بيته عليهم السلام، وأكثر هذه الأُمور إمّا أكاذيب وافتراءات، أو أنّها أُمور جائزة، وإليك الكلام فيها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7190241_73709187"/>
      <w:bookmarkStart w:id="1040" w:name="_Toc394"/>
      <w:bookmarkEnd w:id="1039"/>
      <w:r>
        <w:rPr>
          <w:rtl w:val="true"/>
        </w:rPr>
        <w:t>الأوّل</w:t>
      </w:r>
      <w:r>
        <w:rPr>
          <w:rtl w:val="true"/>
        </w:rPr>
        <w:t xml:space="preserve">: </w:t>
      </w:r>
      <w:r>
        <w:rPr>
          <w:rtl w:val="true"/>
        </w:rPr>
        <w:t>الاعتقاد بأنّ النبي والولي ينفع ويضر</w:t>
      </w:r>
      <w:bookmarkEnd w:id="1040"/>
    </w:p>
    <w:p>
      <w:pPr>
        <w:pStyle w:val="BookText"/>
        <w:rPr/>
      </w:pPr>
      <w:r>
        <w:rPr>
          <w:rFonts w:ascii="Amiri" w:hAnsi="Amiri" w:eastAsia="Amiri" w:cs="Amiri"/>
          <w:color w:val="111111"/>
          <w:sz w:val="28"/>
          <w:sz w:val="28"/>
          <w:szCs w:val="28"/>
          <w:rtl w:val="true"/>
          <w:lang w:bidi="ar-SA"/>
        </w:rPr>
        <w:t>إنّ الكاتب نسب إلى زائري قبور الأولياء بأنّهم يعتقدون بأنّ الأموات يضرون وينفعون، مع أنّه سبحانه هو الضار والنافع وحده،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لا يملك ذرة من الإنصاف، كيف وقد حمل الآيات الواردة في حق المشركين الذين اتخذوا أصنامهم آلهة على الموحّدين الذين لم يتخذوا غيره سبحانه إلهاً ويرددون شهادة التوحيد على ألسنتهم ليل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تجد على أديم الأرض من يقول بأنّ أولياء اللّه يضرون وينفعون، وانّما المؤثر هو اللّه سبحانه واللّه هو الشافي، نعم يتوسلون بهم كما كان المسلمون يتوسلون بالنبي صلى الله عليه و آله و سلم في حياته،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102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طلب الدعاء بعد رحيل النبي صلى الله عليه و آله و سلم شركاً وعبادة للمدعو، فليكن</w:t>
      </w:r>
      <w:bookmarkStart w:id="1041" w:name="pg16780_177625"/>
    </w:p>
    <w:p>
      <w:pPr>
        <w:pStyle w:val="BookText"/>
        <w:rPr/>
      </w:pPr>
      <w:bookmarkEnd w:id="1041"/>
      <w:r>
        <w:rPr>
          <w:rFonts w:ascii="Amiri" w:hAnsi="Amiri" w:eastAsia="Amiri" w:cs="Amiri"/>
          <w:color w:val="111111"/>
          <w:sz w:val="28"/>
          <w:sz w:val="28"/>
          <w:szCs w:val="28"/>
          <w:rtl w:val="true"/>
          <w:lang w:bidi="ar-SA"/>
        </w:rPr>
        <w:t>كذلك شركاً وعبادة له في زمان حياته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الغباء تشبيه طلب الشفاعة والدعاء من الأنبياء والأولياء بدعاء المشركين الذين تركوا عبادة اللّه سبحانه واشتغلوا بعبادة الأصنام حتّى يكون لهم العز في الحياة الدنيا والنصر في الحروب ونزول الموائد السماوية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أورده من الآيات الواردة في حق المشركين في هذا المورد دليل على جهله بعقائد المسلمين أو تجاهله انّ منشأ جهله، تصور أنّ مطلق دعاء الأموات عبادة لهم وإن كان مجرداً عن أية عقيدة بربوبيتهم وتأثيرهم في مصير الداعي</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7190243_73709187"/>
      <w:bookmarkStart w:id="1043" w:name="_Toc395"/>
      <w:bookmarkEnd w:id="1042"/>
      <w:r>
        <w:rPr>
          <w:rtl w:val="true"/>
        </w:rPr>
        <w:t>الثاني</w:t>
      </w:r>
      <w:r>
        <w:rPr>
          <w:rtl w:val="true"/>
        </w:rPr>
        <w:t xml:space="preserve">: </w:t>
      </w:r>
      <w:r>
        <w:rPr>
          <w:rtl w:val="true"/>
        </w:rPr>
        <w:t>اتخاذ أصحاب القبور شفعاء</w:t>
      </w:r>
      <w:bookmarkEnd w:id="1043"/>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زوار القبور يتخذون أصحاب القبور شفعاء ووسائط تقربهم إلى اللّه، وقد ذم القرآن الكريم هذا العمل بقوله سبحانه وتعالى حكاية عن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مِنْ دُونِهِ أَوْلِياءَ ما نَعْبُدُهُمْ إِلاّ 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الأنبياء والأولياء وسائط بين الناس وبين اللّه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بأنّهم عباد اللّه الصالحين يستجاب دعاءهم، فهذا عين التوحيد، فهذا عمر بن الخطاب استسقى بالعباس عام الرمادة، لمّا اشتد القحط، فسقاهم اللّه تعالى به وأخصبت الأرض،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الوسيلة إلي اللّه والمكان منه، ولمّا سُقي الناس طفقوا يتمسّحون بالعباس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ساقي الحرمين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44" w:name="pg16780_177626"/>
    </w:p>
    <w:p>
      <w:pPr>
        <w:pStyle w:val="BookText"/>
        <w:rPr/>
      </w:pPr>
      <w:bookmarkEnd w:id="1044"/>
      <w:r>
        <w:rPr>
          <w:rFonts w:ascii="Amiri" w:hAnsi="Amiri" w:eastAsia="Amiri" w:cs="Amiri"/>
          <w:color w:val="111111"/>
          <w:sz w:val="28"/>
          <w:sz w:val="28"/>
          <w:szCs w:val="28"/>
          <w:rtl w:val="true"/>
          <w:lang w:bidi="ar-SA"/>
        </w:rPr>
        <w:t>فهذا النوع من العمل عين التوحيد، فلو طلب المؤمن نفس هذا الدعاء من أحد الأولياء بعد رحيله يمتنع أن يكون شركاً، لأنّ عملاً واحداً لا يمكن أن يكون على غرار التوحيد في حياة المتوسل به وشركاً في مماته، وآخر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لا يسمع فيكون التوسّل لغواً لا تركاً، وسيوافيك أنّ الشهداء ونبيهم أحياء يسمعون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يتخذه إلهاً مؤثراً في مصير الداعي، بيده النصر والعز والمغفرة إلى غير ذلك من أفعاله سبحانه، ثمّ يعبده ليتقرب بعبادته، ثم يجعله كواسطة للتقرب إلى اللّه تعالى، وهذا هو الّذي تهدف إليه الآية بشهادة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مِنْ دُونِهِ أَوْلِياءَ ما نَعْبُدُهُمْ إِلاّ لِيُقَرِّبُونا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فكيف يعطف القسم الثاني على القسم الأوّل وهو الذي يتوسل بدعاء النبي صلى الله عليه و آله و سلم في حياته ومماته من دون أن يصيّره معبوداً من دون اللّه سبحانه، ولا يعتقد بربوبيته وتأثيره في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 بالتسوية بينهما فقد حكم بتساوي النور والظلام والعلم والجهل، وبذلك يظهر حال ما استدل به من الآيات النازلة بحق المشركين</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7190245_73709187"/>
      <w:bookmarkStart w:id="1046" w:name="_Toc396"/>
      <w:bookmarkEnd w:id="1045"/>
      <w:r>
        <w:rPr>
          <w:rtl w:val="true"/>
        </w:rPr>
        <w:t>الثالث</w:t>
      </w:r>
      <w:r>
        <w:rPr>
          <w:rtl w:val="true"/>
        </w:rPr>
        <w:t xml:space="preserve">: </w:t>
      </w:r>
      <w:r>
        <w:rPr>
          <w:rtl w:val="true"/>
        </w:rPr>
        <w:t>الاستغاثة بأصحاب القبور</w:t>
      </w:r>
      <w:bookmarkEnd w:id="104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التهم التي ألصقها المؤلف بزائري قبر النبي صلى الله عليه و آله و سلم وقبور أهل البيت الطاهرين عليهم السلام أنّهم يدعون أصحاب القبور ويستغيثون بهم من دون اللّه، ورتّب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شرك بنص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تَدْعُونَ مِنْ دُونِهِ ما يَمْلِكُونَ مِنْ قِطْمِيرٍ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 لَوْ سَمِعُوا مَا اسْتَجابُوا لَكُمْ وَ يَوْمَ الْقِيامَةِ يَكْفُرُونَ بِشِرْكِكُمْ وَ لا يُنَبِّئُكَ مِثْلُ خَبِيرٍ</w:t>
      </w:r>
      <w:r>
        <w:rPr>
          <w:rFonts w:eastAsia="Amiri" w:cs="Amiri" w:ascii="Amiri" w:hAnsi="Amiri"/>
          <w:color w:val="111111"/>
          <w:sz w:val="28"/>
          <w:szCs w:val="28"/>
          <w:rtl w:val="true"/>
          <w:lang w:bidi="ar-SA"/>
        </w:rPr>
        <w:t>)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 أصحاب القبور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دعاؤهم بما أنّهم آلهة يُعبدون وبيدهم النفع والضر وقضاء الحوائج مستقلين في أفعالهم، وهذه هي سيرة المشركين إذ كانوا يسوون آلهتهم برب العالمين، كما اعترفوا بذلك في قولهم الذي يذكره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وهذا النوع من الدعاء لا يصدر من مسلم موحّد معتقد بأنّ اللّه سبحانه هو المدبّر وأنّ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دعاؤهم بما أنّهم عباد اللّه سبحانه، وأنّ للنبي مقاماً محموداً تستجاب دعوته، ولذلك يتوسل به حتّى يدعو اللّه سبحانه ليستجيب دعاء المتوسل، وأين هذا من الشرك ياترى‌؟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تمسّك به من الآيات لا صلة له بالمقام فإنّ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تعبدون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فالدعاء في هذه الآيات دعاء خاص مرادف للعبادة لا مطلق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أبو أيوب الأنصاري يروي حاله الحاكم في مستدركه،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فأخذ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عليه فإذا هو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صلى الله عليه و آله و سلم ولم آت الحجر،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تبكوا على الإسلام إذا وليه أهله ولكن ابكوا عليه إذا وليه غير أهله</w:t>
      </w:r>
      <w:r>
        <w:rPr>
          <w:rFonts w:eastAsia="Amiri" w:cs="Amiri" w:ascii="Amiri" w:hAnsi="Amiri"/>
          <w:color w:val="111111"/>
          <w:sz w:val="28"/>
          <w:szCs w:val="28"/>
          <w:rtl w:val="true"/>
          <w:lang w:bidi="ar-SA"/>
        </w:rPr>
        <w:t>».</w:t>
      </w:r>
      <w:r>
        <w:rPr>
          <w:rStyle w:val="FootnoteAnchor"/>
          <w:rtl w:val="true"/>
        </w:rPr>
        <w:footnoteReference w:id="1028"/>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الاستغاثة بأولياء اللّه بما أنّهم عباد اللّه الصالحين هو ممّا نتعلمه من</w:t>
      </w:r>
    </w:p>
    <w:p>
      <w:pPr>
        <w:pStyle w:val="BookText"/>
        <w:rPr/>
      </w:pPr>
      <w:r>
        <w:rPr>
          <w:rFonts w:ascii="Amiri" w:hAnsi="Amiri" w:eastAsia="Amiri" w:cs="Amiri"/>
          <w:color w:val="111111"/>
          <w:sz w:val="28"/>
          <w:sz w:val="28"/>
          <w:szCs w:val="28"/>
          <w:rtl w:val="true"/>
          <w:lang w:bidi="ar-SA"/>
        </w:rPr>
        <w:t>سيرة نبينا الأعظم صلى الله عليه و آله و سلم وذلك من خلال ما رواه الصحابي الجليل عثمان بن حنيف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وإن شئت صبرت، وهو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فأمره صلى الله عليه و آله و سلم أن يتوضّأ فيُحسن وضوءه ويصلي ركعتين ويدعو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بنبيّك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وأي استغاثة أظهر من الوارد في الجملتين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وأتوجّه إليك بنبيّك نبيّ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إنّي أتوجّه بكَ إلى ربي في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الحديث فرجاله رجال الصحيحين، ولذلك رواه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وأقره الذهبي في تلخيصه</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ثمّ إنّ مؤلف الكتاب استدلّ على تحريم الاستغاثة بما روي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اللّه به وتوجّهوا إليه بحبه، ولا تسألوا اللّه بخلقه، إنّه ما توجّه العباد إلى اللّه بمثله</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خفي على المؤلف أنّ المراد هو السؤال للأُمور الدنيوية، أو كالذهاب إلى أبواب الأغنياء وسؤالهم، وأين هذا من توسيط الأنبياء والأولياء</w:t>
      </w:r>
      <w:bookmarkStart w:id="1047" w:name="pg16780_177632"/>
    </w:p>
    <w:p>
      <w:pPr>
        <w:pStyle w:val="BookText"/>
        <w:rPr/>
      </w:pPr>
      <w:bookmarkEnd w:id="1047"/>
      <w:r>
        <w:rPr>
          <w:rFonts w:ascii="Amiri" w:hAnsi="Amiri" w:eastAsia="Amiri" w:cs="Amiri"/>
          <w:color w:val="111111"/>
          <w:sz w:val="28"/>
          <w:sz w:val="28"/>
          <w:szCs w:val="28"/>
          <w:rtl w:val="true"/>
          <w:lang w:bidi="ar-SA"/>
        </w:rPr>
        <w:t>إلى باب رب العزة حتّى ينزل اللّه سبحانه على الناس من بركاته وعطاياه التي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الجواب عمّا أوصى به الإمام علي ابنه الحسن عليهما السلام وهو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وألجئ نفسك في الأُمور كلّها إلى إلهك، فإنّك تلجئها إلى كهف حريز ومانع عزيز، وأخلص في المسألة لربك فإنّ بيده العطاء والحرمان</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وهكذا يكون جوابنا عن سائر ما استدل به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والتوسل بدعاء الأخ المؤمن الحي ممّا اتفقت الوهابية على جوازه، فلو كان سؤال غيره سبحانه ممنوعاً مطلقاً فكيف يجوز سؤاله في حياته‌؟</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7190247_73709187"/>
      <w:bookmarkStart w:id="1049" w:name="_Toc397"/>
      <w:bookmarkEnd w:id="1048"/>
      <w:r>
        <w:rPr>
          <w:rtl w:val="true"/>
        </w:rPr>
        <w:t>الرابع</w:t>
      </w:r>
      <w:r>
        <w:rPr>
          <w:rtl w:val="true"/>
        </w:rPr>
        <w:t xml:space="preserve">: </w:t>
      </w:r>
      <w:r>
        <w:rPr>
          <w:rtl w:val="true"/>
        </w:rPr>
        <w:t>الذبح والنذر للقبور</w:t>
      </w:r>
      <w:bookmarkEnd w:id="1049"/>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ينذرون للقبور وأصحابها ويذبحون لها وهذا يدخل في ما أُهل به لغير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w:t>
      </w:r>
      <w:r>
        <w:rPr>
          <w:rFonts w:eastAsia="Amiri" w:cs="Amiri" w:ascii="Amiri" w:hAnsi="Amiri"/>
          <w:color w:val="111111"/>
          <w:sz w:val="28"/>
          <w:szCs w:val="28"/>
          <w:rtl w:val="true"/>
          <w:lang w:bidi="ar-SA"/>
        </w:rPr>
        <w:t>)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خفي على الكاتب ما هو المقصود من النذر لأصحاب القبور، وأنّ اللام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للنبي غير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هذه المواضع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الغاية بمعنى التقرّب إليه سبحانه كقوله تعالى على لسان امرأة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الانتفاع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w:t>
      </w:r>
      <w:r>
        <w:rPr>
          <w:rStyle w:val="FootnoteAnchor"/>
          <w:rtl w:val="true"/>
        </w:rPr>
        <w:footnoteReference w:id="1035"/>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إن قُضيت حاجتي أن أذبح كبشاً للنبي صلى الله عليه و آله و سلم، فاللام في</w:t>
      </w:r>
      <w:bookmarkStart w:id="1050" w:name="pg16780_177634"/>
    </w:p>
    <w:p>
      <w:pPr>
        <w:pStyle w:val="BookText"/>
        <w:rPr/>
      </w:pPr>
      <w:bookmarkEnd w:id="105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للغاية بمعنى التقرب إليه، ولكنّها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للانتفاع بمعنى عود الثواب إليه، وبذلك يتضح الفرق بين عمل المشركين عن عمل المسلمين، فأُولئك يذبحون وينذرون للأصنام ويُهلّون 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المسلمين فإنّهم ينذرون للّه ويذكرون اسم اللّه عند الذبح ويهدون ثوابه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شككت فيما ذكرنا فاسأل سعداً واستمع كلامه حيث إنّه سأل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أُمّي قد افتلتت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أنّها لو عاشت لتصدقت، فإن تصدقت عنها، أينفعها ذلك‌؟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سأل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أنفع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للانتفاع، فالمسلمون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للنبي أو للولي، كلهم سعديون لا وثنيون</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7190249_73709187"/>
      <w:bookmarkStart w:id="1052" w:name="_Toc398"/>
      <w:bookmarkEnd w:id="1051"/>
      <w:r>
        <w:rPr>
          <w:rtl w:val="true"/>
        </w:rPr>
        <w:t>الخامس</w:t>
      </w:r>
      <w:r>
        <w:rPr>
          <w:rtl w:val="true"/>
        </w:rPr>
        <w:t xml:space="preserve">: </w:t>
      </w:r>
      <w:r>
        <w:rPr>
          <w:rtl w:val="true"/>
        </w:rPr>
        <w:t>الحلف بأصحاب القبور</w:t>
      </w:r>
      <w:bookmarkEnd w:id="1052"/>
    </w:p>
    <w:p>
      <w:p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يحلفون بأصحاب القبور دون اللّه، ثم روى عن الصادق عليه السلام عن آبائه عن أميرالمؤمنين عليه السلام أنّ من المناهي أن يحلف الرجل بغير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فليس من اللّه في شيء</w:t>
      </w:r>
      <w:r>
        <w:rPr>
          <w:rFonts w:eastAsia="Amiri" w:cs="Amiri" w:ascii="Amiri" w:hAnsi="Amiri"/>
          <w:color w:val="111111"/>
          <w:sz w:val="28"/>
          <w:szCs w:val="28"/>
          <w:rtl w:val="true"/>
          <w:lang w:bidi="ar-SA"/>
        </w:rPr>
        <w:t>».</w:t>
      </w:r>
      <w:r>
        <w:rPr>
          <w:rStyle w:val="FootnoteAnchor"/>
          <w:rtl w:val="true"/>
        </w:rPr>
        <w:footnoteReference w:id="1037"/>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استشهد بكلام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المنعقدة عند آل محمد عليهم السلام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الإنسان باللّه تعالى، أو بشيء من أسمائه أيّ 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يمين بغير اللّه أو بغير اسم من أسمائه فلا حكم له</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ملئ بالحلف بغير اللّه، والغاية من الحلف بغيره في الذكر الكريم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الإشادة بالمحلوف به وبيان فضله ومقامه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الإنسان إلى التدبّر في المحلوف به واستكشاف أسراره ورموزه وما له من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جاء الحلف بغير اللّه سبحانه في سورة الشمس سبع مرات، أو أكثر،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وقد تكرر الحلف بغير اللّه في الذكر الحكيم قرابة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وقد عرفت ما هو الداعي من حلفه سبحانه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الحلف بغير اللّه شركاً منهياً عنه لما جاء في القرآن الكريم فلو جاز للّه سبحانه ولم يجز للآخرين لنبّه عليه في الذكر الحكيم، فالإنسان عندما يرى الأقسام الكثيرة المذكورة في القرآن الكريم ربما ينتقل إلى جواز الحلف أو إلى استحبابه لا إلى حرمته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الواردة من طرقنا فالغرض منها عدم انعقاد اليمين أوّلاً، وعدم صحة القضاء وفصل الخصومات به ثانياً، وإنّما يقضى في الخصومات بالحلف باللّه تعالى، وإلى ذلك تشير الرواية الواردة عن مكارم الأخلاق، وهذا ما توضحه عبارة الشيخ في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المنعقدة عند آل محمد صلى الله عليه و آله و سلم هي أن يحلف الإنسان باللّه تعالى</w:t>
      </w:r>
      <w:r>
        <w:rPr>
          <w:rFonts w:eastAsia="Amiri" w:cs="Amiri" w:ascii="Amiri" w:hAnsi="Amiri"/>
          <w:color w:val="111111"/>
          <w:sz w:val="28"/>
          <w:szCs w:val="28"/>
          <w:rtl w:val="true"/>
          <w:lang w:bidi="ar-SA"/>
        </w:rPr>
        <w:t>.</w:t>
      </w:r>
      <w:bookmarkStart w:id="1053" w:name="pg16780_177637"/>
    </w:p>
    <w:p>
      <w:pPr>
        <w:pStyle w:val="BookText"/>
        <w:rPr/>
      </w:pPr>
      <w:bookmarkEnd w:id="1053"/>
      <w:r>
        <w:rPr>
          <w:rFonts w:ascii="Amiri" w:hAnsi="Amiri" w:eastAsia="Amiri" w:cs="Amiri"/>
          <w:color w:val="111111"/>
          <w:sz w:val="28"/>
          <w:sz w:val="28"/>
          <w:szCs w:val="28"/>
          <w:rtl w:val="true"/>
          <w:lang w:bidi="ar-SA"/>
        </w:rPr>
        <w:t>وعلى ذلك فقوله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يمين بغير اللّه أو بغير اسم من أسمائه فلا حكم له، أي لا يترتب عليه الأثر، وأين هذا من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اليمين إلّاإذا كان المقسم به هو اللّه جلّ شأنه، ولا تنعقد اليمين بالحلف بالنبي صلى الله عليه و آله و سلم والأئمة عليهم السلام وسائر النفوس المقدّسة المعظمة، ولا بالقرآن الكريم ولا بالكعبة المشرفة، وسائر الأمكنة المحترمة</w:t>
      </w:r>
      <w:r>
        <w:rPr>
          <w:rFonts w:eastAsia="Amiri" w:cs="Amiri" w:ascii="Amiri" w:hAnsi="Amiri"/>
          <w:color w:val="111111"/>
          <w:sz w:val="28"/>
          <w:szCs w:val="28"/>
          <w:rtl w:val="true"/>
          <w:lang w:bidi="ar-SA"/>
        </w:rPr>
        <w:t>.</w:t>
      </w:r>
      <w:r>
        <w:rPr>
          <w:rStyle w:val="FootnoteAnchor"/>
          <w:rtl w:val="true"/>
        </w:rPr>
        <w:footnoteReference w:id="1041"/>
      </w:r>
    </w:p>
    <w:p>
      <w:pPr>
        <w:pStyle w:val="Heading5"/>
        <w:numPr>
          <w:ilvl w:val="4"/>
          <w:numId w:val="1"/>
        </w:numPr>
        <w:rPr/>
      </w:pPr>
      <w:bookmarkStart w:id="1054" w:name="__RefHeading___Toc7190251_73709187"/>
      <w:bookmarkStart w:id="1055" w:name="_Toc399"/>
      <w:bookmarkEnd w:id="1054"/>
      <w:r>
        <w:rPr>
          <w:rtl w:val="true"/>
        </w:rPr>
        <w:t>السادس</w:t>
      </w:r>
      <w:r>
        <w:rPr>
          <w:rtl w:val="true"/>
        </w:rPr>
        <w:t xml:space="preserve">: </w:t>
      </w:r>
      <w:r>
        <w:rPr>
          <w:rtl w:val="true"/>
        </w:rPr>
        <w:t>الطواف حول القبور</w:t>
      </w:r>
      <w:bookmarkEnd w:id="1055"/>
    </w:p>
    <w:p>
      <w:pPr>
        <w:pStyle w:val="BookText"/>
        <w:rPr/>
      </w:pPr>
      <w:r>
        <w:rPr>
          <w:rFonts w:ascii="Amiri" w:hAnsi="Amiri" w:eastAsia="Amiri" w:cs="Amiri"/>
          <w:color w:val="111111"/>
          <w:sz w:val="28"/>
          <w:sz w:val="28"/>
          <w:szCs w:val="28"/>
          <w:rtl w:val="true"/>
          <w:lang w:bidi="ar-SA"/>
        </w:rPr>
        <w:t xml:space="preserve">نسب المؤلف إلى الشيعة الطوافَ حول القبور، مع أنّ ذلك فرية بلا مرية، وقد ألف غير واحد من الأجلّاء كتباً ورسائل في أدب الزائر، وأخصّ بالذكر ما كتبه المحقق العلامة الأميني رحمه الله ولم يذكر أحد منهم من آداب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حول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ورود النهي عنه في غير واحد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عند الشيعة هو التسابق إلى تقبيل الضريح دون الطواف بالقبر، أي الابتداء من نقطة والانتهاء عندها، كما هو الحال في الطواف بالبيت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نطيل الكلام في هذه الفرية</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7190253_73709187"/>
      <w:bookmarkStart w:id="1057" w:name="_Toc400"/>
      <w:bookmarkEnd w:id="1056"/>
      <w:r>
        <w:rPr>
          <w:rtl w:val="true"/>
        </w:rPr>
        <w:t>السابع</w:t>
      </w:r>
      <w:r>
        <w:rPr>
          <w:rtl w:val="true"/>
        </w:rPr>
        <w:t xml:space="preserve">: </w:t>
      </w:r>
      <w:r>
        <w:rPr>
          <w:rtl w:val="true"/>
        </w:rPr>
        <w:t>اللطم وضرب الخدود والصدور</w:t>
      </w:r>
      <w:bookmarkEnd w:id="1057"/>
    </w:p>
    <w:p>
      <w:pPr>
        <w:pStyle w:val="BookText"/>
        <w:rPr/>
      </w:pPr>
      <w:r>
        <w:rPr>
          <w:rFonts w:ascii="Amiri" w:hAnsi="Amiri" w:eastAsia="Amiri" w:cs="Amiri"/>
          <w:color w:val="111111"/>
          <w:sz w:val="28"/>
          <w:sz w:val="28"/>
          <w:szCs w:val="28"/>
          <w:rtl w:val="true"/>
          <w:lang w:bidi="ar-SA"/>
        </w:rPr>
        <w:t>استدل الكاتب ببعض الروايات على حرمة ضرب الخدود والصدور، وإليك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المسلم يده على فخذه عند المصيبة إحباط لأجره</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الحر العاملي هذه الرواية بسندين فيهما ضعف، ففي</w:t>
      </w:r>
    </w:p>
    <w:p>
      <w:pPr>
        <w:pStyle w:val="BookText"/>
        <w:rPr/>
      </w:pPr>
      <w:r>
        <w:rPr>
          <w:rFonts w:ascii="Amiri" w:hAnsi="Amiri" w:eastAsia="Amiri" w:cs="Amiri"/>
          <w:color w:val="111111"/>
          <w:sz w:val="28"/>
          <w:sz w:val="28"/>
          <w:szCs w:val="28"/>
          <w:rtl w:val="true"/>
          <w:lang w:bidi="ar-SA"/>
        </w:rPr>
        <w:t>أحدهما وقع النوفلي والسكوني وهما ليس بشيعيين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وقع سهل بن زياد الآدمي، وفي الوقت نفسه ينقل هو عن علي بن حسّان وهو مشترك بين الضعيف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صحة الرواية سنداً وكمالها دلالة لكن الرواية مختصة بالمصيبة الشخصية كموت الأب والأُمّ والولد، فربما يكره ما ذكر من الأُمور بقرينة كونه سبباً لذهاب الأجر، ونحن أيضاً نقول بذلك ونوصي أصحاب المصائب بالصبر، فاللّه سبحانه هو مجزي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كلام الكاتب ناظر إلى مواكب العزاء يوم عاشوراء التي تخرج باللطم على الصدور فقط، لا على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منصرفة عن مثل هذه المصائب الدينية، إذ أنّ العامل بها إنّما يريد إحياء منهج الثورة بوجه الطغاة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بعمله هذا يريد أن يلفت نظر العامة في الشوارع والبيوت المشرفة على هذه المواكب على عظمة المصائب التي أوردها الطغاة على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المظاهرات مع ما فيها من اللطم نابعة عن حب واخلاص لأبي الشهداء عليه السلام الذي كرس حياته وأراق دمه الطاهر لمواجهة الظلمة الذين جعلوا عباد اللّه خولاً ومال اللّه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الجماهير المليونية وهي تردد الأشعار والقصائد التي تحمل معان ثورية وعقائدية سامية، تنبه جماهير المسلمين عن نومة الغفلة ورغد العيش، حتى ينهضوا منها ويأخذوا حقوقهم بإزالة الظلمة عن عروشهم ويؤسّسوا للمسلمين حكومة إلهية على وفق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قصيرة أنّ هذه المسيرات تتبنى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إلى تحقيق العدالة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إلفات النسل الحاضر إلى ما جرى على أئمة أهل البيت عليهم السلام من الظلم والجور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تحذير الظالمين وحكام الجور، لغرض عودتهم إلى حظيرة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الجزع‌؟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الجزع الصراخ بالويل والعويل ولطم الوجه والصدر وجز الشعر من النواصي، ومن أقام النواحة فقد ترك الصبر وأخذ في غير طريقه، ومن صبر واسترجع وحمد اللّه عزوجل فقد رضي بما صنع اللّه ووقع أجره على اللّه، ومن لم يفعل ذلك جرى عليه القضاء وهو ذميم وأحبط اللّه أجره</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ضعيف سنداً، وقد وصفه بالضعف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هذه الروايات هو المصائب الشخصية الفردية التي ربما ينفد صبر الإنسان فيها ولا يتمالك نفسه فيأتي ببعض هذه الأُمور، وقد منع عنه في الحديث ونحن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المصائب الدينية التي تطرأ على المجتمع فلا صلة لهذه الأحاديث بها، فإنّ الجزع والفزع عندئذٍ ليس لأجل أنّه فقد ما يملكه شخصياً وانّما هو لأجل مصائب وردت على الإسلام والمسلمين وأئمة أهل البيت عليهم السلام، وهذا ما دعاه إلى الهيجان وإظهار الحزن والخروج بمسيرات إلى الشوارع والاجتماع في المساجد والمآتم والحسينيات لإقامة مراسم العزاء والنياحة، وقد مرّ أنّ النبي صلى الله عليه و آله و سلم أمر الأنصار وزوجاتهم بالنياحة على حمزة عليه السلام بعد شهادته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النياحة بالباطل التي تغضب الرب، وأمّا النياحة</w:t>
      </w:r>
    </w:p>
    <w:p>
      <w:pPr>
        <w:pStyle w:val="BookText"/>
        <w:rPr/>
      </w:pPr>
      <w:r>
        <w:rPr>
          <w:rFonts w:ascii="Amiri" w:hAnsi="Amiri" w:eastAsia="Amiri" w:cs="Amiri"/>
          <w:color w:val="111111"/>
          <w:sz w:val="28"/>
          <w:sz w:val="28"/>
          <w:szCs w:val="28"/>
          <w:rtl w:val="true"/>
          <w:lang w:bidi="ar-SA"/>
        </w:rPr>
        <w:t>بالحق التي فيها أداء الشكر وإظهار العبر والتسلية لخاتم الأنبياء صلى الله عليه و آله و سلم فلا تشمله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النياحة بالحق في فقدان الأعزة خصوصاً عندما تتراكم الهموم والغموم أمر فطري وربما يخاف على سلامة الإنسان عند حبس هذه الهموم وعدم النياحة، ولذلك نرى الإمام الصادق عليه السلام قد عمل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لأبي عبد اللّه عليه السلام فناح عليها سنة، ثم مات له ولد آخر فناح عليه سنة، ثم مات إسماعيل فجزع عليه جزعاً شديداً فقطع النوح،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أيناح في دارك‌؟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وروي عن الإمام الصادق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إبراهيم ابن رسول اللّه صلى الله عليه و آله و سلم هملت عين رسول اللّه صلى الله عليه و آله و سلم بالدموع،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نقول ما يسخط الرب، وإنّا بك يا إبراهيم لمحزونون</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حين جاءته وفاة جعفر بن أبي طالب وزيد بن حارثة، كان إذا دخل بيته كثر بكاؤه عليهما جداً،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يحدّثاني ويؤنساني فذهبا جميعاً</w:t>
      </w:r>
      <w:r>
        <w:rPr>
          <w:rFonts w:eastAsia="Amiri" w:cs="Amiri" w:ascii="Amiri" w:hAnsi="Amiri"/>
          <w:color w:val="111111"/>
          <w:sz w:val="28"/>
          <w:szCs w:val="28"/>
          <w:rtl w:val="true"/>
          <w:lang w:bidi="ar-SA"/>
        </w:rPr>
        <w:t>».</w:t>
      </w:r>
      <w:r>
        <w:rPr>
          <w:rStyle w:val="FootnoteAnchor"/>
          <w:rtl w:val="true"/>
        </w:rPr>
        <w:footnoteReference w:id="1047"/>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زين العابدين بكى على أبيه أربعين سنة، صائماً نهاره قائماً ليله، فإذا حضر الإفطار جاء غلامه بطعامه وشرابه فيضعه بين يديه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صلى الله عليه و آله و سلم جائعاً، قتل ابن رسول اللّه صلى الله عليه و آله و سلم عطشاناً، فلا يزال يكرر ذلك ويبكي حتى يبل طعامه بدموعه، ويمزج شرابه بدموعه، فلم يزل كذلك حتى لحق باللّه عزّ وجل</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أنشدني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كما تنشدون، وكما ترثيه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أمرر على جدث الحسين فقل لأعظمه الزكية</w:t>
      </w:r>
    </w:p>
    <w:p>
      <w:pPr>
        <w:pStyle w:val="BookText"/>
        <w:rPr/>
      </w:pPr>
      <w:r>
        <w:rPr>
          <w:rFonts w:ascii="Amiri" w:hAnsi="Amiri" w:eastAsia="Amiri" w:cs="Amiri"/>
          <w:color w:val="111111"/>
          <w:sz w:val="28"/>
          <w:sz w:val="28"/>
          <w:szCs w:val="28"/>
          <w:rtl w:val="true"/>
          <w:lang w:bidi="ar-SA"/>
        </w:rPr>
        <w:t>يا أعظماً لا زلت من وطفاء ساكبة روية</w:t>
      </w:r>
    </w:p>
    <w:p>
      <w:pPr>
        <w:pStyle w:val="BookText"/>
        <w:rPr/>
      </w:pPr>
      <w:r>
        <w:rPr>
          <w:rFonts w:ascii="Amiri" w:hAnsi="Amiri" w:eastAsia="Amiri" w:cs="Amiri"/>
          <w:color w:val="111111"/>
          <w:sz w:val="28"/>
          <w:sz w:val="28"/>
          <w:szCs w:val="28"/>
          <w:rtl w:val="true"/>
          <w:lang w:bidi="ar-SA"/>
        </w:rPr>
        <w:t>وإذا مررت بقبره فأطل به وقف المطية</w:t>
      </w:r>
    </w:p>
    <w:p>
      <w:pPr>
        <w:pStyle w:val="BookText"/>
        <w:rPr/>
      </w:pPr>
      <w:r>
        <w:rPr>
          <w:rFonts w:ascii="Amiri" w:hAnsi="Amiri" w:eastAsia="Amiri" w:cs="Amiri"/>
          <w:color w:val="111111"/>
          <w:sz w:val="28"/>
          <w:sz w:val="28"/>
          <w:szCs w:val="28"/>
          <w:rtl w:val="true"/>
          <w:lang w:bidi="ar-SA"/>
        </w:rPr>
        <w:t>وابك المطهر للمطهر والمطهرة التقية</w:t>
      </w:r>
    </w:p>
    <w:p>
      <w:pPr>
        <w:pStyle w:val="BookText"/>
        <w:rPr/>
      </w:pPr>
      <w:r>
        <w:rPr>
          <w:rFonts w:ascii="Amiri" w:hAnsi="Amiri" w:eastAsia="Amiri" w:cs="Amiri"/>
          <w:color w:val="111111"/>
          <w:sz w:val="28"/>
          <w:sz w:val="28"/>
          <w:szCs w:val="28"/>
          <w:rtl w:val="true"/>
          <w:lang w:bidi="ar-SA"/>
        </w:rPr>
        <w:t>كبكاء معولة أتت يوماً لواحدها المنية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فأنشدته القصيدة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قومي واندبي مولاك وعلى الحسين اسعدي ببكاك</w:t>
      </w:r>
    </w:p>
    <w:p>
      <w:pPr>
        <w:pStyle w:val="BookText"/>
        <w:rPr/>
      </w:pPr>
      <w:r>
        <w:rPr>
          <w:rFonts w:ascii="Amiri" w:hAnsi="Amiri" w:eastAsia="Amiri" w:cs="Amiri"/>
          <w:color w:val="111111"/>
          <w:sz w:val="28"/>
          <w:sz w:val="28"/>
          <w:szCs w:val="28"/>
          <w:rtl w:val="true"/>
          <w:lang w:bidi="ar-SA"/>
        </w:rPr>
        <w:t>قال فبكى الصادق، وتهايج النساء من خلف السترة، فلما أن سكتن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من أنشد في الحسين فبكى أو أبكى عشرة كتبت له الجنة</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خلف جنازة في مصيبة بغير رداء، والذي يضرب على فخذه</w:t>
      </w:r>
      <w:bookmarkStart w:id="1058" w:name="pg16780_177645"/>
    </w:p>
    <w:p>
      <w:pPr>
        <w:pStyle w:val="BookText"/>
        <w:rPr/>
      </w:pPr>
      <w:bookmarkEnd w:id="1058"/>
      <w:r>
        <w:rPr>
          <w:rFonts w:ascii="Amiri" w:hAnsi="Amiri" w:eastAsia="Amiri" w:cs="Amiri"/>
          <w:color w:val="111111"/>
          <w:sz w:val="28"/>
          <w:sz w:val="28"/>
          <w:szCs w:val="28"/>
          <w:rtl w:val="true"/>
          <w:lang w:bidi="ar-SA"/>
        </w:rPr>
        <w:t>عند المصيبة، والذي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وترحّموا عليه يرحمكم اللّه</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وقد نقلت بسندين ففي الأوّل منهما النوفلي والسكوني، وفي الثاني أُناس لم يوثقوا كأحمد بن يحيى القطّان، وبكر بن عبد اللّه بن حبيب، وتميم بن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 الرواية لا يوافق الأُصول المسلّمة بين الفقهاء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رجلاً شيّع ميتاً بلا رداء، فهل ارتكب محرّماً من المحرمات، حتى يوصف باحتمال أنّه أعظم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وترحّموا عليه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يدعو المشيعين إلى الترحّم على الميت فهل يكون محتمل الحرمة فضلاً عن أن يكون من الجرائم الكبيرة‌؟</w:t>
      </w:r>
    </w:p>
    <w:p>
      <w:pPr>
        <w:pStyle w:val="BookText"/>
        <w:rPr/>
      </w:pPr>
      <w:r>
        <w:rPr>
          <w:rFonts w:ascii="Amiri" w:hAnsi="Amiri" w:eastAsia="Amiri" w:cs="Amiri"/>
          <w:color w:val="111111"/>
          <w:sz w:val="28"/>
          <w:sz w:val="28"/>
          <w:szCs w:val="28"/>
          <w:rtl w:val="true"/>
          <w:lang w:bidi="ar-SA"/>
        </w:rPr>
        <w:t>نعم بقي الضرب على الفخذ عند المصيبة فقد مرّ أنّ موضعه هو المصائب الفردية التي ربما تجر الإنسان إلى أقوال وأعمال غير صحيحة، وأمّا المصائب الدينية فقد عرفت أنّ هذه الأفعال رمز لتنبيه الأُمّة ونشر خبر مصائب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بعض الروايات الصحيحة أنّ الجزع لا يذهب الأجر،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المؤمن من ولده إذا مات، الجنة، صبر أم لم يصبر</w:t>
      </w:r>
      <w:r>
        <w:rPr>
          <w:rFonts w:eastAsia="Amiri" w:cs="Amiri" w:ascii="Amiri" w:hAnsi="Amiri"/>
          <w:color w:val="111111"/>
          <w:sz w:val="28"/>
          <w:szCs w:val="28"/>
          <w:rtl w:val="true"/>
          <w:lang w:bidi="ar-SA"/>
        </w:rPr>
        <w:t>».</w:t>
      </w:r>
      <w:r>
        <w:rPr>
          <w:rStyle w:val="FootnoteAnchor"/>
          <w:rtl w:val="true"/>
        </w:rPr>
        <w:footnoteReference w:id="1051"/>
      </w:r>
    </w:p>
    <w:p>
      <w:pPr>
        <w:pStyle w:val="Heading5"/>
        <w:numPr>
          <w:ilvl w:val="4"/>
          <w:numId w:val="1"/>
        </w:numPr>
        <w:rPr/>
      </w:pPr>
      <w:bookmarkStart w:id="1059" w:name="__RefHeading___Toc7190255_73709187"/>
      <w:bookmarkStart w:id="1060" w:name="_Toc401"/>
      <w:bookmarkEnd w:id="1059"/>
      <w:r>
        <w:rPr>
          <w:rtl w:val="true"/>
        </w:rPr>
        <w:t>الثامن</w:t>
      </w:r>
      <w:r>
        <w:rPr>
          <w:rtl w:val="true"/>
        </w:rPr>
        <w:t xml:space="preserve">: </w:t>
      </w:r>
      <w:r>
        <w:rPr>
          <w:rtl w:val="true"/>
        </w:rPr>
        <w:t>اختلاط النساء بالرجال</w:t>
      </w:r>
      <w:bookmarkEnd w:id="1060"/>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عند هذه القبور الاختلاط فترى النساء والرجال مختلطين عند الطواف بالقبر</w:t>
      </w:r>
      <w:r>
        <w:rPr>
          <w:rFonts w:eastAsia="Amiri" w:cs="Amiri" w:ascii="Amiri" w:hAnsi="Amiri"/>
          <w:color w:val="111111"/>
          <w:sz w:val="28"/>
          <w:szCs w:val="28"/>
          <w:rtl w:val="true"/>
          <w:lang w:bidi="ar-SA"/>
        </w:rPr>
        <w:t>.</w:t>
      </w:r>
      <w:bookmarkStart w:id="1061" w:name="pg16780_177647"/>
    </w:p>
    <w:p>
      <w:pPr>
        <w:pStyle w:val="BookText"/>
        <w:rPr/>
      </w:pPr>
      <w:bookmarkEnd w:id="10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عند الطواف بالبيت الحرام أوضح وأظهر، فهل يدعو ذلك إلى تحريم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أن تتخذ أساليب لكي لا يحصل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مكان زيارة الرجال متميّز عن مكان زيارة النساء بعد قيام الثورة الإسلامية في إيران حيث قسّم المشاهد المشرفة إلى قسمين بينهما حاجز، وكذا الحال في مشاهد الأئمة عليهم السلام في العراق بعد سقوط النظام الصدامي البائد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مناقشة ما ذكره في الفصل الخاص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 ترتكب عند القبور</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7190257_73709187"/>
      <w:bookmarkStart w:id="1063" w:name="_Toc402"/>
      <w:bookmarkEnd w:id="1062"/>
      <w:r>
        <w:rPr>
          <w:rtl w:val="true"/>
        </w:rPr>
        <w:t>ردود على أجوبة المؤلف</w:t>
      </w:r>
      <w:bookmarkEnd w:id="1063"/>
    </w:p>
    <w:p>
      <w:pPr>
        <w:pStyle w:val="BookText"/>
        <w:rPr/>
      </w:pPr>
      <w:r>
        <w:rPr>
          <w:rFonts w:ascii="Amiri" w:hAnsi="Amiri" w:eastAsia="Amiri" w:cs="Amiri"/>
          <w:color w:val="111111"/>
          <w:sz w:val="28"/>
          <w:sz w:val="28"/>
          <w:szCs w:val="28"/>
          <w:rtl w:val="true"/>
          <w:lang w:bidi="ar-SA"/>
        </w:rPr>
        <w:t xml:space="preserve">ثمّ إنّ الكاتب فتح فصلاً جديداً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اعتراضات وأجوبة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حاول أن يذكر أدلّة القائلين بجواز البناء ويرد عليها، إلّاأنّه وللأسف لم يذكر الأدلة على وجهها الصحيح،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قبور الأنبياء والأئمّة عليهم السلام مستثنى من روايات النهي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أنفسهم أمروا ووصّوا بعدم رفع قبورهم أكثر من شبر أو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الدليل على وجهه فإنّهم عليهم السلام قالوا بأنّ البناء على القبور مستثنى من روايات النهي، ولم يذكروا أنّ رفع القبور مستثنى من روايات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فرق بين استثناء رفع القبر واستثناء البناء</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أئمّة أهل البيت عليهم السلام ذكروا رفع القبر بشبر ولم يرد</w:t>
      </w:r>
    </w:p>
    <w:p>
      <w:pPr>
        <w:pStyle w:val="BookText"/>
        <w:rPr/>
      </w:pPr>
      <w:r>
        <w:rPr>
          <w:rFonts w:ascii="Amiri" w:hAnsi="Amiri" w:eastAsia="Amiri" w:cs="Amiri"/>
          <w:color w:val="111111"/>
          <w:sz w:val="28"/>
          <w:sz w:val="28"/>
          <w:szCs w:val="28"/>
          <w:rtl w:val="true"/>
          <w:lang w:bidi="ar-SA"/>
        </w:rPr>
        <w:t>عنهم نهي عن الرفع بأكثر منه، إلّافي رواية الإمام موسى بن جعفر عليهما السلام، وقد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قبور الأنبياء والأئمّة عليهم السلام والبناء عليها فيه مصلحة عظيمة وهي إبقاء قبورهم مدى الزمان وعدم اندراسها ومحوها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يستلزم من عدم البناء على قبورهم أنّها سوف تدرس وتمحى آثارها فهذه هي قبور الأئمّة الحسن وزين العابدين ومحمد الباقر وجعفر الصادق وفاطمة عليهم السلام لم ترفع فوق المقدار الشرعي وهي مع ذلك لم تدرس ولم تمح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قبور أئمّة أهل البيت عليهم السلام رهن وجود البناء عليها عبر القرون السابقة، فلو لم يكن عليها بناء طيلة هذه السنوات لم يبق منها أثر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هذه القبور بهذا الشكل المؤلم للقلب رهن ضغط شيعة آل البيت ودوام تفقدهم لها، والذي صار سبباً لبقائها بهذا الشكل المزري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أنّه قد دمرت قبور عامة الصحابة والتابعين لهم بإحسان، فلذلك لم يبق أثر منها إلّاقبر الخليفة الثالث وعدد 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الناس على البناء من غير إنكار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من غير إنكار يرد عليه كلام الأئمة عليهم السلام أنفسهم كما هو مبيّن في روايات النهي عن البناء على القبور المذكورة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الاستدلال هو إجماع المسلمين عبر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عامة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قبور الأنبياء والأولياء من دون أن يخدش فيه أحد، إلى أن أولد الدهر رجل الضلال والنصب أحمد بن تيمية فأفتى بتحريم البناء وتبعه محمد بن عبد الوهاب من غير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الاتفاق دليل قاطع لا يقبل الرد ولا النقض، وعندئذٍ لا يعارضه ما نسب إلى أئمّة أهل البيت عليهم السلام من النهي عن البناء على القبور، لأنّه أخبار آحاد لا يعادل الدليل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هذه الروايات على فرض صحتها لا تدلّ على ما يرتئيه الكاتب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قالوا بحرمة البناء على القبور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عليه بأنّ هذا الاعتراض مستبعد جداً، لأنّ العلماء لم يحملوا هذه الروايات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التناقض في كلامه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الروايات الناهية عن البناء على القبور على التقية، ثم يرد عليه بأنّ العلماء لم يحملوها عليها، فإذا كان هذا هو حال العلماء، فمَن حملها على التقية، لأنّ الحمل وعدمه من شأن العلماء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تدلّ على جواز البناء على القبور،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 النهي هي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البناء على القبور يؤيده الذكر الحكيم والسنة المستمرة بين الموحّدين وعمل الصحابة والتابعين ومن أتى بعدهم، وهذا هو المرجّح للأخذ بالروايات الدالة التي تجاوز عددها على العشر، وأمّا الروايات الناهية فقد عرفت ضعف أسانيدها أو عدم مساسها للمقام ومخالفتها للسيرة المستمرة والقرآن الكريم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الكاتب أيّد الأخذ بروايات النهي ورجّحها على روايات الجواز بالقاعدة المعروفة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الكاتب لم يعرف مكان القاعدة، فإنّ مكانها ما إذا لم يكن في المسألة دليل قاطع فيتوسل بأمثال هذه القواعد في مقام الإفتاء، وأمّا إذا كان هناك نص قرآني وسيرة قطعية بين الموحّدين والمسلمين وروايات بلغ عددها إلى عشر أو أزيد، لم يبق مورد للقاعدة، كما أنّه لا يبقى مورد للأخذ بالروايات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عمّا كتبه المؤلف في كتيبه وقد مررنا على كلامه من بدايته إلى ختامه، وعرفت وهن كلامه وضعف أدلته، فهو كحاطب ليل، قد جمع في حزمته كل رطب ويابس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بيد مؤلفها، جعفر السبحاني في اليوم الثامن</w:t>
      </w:r>
    </w:p>
    <w:p>
      <w:pPr>
        <w:pStyle w:val="BookText"/>
        <w:rPr/>
      </w:pPr>
      <w:r>
        <w:rPr>
          <w:rFonts w:ascii="Amiri" w:hAnsi="Amiri" w:eastAsia="Amiri" w:cs="Amiri"/>
          <w:color w:val="111111"/>
          <w:sz w:val="28"/>
          <w:sz w:val="28"/>
          <w:szCs w:val="28"/>
          <w:rtl w:val="true"/>
          <w:lang w:bidi="ar-SA"/>
        </w:rPr>
        <w:t xml:space="preserve">من شهر شوّال المكرّم من شهور عام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من الهجرة النبوية على هاجرها وآله آلاف</w:t>
      </w:r>
    </w:p>
    <w:p>
      <w:pPr>
        <w:pStyle w:val="BookText"/>
        <w:rPr/>
      </w:pPr>
      <w:r>
        <w:rPr>
          <w:rFonts w:ascii="Amiri" w:hAnsi="Amiri" w:eastAsia="Amiri" w:cs="Amiri"/>
          <w:color w:val="111111"/>
          <w:sz w:val="28"/>
          <w:sz w:val="28"/>
          <w:szCs w:val="28"/>
          <w:rtl w:val="true"/>
          <w:lang w:bidi="ar-SA"/>
        </w:rPr>
        <w:t>التحية والسلام والحمد للّه الذي</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بنعمته تتم الصالحات</w:t>
      </w:r>
      <w:bookmarkStart w:id="1064" w:name="pg16780_177657"/>
    </w:p>
    <w:p>
      <w:pPr>
        <w:pStyle w:val="Heading2"/>
        <w:numPr>
          <w:ilvl w:val="1"/>
          <w:numId w:val="1"/>
        </w:numPr>
        <w:rPr/>
      </w:pPr>
      <w:bookmarkStart w:id="1065" w:name="__RefHeading___Toc7190259_73709187"/>
      <w:bookmarkStart w:id="1066" w:name="_Toc403"/>
      <w:bookmarkEnd w:id="1064"/>
      <w:bookmarkEnd w:id="1065"/>
      <w:r>
        <w:rPr>
          <w:rtl w:val="true"/>
        </w:rPr>
        <w:t>الفصل الثالث</w:t>
      </w:r>
      <w:bookmarkEnd w:id="1066"/>
    </w:p>
    <w:p>
      <w:pPr>
        <w:pStyle w:val="Heading3"/>
        <w:numPr>
          <w:ilvl w:val="2"/>
          <w:numId w:val="1"/>
        </w:numPr>
        <w:rPr/>
      </w:pPr>
      <w:bookmarkStart w:id="1067" w:name="__RefHeading___Toc7190261_73709187"/>
      <w:bookmarkStart w:id="1068" w:name="_Toc404"/>
      <w:bookmarkEnd w:id="1067"/>
      <w:r>
        <w:rPr>
          <w:rtl w:val="true"/>
        </w:rPr>
        <w:t>اشارة</w:t>
      </w:r>
      <w:bookmarkEnd w:id="1068"/>
    </w:p>
    <w:p>
      <w:pPr>
        <w:pStyle w:val="BookText"/>
        <w:rPr/>
      </w:pPr>
      <w:r>
        <w:rPr>
          <w:rFonts w:ascii="IRNazanin" w:hAnsi="IRNazanin" w:eastAsia="IRNazanin"/>
          <w:color w:val="111111"/>
          <w:sz w:val="28"/>
          <w:sz w:val="28"/>
          <w:szCs w:val="28"/>
          <w:rtl w:val="true"/>
          <w:lang w:bidi="fa-IR"/>
        </w:rPr>
        <w:t>الفصل الثالث</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وتقاريظ وبيانات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الشيخ الأعرافي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بحث فقهي في دراسة 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الدكتور عبد الوهاب إبراهيم أبو سليمان حول استحالة رؤية هلال شهر ذي الحجة لسنة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مساء يوم الأربعاء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آية اللّه الشيخ محمد واعظ زادة الخراساني حول الجزء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أُخرى إلى آية اللّه الشيخ محمد واعظ زادة الخراساني حول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بعض المقترحات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التحديث والمسند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تقريظ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الصلت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الحائري مظهر الفضيلة والتقى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العلّامة السبحاني إلى مهرجان ربيع الشهادة الثقافي العالمي الّذي أُقيم في كربلاء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تعزية بمناسبة وفاة العلّامة المجاهد الشيخ محمد مهدي الآصفي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العلّامة الفقيه جعفر السبحاني إلى مؤتمر الوحدة الإسلامية المنعقد في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المحرز في شرح الموجز في أُصول الفقه</w:t>
      </w:r>
      <w:r>
        <w:rPr>
          <w:rFonts w:eastAsia="Amiri" w:cs="Amiri" w:ascii="Amiri" w:hAnsi="Amiri"/>
          <w:color w:val="111111"/>
          <w:sz w:val="28"/>
          <w:szCs w:val="28"/>
          <w:rtl w:val="true"/>
          <w:lang w:bidi="ar-SA"/>
        </w:rPr>
        <w:t>».</w:t>
      </w:r>
      <w:bookmarkStart w:id="1069" w:name="pg16780_177660"/>
    </w:p>
    <w:p>
      <w:pPr>
        <w:pStyle w:val="Heading3"/>
        <w:numPr>
          <w:ilvl w:val="2"/>
          <w:numId w:val="1"/>
        </w:numPr>
        <w:rPr/>
      </w:pPr>
      <w:bookmarkStart w:id="1070" w:name="__RefHeading___Toc7190263_73709187"/>
      <w:bookmarkStart w:id="1071" w:name="_Toc405"/>
      <w:bookmarkEnd w:id="1069"/>
      <w:bookmarkEnd w:id="1070"/>
      <w:r>
        <w:rPr/>
        <w:t>1</w:t>
      </w:r>
      <w:r>
        <w:rPr>
          <w:rtl w:val="true"/>
        </w:rPr>
        <w:t xml:space="preserve"> </w:t>
      </w:r>
      <w:r>
        <w:rPr>
          <w:rtl w:val="true"/>
        </w:rPr>
        <w:t xml:space="preserve">فضيلة الأُستاذ الشيخ علي رضا الأعرافي </w:t>
      </w:r>
      <w:r>
        <w:rPr>
          <w:rtl w:val="true"/>
        </w:rPr>
        <w:t>(</w:t>
      </w:r>
      <w:r>
        <w:rPr>
          <w:rtl w:val="true"/>
        </w:rPr>
        <w:t>دام عُلاه</w:t>
      </w:r>
      <w:r>
        <w:rPr>
          <w:rtl w:val="true"/>
        </w:rPr>
        <w:t>)</w:t>
      </w:r>
      <w:bookmarkEnd w:id="1071"/>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الرجاء من اللّه سبحانه أن تكونوا جادّين في طريق تربية الجيل الحاضر لنشر الإسلام والتشيّع في مختلف أقطار العالم وأنحائه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قرأت كتابكم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بحث فقهي في دراسة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كتاب مبتكر في موضوعه، وقد قام بنقض أدلّة المعارضين لدراسة الفلسفة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نشير إلى بعض النكات وهي لا تنقص من قيمة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الصفحة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التيّارات الأساسية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التيار الكلامي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التيار الأخباري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تيار العرفان والتصوّف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التيار التفكيكي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التيار الأوّل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منذ أواسط القرن الثاني للهجرة تياران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أهل الحديث منهج أحمد بن حنبل وأتباعه، وأمّا أبو الحسن الأشعري فقد جاء متأخّراً كثيراً عنه حيث ولد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عام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فالأصل في التيار هو المحدّثون وعلى رأسهم أحمد بن حنبل،</w:t>
      </w:r>
    </w:p>
    <w:p>
      <w:pPr>
        <w:pStyle w:val="BookText"/>
        <w:rPr/>
      </w:pPr>
      <w:r>
        <w:rPr>
          <w:rFonts w:ascii="Amiri" w:hAnsi="Amiri" w:eastAsia="Amiri" w:cs="Amiri"/>
          <w:color w:val="111111"/>
          <w:sz w:val="28"/>
          <w:sz w:val="28"/>
          <w:szCs w:val="28"/>
          <w:rtl w:val="true"/>
          <w:lang w:bidi="ar-SA"/>
        </w:rPr>
        <w:t>وأمّا الأشاعرة فمنهجهم متوسط بين الاعتزال وأهل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الإشكال في هامش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وضعها في مقابل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أنّها استخدمت للإشارة إلى الأشاعرة في مقابل المعتزلة، حيث إنّ الأشاعرة كان يعدّون أنفسهم كأتباع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ويراد أهل الحديث أي أتباع أحمد بن حنبل وشيوخه وأساتذته وأوّل من سمّاهم بأهل السنّة هو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القدرية الّتي نقلها أبو نعيم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لا يعدّون الأشاعرة من أتباع السنّة فضلاً عن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دارت بين الأشاعرة وأهل الحديث مساجلات ومناقشات؛ بل عراكات مذكورة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وجدت ما حرّرتموه حول ما روي عن المفضّل،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لمنتحلي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يجب أن يركّز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نقلت من لغة اليونان، رائجة في عصر الإمام الصادق عليه السلام حتّى يستخدمها الإمام في كلامه، فإنّ الإمام ولد عام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وشاعت الترجمة في عصر الرشيد، نعم بدأت من أواخر الأمويّين، فهل هناك دليل قطعي على وجود استعمال كلمة الفلسفة في عصر الإمام عليه السلام حتّى يستخدمها عليه السلام في كلامه‌؟ وهذا شيء يحتاج إلى بحث ضاف</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وأرجو أن تخوضوا في هذا البحث بما عندكم من كتب تتعلّق بتدوين الفلسفة وترجمتها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وبفارغ الصبر أنتظر نظركم السامي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يميلون إلى الفلسفة والتصوّف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ليست من كلمات الإمام؛ لأنّ من أنس كلمات المعصومين يقف على أنّها أشبه بعبارة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سنح به الخاطر وعليكم بمطالعة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فترة بعد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من الزلل واتّخاذ الموقف المسبق في القضاء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72" w:name="pg16780_177666"/>
    </w:p>
    <w:p>
      <w:pPr>
        <w:pStyle w:val="Heading3"/>
        <w:numPr>
          <w:ilvl w:val="2"/>
          <w:numId w:val="1"/>
        </w:numPr>
        <w:rPr/>
      </w:pPr>
      <w:bookmarkStart w:id="1073" w:name="__RefHeading___Toc7190265_73709187"/>
      <w:bookmarkStart w:id="1074" w:name="_Toc406"/>
      <w:bookmarkEnd w:id="1072"/>
      <w:bookmarkEnd w:id="1073"/>
      <w:r>
        <w:rPr/>
        <w:t>2</w:t>
      </w:r>
      <w:r>
        <w:rPr>
          <w:rtl w:val="true"/>
        </w:rPr>
        <w:t xml:space="preserve"> </w:t>
      </w:r>
      <w:r>
        <w:rPr>
          <w:rtl w:val="true"/>
        </w:rPr>
        <w:t>الأُستاذ الفاضل عبدالوهاب إبراهيم أبو سليمان حفظه اللّه تعالى</w:t>
      </w:r>
      <w:bookmarkEnd w:id="1074"/>
    </w:p>
    <w:p>
      <w:pPr>
        <w:pStyle w:val="Heading4"/>
        <w:numPr>
          <w:ilvl w:val="3"/>
          <w:numId w:val="1"/>
        </w:numPr>
        <w:rPr/>
      </w:pPr>
      <w:bookmarkStart w:id="1075" w:name="__RefHeading___Toc7190267_73709187"/>
      <w:bookmarkStart w:id="1076" w:name="_Toc407"/>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بعثنا إليكم بمناسبة عيد الفطر تبريكاً عبر الفاكس، ولم نتشرّف بقراءة جوابه، أرجو من اللّه سبحانه أن تكونوا في غاية الصحّة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يهمنا في هذه الرسالة الموضوع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الاخصّائيّين الّذين يرصدون هلال كلّ شهر اتّفقوا على أنّ هلال شهر ذي الحجّة الحرام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رؤيته بالعين المجرّدة ولا المسلّحة في المنطقة كلّها في مساء يوم الأربعاء، خلافاً لما جاء في تقويم أُمّ القرى الّذي تضمّن القول بأنّ يوم الخميس هو أوّل شهرذي الحجّة الحرام، وهذا ممّا أوجد ضجّة بين الحجّاج، فالرجاء أن تتّصلوا بأصحاب هذا الشأن حتّى يحصل الوفاق على ما هو الواقع، ولا تكون هذه السنة لا سامح اللّه مثل بعض السنين الّتي ظهر الخلاف فيها بعد الفراغ عن أعمال الحج، فتحمّل الملك إعطاء الكفّارة عن كلّ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كتبتم إلينا إنّ الملاك في البلد هو الرؤية بالعين المجرّدة، والفلكيّون اتّفقوا على عدم إمكان الرؤية حتّى بالعين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بلغوا تحياتنا إلى الأهل والأصدقاء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بعد أن حرّرنا ذلك وبعثناه إلى الأُستاذ عن طريق بعض المهتمين بأُمور الحج، أتتنا رسالة عن طريق الفاكس، من السعودّية تؤيّد ما ذكرناه، وإليك نصّها</w:t>
      </w:r>
      <w:r>
        <w:rPr>
          <w:rFonts w:eastAsia="Amiri" w:cs="Amiri" w:ascii="Amiri" w:hAnsi="Amiri"/>
          <w:color w:val="111111"/>
          <w:sz w:val="28"/>
          <w:szCs w:val="28"/>
          <w:rtl w:val="true"/>
          <w:lang w:bidi="ar-SA"/>
        </w:rPr>
        <w:t>:</w:t>
      </w:r>
      <w:bookmarkStart w:id="1077" w:name="pg16780_177668"/>
    </w:p>
    <w:p>
      <w:pPr>
        <w:pStyle w:val="Heading4"/>
        <w:numPr>
          <w:ilvl w:val="3"/>
          <w:numId w:val="1"/>
        </w:numPr>
        <w:rPr/>
      </w:pPr>
      <w:bookmarkStart w:id="1078" w:name="__RefHeading___Toc7190269_73709187"/>
      <w:bookmarkStart w:id="1079" w:name="_Toc408"/>
      <w:bookmarkEnd w:id="1077"/>
      <w:bookmarkEnd w:id="1078"/>
      <w:r>
        <w:rPr>
          <w:rtl w:val="true"/>
        </w:rPr>
        <w:t>مستجدات الهلال</w:t>
      </w:r>
      <w:bookmarkEnd w:id="1079"/>
    </w:p>
    <w:p>
      <w:pPr>
        <w:pStyle w:val="BookText"/>
        <w:rPr/>
      </w:pPr>
      <w:r>
        <w:rPr>
          <w:rFonts w:ascii="Amiri" w:hAnsi="Amiri" w:eastAsia="Amiri" w:cs="Amiri"/>
          <w:color w:val="111111"/>
          <w:sz w:val="28"/>
          <w:sz w:val="28"/>
          <w:szCs w:val="28"/>
          <w:rtl w:val="true"/>
          <w:lang w:bidi="ar-SA"/>
        </w:rPr>
        <w:t xml:space="preserve">التقرير الفلكي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الرصد الفلكي والاستهلالي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لمركز الإستفتاءات الدينية بالقطيف حول حيثيات هلال شهر ذي الحجّة الحرام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الفلك بالقطيف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هلال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بالعين المجرّدة مساء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حال صفاء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الجمعية الفلكية بجدة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هلال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مساء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كافّة مناطق الشرق الأوسط، والجمعة هو غرة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الجمعيات الفلكية بسلطنة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تستحيل رؤية هلال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مساء 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مستحيلة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الخليج العربي، والجمعة هو أوّل شهر ذي الحجّة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الإسلامي لرصد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هو غرّة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أجمع علماء الفلك ومراكز الرصد على استحالة الرؤية مساء الأربعاء في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الفلك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تتعذّر رؤية هلال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مساء يوم الأربعاء في كافّة مناطق العالم العربي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الإستهلال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التقارير الفلكية تشير إلى حتمية رؤية هلال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بالعين المجرّدة مساء الخميس القادم في كافّة مناطق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الفلكي بجنوب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الجمعة هو غرّة شهر ذي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لحتمية الرؤية للهلال مساء الخميس في كافة مناطق العالم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المسؤولين في السعودية بقوا على غلوائهم وخالفوا الرأي العام، فحجّ الناس على ضغط عمّالهم وفق ما في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080" w:name="pg16780_177671"/>
    </w:p>
    <w:p>
      <w:pPr>
        <w:pStyle w:val="Heading3"/>
        <w:numPr>
          <w:ilvl w:val="2"/>
          <w:numId w:val="1"/>
        </w:numPr>
        <w:rPr/>
      </w:pPr>
      <w:bookmarkStart w:id="1081" w:name="__RefHeading___Toc7190271_73709187"/>
      <w:bookmarkStart w:id="1082" w:name="_Toc409"/>
      <w:bookmarkEnd w:id="1080"/>
      <w:bookmarkEnd w:id="1081"/>
      <w:r>
        <w:rPr/>
        <w:t>3</w:t>
      </w:r>
      <w:r>
        <w:rPr>
          <w:rtl w:val="true"/>
        </w:rPr>
        <w:t xml:space="preserve"> </w:t>
      </w:r>
      <w:r>
        <w:rPr>
          <w:rtl w:val="true"/>
        </w:rPr>
        <w:t xml:space="preserve">سماحة الأُستاذ آية اللّه الشيخ محمد واعظ زادة الخراساني </w:t>
      </w:r>
      <w:r>
        <w:rPr>
          <w:rtl w:val="true"/>
        </w:rPr>
        <w:t>(</w:t>
      </w:r>
      <w:r>
        <w:rPr>
          <w:rtl w:val="true"/>
        </w:rPr>
        <w:t>دامت بركاته</w:t>
      </w:r>
      <w:r>
        <w:rPr>
          <w:rtl w:val="true"/>
        </w:rPr>
        <w:t>)</w:t>
      </w:r>
      <w:bookmarkEnd w:id="1082"/>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تكونوا في غاية الصحّة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استلمنا بيد التكريم الجزء الخامس والعشرين من مشروعكم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تعالى لإتمامه وإكماله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الصفحة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 في اللغة أخذ الشيء وافياً تامّاً، ومن ثم استعمل بمعنى الإماتة،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إنّ التوفّي في الآية بمعنى الإماتة مع أنّه سبحانه عطف على هذه الجملة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عطف على الأنفس والعامل فيهما واحد، فيكون معنى الآية حسب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يميت الأنفس حين موتها ويميت الّتي لم تمت في منامها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هذا إلّاالتناقض‌؟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يشهد على أنّ التوفّي في الآية ليس بمعنى الإماتة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من لزوم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يُصنِّف أخذ النفس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فَيُمْسِكُ الَّتِي قَضى عَلَيْهَا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حُكم عليه بالموت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 يحكم عليه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فالصنف الثاني توفّي ولكن لم يمت، وإلّا لا معنى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مفصّلاً حول التوفّي في الآية ذكره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صورته إليكم، عسى أن يُنتفع به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المقال الّذي كتبته أنا في سالف الأيام وهو مندرج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يقع موقع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أرسلنا إليكم أجزاء ستة من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كان يرجى من ألطافكم الكريمة هو إعلامنا بوصول الكتاب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ندعو اللّه لكم بالتوفيق وطول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83" w:name="pg16780_177676"/>
    </w:p>
    <w:p>
      <w:pPr>
        <w:pStyle w:val="Heading3"/>
        <w:numPr>
          <w:ilvl w:val="2"/>
          <w:numId w:val="1"/>
        </w:numPr>
        <w:rPr/>
      </w:pPr>
      <w:bookmarkStart w:id="1084" w:name="__RefHeading___Toc7190273_73709187"/>
      <w:bookmarkStart w:id="1085" w:name="_Toc410"/>
      <w:bookmarkEnd w:id="1083"/>
      <w:bookmarkEnd w:id="1084"/>
      <w:r>
        <w:rPr/>
        <w:t>4</w:t>
      </w:r>
      <w:r>
        <w:rPr>
          <w:rtl w:val="true"/>
        </w:rPr>
        <w:t xml:space="preserve"> </w:t>
      </w:r>
      <w:r>
        <w:rPr>
          <w:rtl w:val="true"/>
        </w:rPr>
        <w:t xml:space="preserve">حضرة العلّامة الحجّة آية اللّه الشيخ واعظ زادة الخراساني </w:t>
      </w:r>
      <w:r>
        <w:rPr>
          <w:rtl w:val="true"/>
        </w:rPr>
        <w:t>(</w:t>
      </w:r>
      <w:r>
        <w:rPr>
          <w:rtl w:val="true"/>
        </w:rPr>
        <w:t>دامت بركاته</w:t>
      </w:r>
      <w:r>
        <w:rPr>
          <w:rtl w:val="true"/>
        </w:rPr>
        <w:t>)</w:t>
      </w:r>
      <w:bookmarkEnd w:id="1085"/>
    </w:p>
    <w:p>
      <w:pPr>
        <w:pStyle w:val="Heading4"/>
        <w:numPr>
          <w:ilvl w:val="3"/>
          <w:numId w:val="1"/>
        </w:numPr>
        <w:rPr/>
      </w:pPr>
      <w:bookmarkStart w:id="1086" w:name="__RefHeading___Toc7190275_73709187"/>
      <w:bookmarkStart w:id="1087" w:name="_Toc411"/>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أدعو اللّه سبحانه لكم بدوام الصحّة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شكّ أنّ ما قمتم به من موسوعة المعجم في فقه لغة القرآن الكريم، عمل ضخم وجهد كبير، يستنير به المفسّرون وعشّاق القرآن الكريم، ومع ذلك فلي اقتراح لإكمال هذا المشروع، ألا وهو دعوة القرّاء الأكارم لطرح آرائهم حول ما في المعجم، فإنّ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البحث، وفيها كمال الكتاب، يقول الشيخ آية اللّه العظمى 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أنّ زينة الكتاب وحليته، نقده وتمحيصه، بل هو كماله وجماله، وتمامه أن يبدو عوزه ونقصه ويستقصى فليه وفحصه</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وعلى هذا فعليكم دعوة القرّاء الكرام إلى إبداء وجهات نظرهم حول المداخل المذكورة في المعجم، وما ورد فيها من آراء، ونشر هذه الآراء في آخر الأجزاء التالية، وقد كان السيد الأمين على هذه السيرة فكان يطبع ما يصله من إطراء ونقد آخر كلّ جزء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اقتراحنا والأمر لكم وإليكم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نقدّم لكم ملاحظتين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متعلّقة بتفسير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الجزء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 xml:space="preserve">) </w:t>
      </w:r>
      <w:r>
        <w:rPr>
          <w:rStyle w:val="FootnoteAnchor"/>
          <w:rtl w:val="true"/>
        </w:rPr>
        <w:footnoteReference w:id="1055"/>
      </w:r>
      <w:bookmarkStart w:id="1088" w:name="pg16780_177678"/>
    </w:p>
    <w:p>
      <w:pPr>
        <w:pStyle w:val="BookText"/>
        <w:rPr/>
      </w:pPr>
      <w:bookmarkEnd w:id="1088"/>
      <w:r>
        <w:rPr>
          <w:rFonts w:ascii="Amiri" w:hAnsi="Amiri" w:eastAsia="Amiri" w:cs="Amiri"/>
          <w:color w:val="111111"/>
          <w:sz w:val="28"/>
          <w:sz w:val="28"/>
          <w:szCs w:val="28"/>
          <w:rtl w:val="true"/>
          <w:lang w:bidi="ar-SA"/>
        </w:rPr>
        <w:t xml:space="preserve">والأُخرى تتعلّق بتفسير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ولنا ملاحظة ثالثة حول تفسير كلمة الإله نؤخّر تقديمها إذا ظهرت منكم رغبة إلى إرسالها، واللّه الهادي إلى سواء السبيل</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7190277_73709187"/>
      <w:bookmarkStart w:id="1090" w:name="_Toc412"/>
      <w:bookmarkEnd w:id="1089"/>
      <w:r>
        <w:rPr>
          <w:rtl w:val="true"/>
        </w:rPr>
        <w:t>الملاحظة الأُولى</w:t>
      </w:r>
      <w:r>
        <w:rPr>
          <w:rtl w:val="true"/>
        </w:rPr>
        <w:t xml:space="preserve">: </w:t>
      </w:r>
      <w:r>
        <w:rPr>
          <w:rtl w:val="true"/>
        </w:rPr>
        <w:t>حول تفسير لفظ الروح</w:t>
      </w:r>
      <w:bookmarkEnd w:id="1090"/>
    </w:p>
    <w:p>
      <w:pPr>
        <w:pStyle w:val="Heading5"/>
        <w:numPr>
          <w:ilvl w:val="4"/>
          <w:numId w:val="1"/>
        </w:numPr>
        <w:rPr/>
      </w:pPr>
      <w:bookmarkStart w:id="1091" w:name="__RefHeading___Toc7190279_73709187"/>
      <w:bookmarkStart w:id="1092" w:name="_Toc413"/>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 xml:space="preserve">جاءت في الجزء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وقد اختلفت كلمات المفسّرين في المراد منه، فهل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أو ملك أكبر، أو القرآن، أو الروح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مورد الآية حديث معتبر فهو، وإلّا فيمكن الاهتداء إلى ما هو المقصود عن طريق آخر وهو</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7190281_73709187"/>
      <w:bookmarkStart w:id="1094" w:name="_Toc414"/>
      <w:bookmarkEnd w:id="1093"/>
      <w:r>
        <w:rPr>
          <w:rtl w:val="true"/>
        </w:rPr>
        <w:t>استكشاف المراد من دراسة حال السائل</w:t>
      </w:r>
      <w:bookmarkEnd w:id="109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أو السائلون هم اليهود حسب ما اتّفقت عليه كلمات مؤلّفي السيرة والمفسّرين، وأنّ اليهود هم الّذين طرحوا الأسئلة الثلاثة الّتي منها السؤال عن الروح، نصّ عليه ابن هشام في سيرته وغيره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اليهود يكنّون العداء لجبرئيل لسبب ذكر المفسّرين في تفسيرهم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عدونا، ينزل بالقتال والشدّة والحرب، وميكائيل ينزل باليسر والرخاء، فلو كان ميكائيل هو الّذي يأتيك لآمنا بك</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فالآية وما ورد حولها من المأثورات أدلّ دليل على أنّ اليهود كانوا يكنّون العداء لجبرئيل، وعلى ضوء ذلك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المكرة طرحوا هذا السؤال قبل الهجرة ليستكشفوا معتقد نبينا حول جبرئيل فإن كان موافقاً لما يعتقدونه فقد وجدوا شاهداً على معتقدهم، وإن كان مخالفاً، يبقون على خلافهم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 الجواب مطابقاً للسؤال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مأمور من جانب اللّه سبحانه فلا يُبيد ولا يُهلك إلّابأمره سبحانه، فليس له شأن إلّاالامتثال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ضوء ما ذكرنا من البعيد أن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الإنسانيّة المجردة، فإنّ هذه مسألة فلسفية بعيدة عن أذهان هؤلاء الّذين لا يفكّرون إلّافي المادة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استغرق البحث في تجرّد الروح في هذا الجزء صفحات وكان عليكم يا سماحة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البحث عن تجرّد الروح إلى آية أُخرى وهي قوله تعالى في سورة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إِذا ضَلَلْنا فِي الْأَرْضِ أَ إِنّا لَفِي خَلْقٍ جَدِيدٍ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Style w:val="FootnoteAnchor"/>
          <w:rtl w:val="true"/>
        </w:rPr>
        <w:footnoteReference w:id="1059"/>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الآية أدلّ دليل على بقاء الروح بعد فناء الجسد حسب ما قرّر في الميزان</w:t>
      </w:r>
      <w:r>
        <w:rPr>
          <w:rFonts w:eastAsia="Amiri" w:cs="Amiri" w:ascii="Amiri" w:hAnsi="Amiri"/>
          <w:color w:val="111111"/>
          <w:sz w:val="28"/>
          <w:szCs w:val="28"/>
          <w:rtl w:val="true"/>
          <w:lang w:bidi="ar-SA"/>
        </w:rPr>
        <w:t>.</w:t>
      </w:r>
      <w:bookmarkStart w:id="1095" w:name="pg16780_177681"/>
    </w:p>
    <w:p>
      <w:pPr>
        <w:pStyle w:val="BookText"/>
        <w:rPr/>
      </w:pPr>
      <w:bookmarkEnd w:id="1095"/>
      <w:r>
        <w:rPr>
          <w:rFonts w:ascii="Amiri" w:hAnsi="Amiri" w:eastAsia="Amiri" w:cs="Amiri"/>
          <w:color w:val="111111"/>
          <w:sz w:val="28"/>
          <w:sz w:val="28"/>
          <w:szCs w:val="28"/>
          <w:rtl w:val="true"/>
          <w:lang w:bidi="ar-SA"/>
        </w:rPr>
        <w:t xml:space="preserve">وفي هذا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وفاة صدر المتألهين بالنحو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نخبة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 إبراهيم صدر الأجل في سفر الحج مريضاً ارتحل</w:t>
      </w:r>
    </w:p>
    <w:p>
      <w:pPr>
        <w:pStyle w:val="BookText"/>
        <w:rPr/>
      </w:pP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مادة تاريخه، وهي تساوي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المعاصرين الّذين انتقلوا إلى رحمة اللّه قد ذكرت أسماؤهم بلا ذكر لتاريخ وفياتهم، كعلي أصغر حكمت وغيره، ولو بذل الجهد في تعيين تواريخ وفياتهم يكون أفضل</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7190283_73709187"/>
      <w:bookmarkStart w:id="1097" w:name="_Toc415"/>
      <w:bookmarkEnd w:id="1096"/>
      <w:r>
        <w:rPr>
          <w:rtl w:val="true"/>
        </w:rPr>
        <w:t>الملاحظة الثانية</w:t>
      </w:r>
      <w:r>
        <w:rPr>
          <w:rtl w:val="true"/>
        </w:rPr>
        <w:t xml:space="preserve">: </w:t>
      </w:r>
      <w:r>
        <w:rPr>
          <w:rtl w:val="true"/>
        </w:rPr>
        <w:t>حول قوله سبحانه</w:t>
      </w:r>
      <w:r>
        <w:rPr>
          <w:rtl w:val="true"/>
        </w:rPr>
        <w:t>: (</w:t>
      </w:r>
      <w:r>
        <w:rPr>
          <w:rtl w:val="true"/>
        </w:rPr>
        <w:t>فِي بُيُوتٍ‌</w:t>
      </w:r>
      <w:r>
        <w:rPr>
          <w:rtl w:val="true"/>
        </w:rPr>
        <w:t>)</w:t>
      </w:r>
      <w:bookmarkEnd w:id="1097"/>
    </w:p>
    <w:p>
      <w:pPr>
        <w:pStyle w:val="BookText"/>
        <w:rPr/>
      </w:pPr>
      <w:r>
        <w:rPr>
          <w:rFonts w:ascii="Amiri" w:hAnsi="Amiri" w:eastAsia="Amiri" w:cs="Amiri"/>
          <w:color w:val="111111"/>
          <w:sz w:val="28"/>
          <w:sz w:val="28"/>
          <w:szCs w:val="28"/>
          <w:rtl w:val="true"/>
          <w:lang w:bidi="ar-SA"/>
        </w:rPr>
        <w:t>جاءت في الجزء الثامن الأقوال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الحق أنّ المراد به هو بيوت الأنبياء والأولياء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تفسيره بالمساجد تفسير خاطئ وذلك بالبيان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المجامع اللغوية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المنزل والمسكن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الرجل داره، وبيته قصره</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البيت مأوى الإنسان بالليل</w:t>
      </w:r>
      <w:r>
        <w:rPr>
          <w:rFonts w:eastAsia="Amiri" w:cs="Amiri" w:ascii="Amiri" w:hAnsi="Amiri"/>
          <w:color w:val="111111"/>
          <w:sz w:val="28"/>
          <w:szCs w:val="28"/>
          <w:rtl w:val="true"/>
          <w:lang w:bidi="ar-SA"/>
        </w:rPr>
        <w:t>.</w:t>
      </w:r>
      <w:r>
        <w:rPr>
          <w:rStyle w:val="FootnoteAnchor"/>
          <w:rtl w:val="true"/>
        </w:rPr>
        <w:footnoteReference w:id="106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أماكن العبادة العامّة لا محلّ إقامة الرجل ليلاً،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في المكان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وبيتوتة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 الليل</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وإذا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الرجل ومنزله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فبسبب أنّ الرجل يقضي ليله عادة في ذلك المكان حتّى يصبح، فمن غير الصحيح تفسيره حينئذٍ بالمساجد من دون نصب قرينة تدلّ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من يمعن النظر في آيات الذكر الحكيم يجد أنّها إذا أرادت التعبير عن دور العبادة العامّة للمسلمين تأتي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نجد أنّ هذه المصطلحات قد تكرّر ذكرها في القرآن الكريم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أرادت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أنّ هذه المصطلحات قد جاءت في الذكر الحكيم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نصل إلى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القرآن الكريم لم يستعمل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وكلّ مَن يحاول أن يعدّ المصطلحين مصطلحاً واحداً، فقد جاء عن غير طريق، وقال من 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أطلق لفظ البيت على الكعبة المشرّفة حيث قال تعالى</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 الشَّهْرَ الْحَرامَ وَ الْهَدْيَ وَ الْقَلائِدَ</w:t>
      </w:r>
      <w:r>
        <w:rPr>
          <w:rFonts w:eastAsia="Amiri" w:cs="Amiri" w:ascii="Amiri" w:hAnsi="Amiri"/>
          <w:color w:val="111111"/>
          <w:sz w:val="28"/>
          <w:szCs w:val="28"/>
          <w:rtl w:val="true"/>
          <w:lang w:bidi="ar-SA"/>
        </w:rPr>
        <w:t>...)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التسمية لم تنطلق من كون الكعبة المشرّفة بيتاً لعبادة الموحّدين، وذلك لأنّنا نعلم أنّ الكعبة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الموحّدين لا بيت عبادتهم، ومن هنا تكون هذه الإضافة والنسبة من باب التعظيم والتقديس لهذه البقعة من الأرض، وكأنّها بيت للّه حقيقة، وبيت اللّه تعالى يستحقّ التعظيم والتقديس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يوجد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وتفاوت جوهري، وذلك لأنّ البيت يطلق على البناء المكوّن من الجدران الأربعة والسقف، والحال أنّه يكفي في إطلاق المسجد على المكان الّذي يحاط بجدران أربعة فقط ولا يشترط فيه وجود السقف، فالمسجد الحرام مسجد بلا سقف،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حاجة البيت إلى السقف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ومن الواضح أنّ الآية تشير إلى أنّ مفهوم البيت يتقوّم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السقف، وأنّه من الممكن أن يميّز اللّه الكافرين من المؤمنين بأن يمكّن اللّه الكافرين من الأُمور المادية بنحو يجعل لبيوتهم سقفاً من فضة، ولكنّه سبحانه لم يفعل ذلك لمصالح اقتضت ذلك، وهذا يدلّ على أنّ البيت يومذاك يطلق على البناء المسقّف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الحافظ 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بيت علي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ومن أفاضلها</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وقد روي عن الإمام أبي جعفر محمد بن علي بن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المقصود بيوت الأنبياء، وبيوت علي عليهم السلام</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فهذه القرائن لو أمعن المفسّر النظر فيها لأذعن بأنّ المراد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سورة النور هو بيوت الأنبياء عليهم السلام، وبيت النبيّ الأكرم صلى الله عليه و آله و سلم، وبيت عليّ عليه السلام، وبيوت الأولياء والصالحين الّتي امتازت بفضيلة ومنزلة خاصّة بسبب ظاهرة التحميد والتسبيح والتهليل الّتي يقوم بها أصحابها الّذين وصفتهم الآية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أدّى إلى أن يأذن سبحانه وتعالى برفعها وتشريفها،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اللّهُ أَنْ تُرْفَعَ‌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شاهد واضح يشهد على أنّ المراد من البيوت في الآية المباركة بيوت العترة الطاهرة عليهم السلام، وهذا الشاهد يتمثّل في الآيتين المباركتين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مخاطباً آل إبراهيم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بَرَكاتُهُ عَلَيْكُمْ أَهْلَ الْبَيْتِ إِنَّهُ حَمِيدٌ مَجِيدٌ</w:t>
      </w:r>
      <w:r>
        <w:rPr>
          <w:rFonts w:eastAsia="Amiri" w:cs="Amiri" w:ascii="Amiri" w:hAnsi="Amiri"/>
          <w:color w:val="111111"/>
          <w:sz w:val="28"/>
          <w:szCs w:val="28"/>
          <w:rtl w:val="true"/>
          <w:lang w:bidi="ar-SA"/>
        </w:rPr>
        <w:t>)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1068"/>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الآية الّذي جاء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البيوت هي المساجد، لأنّ مسلمي صدر الإسلام كانوا جميعاً يؤدّون صلواتهم في المسجد، ومن الطبيعي أنّ إقامة</w:t>
      </w:r>
    </w:p>
    <w:p>
      <w:pPr>
        <w:pStyle w:val="BookText"/>
        <w:rPr/>
      </w:pPr>
      <w:r>
        <w:rPr>
          <w:rFonts w:ascii="Amiri" w:hAnsi="Amiri" w:eastAsia="Amiri" w:cs="Amiri"/>
          <w:color w:val="111111"/>
          <w:sz w:val="28"/>
          <w:sz w:val="28"/>
          <w:szCs w:val="28"/>
          <w:rtl w:val="true"/>
          <w:lang w:bidi="ar-SA"/>
        </w:rPr>
        <w:t>الصلاة ملازمة للتسبيح والتهليل والتكبير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تصوّر خاطئ، وذلك لأنّ الصلاة الّتي كانت تقام في المسجد هي الصلوات الواجبة، وأمّا الصلاة المستحبّة فقد كانت تؤدّى في البيوت، حيث وردت الروايات الكثيرة الّتي تحثّ المسلمين على تقسيم صلاتهم إلى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تُصلّى في المسجد وهي الصلاة الواجبة، وأُخرى تصلّى في البيوت، وهي الصلاة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المستشكل غفل عن نكتة أساسية ومهمّة وهي أنّ بيوت الأنبياء والأئمّة والصالحين لا تقلّ عن المساجد في التسبيح والتهليل، فإنّهم عليهم السلام فيها بين قائم وراكع وساجد، وذاكر وقارئ للقرآن آناء الليل وأطراف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نرفع الشكّ والوهم عن أذهان البعض حول الرأي الّذي ذكرناه، نذكر نماذج من الروايات الّتي وردت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عقد مسلم في صحيحه باباً لاستحباب إقامة النافلة في البيوت، روى فيه الأحاديث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من صلاتكم في بيوتكم ولا تتّخذوها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بيوتكم ولا تتّخذوها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الصلاة في مسجده فليجعل لبيته نصيباً من صلاته، فإنّ اللّه جاعل في بيته من صلاته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البيت الّذي يذكر اللّه فيه والبيت الّذي لا يذكر اللّه فيه مثل الحيّ والميّت</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ثابت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بالصلاة في بيوتكم، فإنّ خير</w:t>
      </w:r>
    </w:p>
    <w:p>
      <w:pPr>
        <w:pStyle w:val="BookText"/>
        <w:rPr/>
      </w:pPr>
      <w:r>
        <w:rPr>
          <w:rFonts w:ascii="Amiri" w:hAnsi="Amiri" w:eastAsia="Amiri" w:cs="Amiri"/>
          <w:color w:val="111111"/>
          <w:sz w:val="28"/>
          <w:sz w:val="28"/>
          <w:szCs w:val="28"/>
          <w:rtl w:val="true"/>
          <w:lang w:bidi="ar-SA"/>
        </w:rPr>
        <w:t>صلاة المرء في بيته، إلّاالصلاة المكتوبة</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أنّ عبداللّه بن سعد سأل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بيتي أو الصلاة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ترى ما أقرب بيتي من المسجد، ولئن أُصلّي في بيتي أحبّ إليّ من أن أُصلّي في المسجد إلّاأن تكون صلاة مكتوبة</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فهذه القرائن المؤكّدة ترفع الستار عن وجه المعنى؛ فإنّ المراد من الآية هو بيوت الأنبياء وبيوت النبيّ الأكرم صلى الله عليه و آله و سلم وبيت علي عليه السلام وما ضاهاها، فهذه البيوت لها شأنها الخاص؛ لأنّها تخصُّ رجالاً يُسبّحونه ليلاً ونهاراً، غُدّوّاً وآصالاً، يَعيش فيها رجال لا تُلهيهم تجارةٌ ولا بيع عن ذكر اللّه وإقام الصلاة وإيتاء الزكاة، وقلوبهم مليئة بالخوف من يوم تتقلّب فيه القلوب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نقدّم لكم أفضل التحيّات ولمن حولكم من الأعزاء الّذي يشاركونكم في هذا الجهد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الحرام</w:t>
      </w:r>
    </w:p>
    <w:p>
      <w:pPr>
        <w:pStyle w:val="BookText"/>
        <w:rPr/>
      </w:pPr>
      <w:r>
        <w:rPr>
          <w:rFonts w:ascii="IRNazanin" w:hAnsi="IRNazanin" w:eastAsia="IRNazanin"/>
          <w:color w:val="111111"/>
          <w:sz w:val="28"/>
          <w:sz w:val="28"/>
          <w:szCs w:val="28"/>
          <w:rtl w:val="true"/>
          <w:lang w:bidi="fa-IR"/>
        </w:rPr>
        <w:t>الموافق</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98" w:name="pg16780_177694"/>
    </w:p>
    <w:p>
      <w:pPr>
        <w:pStyle w:val="Heading3"/>
        <w:numPr>
          <w:ilvl w:val="2"/>
          <w:numId w:val="1"/>
        </w:numPr>
        <w:rPr/>
      </w:pPr>
      <w:bookmarkStart w:id="1099" w:name="__RefHeading___Toc7190285_73709187"/>
      <w:bookmarkStart w:id="1100" w:name="_Toc416"/>
      <w:bookmarkEnd w:id="1098"/>
      <w:bookmarkEnd w:id="1099"/>
      <w:r>
        <w:rPr/>
        <w:t>5</w:t>
      </w:r>
      <w:r>
        <w:rPr>
          <w:rtl w:val="true"/>
        </w:rPr>
        <w:t xml:space="preserve"> </w:t>
      </w:r>
      <w:r>
        <w:rPr>
          <w:rtl w:val="true"/>
        </w:rPr>
        <w:t>أنواع التحديث والمسند بينها</w:t>
      </w:r>
      <w:bookmarkEnd w:id="1100"/>
    </w:p>
    <w:p>
      <w:pPr>
        <w:pStyle w:val="BookText"/>
        <w:rPr/>
      </w:pPr>
      <w:r>
        <w:rPr>
          <w:rFonts w:ascii="Amiri" w:hAnsi="Amiri" w:eastAsia="Amiri" w:cs="Amiri"/>
          <w:color w:val="111111"/>
          <w:sz w:val="28"/>
          <w:sz w:val="28"/>
          <w:szCs w:val="28"/>
          <w:rtl w:val="true"/>
          <w:lang w:bidi="ar-SA"/>
        </w:rPr>
        <w:t>كثرت المدوّنات الحديثية وتنوّعت بين مسند ومعجم وجامع وسنن وصحاح، فإذا كانت الأحاديث مدوّنة باسم صحابي أو تابعي أو راوي فيترجم بالمسند، مقابل تدوينه على الأبواب حيث يرتّب المحدّث كتابه على الموضوعات، والموضوع الواحد يتناول موضوعات جزئية، وتحت كلّ موضوع جزئي أحاديث توضّح الموضوع، وكلامنا في المقام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التأليف على نمط المسند في العصور الأُولى فروايات كلّ صحابي أو تابعي إذا جمعت في كتاب واحد،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لفيف من المحدّثين القدامى بتدوين الحديث على هذا النحو، ولنذكر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أمير المؤمنين عليه السلام لأبي أحمد عبدالعزيز بن يحيى الجلودي شيخ جعفر بن قولويه الّذي توفّي عام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عباس له أيضاً</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عبدالعزيز بن إسحاق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زيد أبو خالد عمرو بن خالد الواسطي</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وقد ذكر النجاشي سنده إلى عمرو بن خالد الواسطي الّذي كان زيدياً</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عبداللّه بن بكير بن أعين، جمعه أبو العباس أحمد بن عقدة الهمداني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ممّا ذكره البحّاثة الكبير شيخنا المجيز الطهراني في الذريعة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وهنا نكتة خاصّة وهي أنّ الأُصول الأربعمائة لأربعمائة محدّث الّتي أُلفت في عصر أئمة أهل البيت عليهم السلام تعدّ كلّها من المسانيد، فكلّ مَن تشرّف أو تتلمذ على يدي أحد أئمة أهل البيت عليهم السلام فقد جمع ما سمعه منه مباشرة أو بواسطة واحدة، جمعه في كتاب واحد سميّ بالأصل، وهي بالحقيقة مسانيد، فلو قلنا بأنّ للشيعة السهم الأوفر في تأليف المسانيد، لم يكن أمراً بعيدأً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خدم حديث أئمة أهل البيت عليهم السلام وأناخ راحلته على أعتابهم هو المحدّث الكبير عبدالسلام بن صالح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فقد كان الرجل من أقطاب الحديث وعباقرة الكلام، فقد عاصر الإمام الرضا عليه السلام وكتب شيئاً كثيراً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الماثل بين يدي القارئ قد بذل مؤلّفه جهداً حثيثاً في جمع ما رواه أبو الصلت عن الإمام الرضا عليه السلام وغيره من أئمة أهل البيت عليهم السلام في أبواب مختلفة، فحقّ له أن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نقدّم شكرنا ودعاءنا للعلّامة الشيخ محمد حسن الرباني البيرجندي حفظه اللّه تعالى إذ قام بهذا العمل القيّم بوجه رائع</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إنّا نقدّم خالص الشكر والتقدير لشيخنا الفاضل حجّة الإسلام</w:t>
      </w:r>
    </w:p>
    <w:p>
      <w:pPr>
        <w:pStyle w:val="BookText"/>
        <w:rPr/>
      </w:pPr>
      <w:r>
        <w:rPr>
          <w:rFonts w:ascii="IRNazanin" w:hAnsi="IRNazanin" w:eastAsia="IRNazanin"/>
          <w:color w:val="111111"/>
          <w:sz w:val="28"/>
          <w:sz w:val="28"/>
          <w:szCs w:val="28"/>
          <w:rtl w:val="true"/>
          <w:lang w:bidi="fa-IR"/>
        </w:rPr>
        <w:t>الگنابادي دامت معاليه مسؤول مديرية الأوقاف في محافظة خراسان الرضوي، حيث حثّ على تأليف هذا المسند، كما أشرف على تجديد بناء مقبرة الشيخ الراحل أبي الصلت وما حولها بأفضل وجه، وبذلك أدّى واجبه بحقّ من خدم علوم أهل البيت عليهم السلام بقلمه وبنانه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 نحن نفسح المجال لمؤلّف المسند ليحدثنا عن تاريخ كتابة المسند وما قام به المحدّث أبو الصلت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اللّه الجميع لخدمة العلم والحديث</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القعدة الحرام</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ميلاد الإمام الرضا عليه السلام من شهور عام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101" w:name="pg16780_177700"/>
    </w:p>
    <w:p>
      <w:pPr>
        <w:pStyle w:val="Heading3"/>
        <w:numPr>
          <w:ilvl w:val="2"/>
          <w:numId w:val="1"/>
        </w:numPr>
        <w:rPr/>
      </w:pPr>
      <w:bookmarkStart w:id="1102" w:name="__RefHeading___Toc7190287_73709187"/>
      <w:bookmarkStart w:id="1103" w:name="_Toc417"/>
      <w:bookmarkEnd w:id="1101"/>
      <w:bookmarkEnd w:id="1102"/>
      <w:r>
        <w:rPr/>
        <w:t>6</w:t>
      </w:r>
      <w:r>
        <w:rPr>
          <w:rtl w:val="true"/>
        </w:rPr>
        <w:t xml:space="preserve"> </w:t>
      </w:r>
      <w:r>
        <w:rPr>
          <w:rtl w:val="true"/>
        </w:rPr>
        <w:t xml:space="preserve">آية اللّه الحائري مظهر الفضيلة والتقى </w:t>
      </w:r>
      <w:r>
        <w:rPr>
          <w:rtl w:val="true"/>
        </w:rPr>
        <w:t>(</w:t>
      </w:r>
      <w:r>
        <w:rPr/>
        <w:t>1334</w:t>
      </w:r>
      <w:r>
        <w:rPr>
          <w:rtl w:val="true"/>
        </w:rPr>
        <w:t>-</w:t>
      </w:r>
      <w:r>
        <w:rPr/>
        <w:t>1406</w:t>
      </w:r>
      <w:r>
        <w:rPr>
          <w:rtl w:val="true"/>
        </w:rPr>
        <w:t xml:space="preserve"> </w:t>
      </w:r>
      <w:r>
        <w:rPr>
          <w:rtl w:val="true"/>
        </w:rPr>
        <w:t>ه‍</w:t>
      </w:r>
      <w:r>
        <w:rPr>
          <w:rtl w:val="true"/>
        </w:rPr>
        <w:t>)</w:t>
      </w:r>
      <w:bookmarkEnd w:id="1103"/>
    </w:p>
    <w:p>
      <w:pPr>
        <w:pStyle w:val="Heading4"/>
        <w:numPr>
          <w:ilvl w:val="3"/>
          <w:numId w:val="1"/>
        </w:numPr>
        <w:rPr/>
      </w:pPr>
      <w:bookmarkStart w:id="1104" w:name="__RefHeading___Toc7190289_73709187"/>
      <w:bookmarkStart w:id="1105" w:name="_Toc418"/>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إنّ كثيراً من الناس ممّن يطوي الزمان ذكرَهم ويلفّهم رداء النسيان والاندثار، فلا تسمع لهم ذكر ولا تحس لهم أثراً، يخرجون من الدنيا وكأنّهم لم يعيشوا فيها ولم يشاركوا في حوادثها، فلم تجد لهم بصمة أو أثراً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هؤلاء هناك طائفة أُخرى من الرجال النموذجيين، لا تسمح لعواصف الدهر بإحناء قامتها ولا لغيومه بحجب نورها ولا لتقلبات الحوادث بمحو اسمها من عَلى صعيد الحياة الوسيعة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بقاء هذه النفوس الزكية هو ما حققوا من صلابة إيمان ورسوخ عقيدة وتجذّر معرفة، وروح امتزجت مع أسمى مظاهر التقى والفضل والخلق الرفيع، وأسدت للبشرية خدمات جليلة، مكنتها من تجاوز الحدود، والنفوذ إلى عمق الوجدان البشري، متسنمة بذلك ذروة العلياء، راكبة صهوة جياد العزّ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الرجال الكبار آية اللّه الحاج الشيخ مرتضى الحائري النجل الأكبر لزعيم ومؤسس الحوزة العلمية في قم المقدسة آية اللّه العظمى الحاج عبدالكريم الحائري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الامثل والفرد النادر من الرجال الّذين جمعوا بين شرف المَحْتِد، وأصالة المنشأ، وكرم المَولد، وبين عزّة النفس وعلو الهمّة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يأبى إلّاأن يضيف إلى كرم والده كرماً، وإلى مجده مجداً، وإلى عزه عزّاً</w:t>
      </w:r>
      <w:r>
        <w:rPr>
          <w:rFonts w:eastAsia="Amiri" w:cs="Amiri" w:ascii="Amiri" w:hAnsi="Amiri"/>
          <w:color w:val="111111"/>
          <w:sz w:val="28"/>
          <w:szCs w:val="28"/>
          <w:rtl w:val="true"/>
          <w:lang w:bidi="ar-SA"/>
        </w:rPr>
        <w:t>.</w:t>
      </w:r>
      <w:bookmarkStart w:id="1106" w:name="pg16780_177702"/>
    </w:p>
    <w:p>
      <w:pPr>
        <w:pStyle w:val="BookText"/>
        <w:rPr/>
      </w:pPr>
      <w:bookmarkEnd w:id="1106"/>
      <w:r>
        <w:rPr>
          <w:rFonts w:ascii="Amiri" w:hAnsi="Amiri" w:eastAsia="Amiri" w:cs="Amiri"/>
          <w:color w:val="111111"/>
          <w:sz w:val="28"/>
          <w:sz w:val="28"/>
          <w:szCs w:val="28"/>
          <w:rtl w:val="true"/>
          <w:lang w:bidi="ar-SA"/>
        </w:rPr>
        <w:t>فكان قدس سره الفقيه الغائص في عباب بحر الفقاهة، والأُصولي المتمرّس، الممتطية سفينته أمواج الفضيلة، والتقيّ الزاهد، المتواضع بعزّ، المتزين بزينة الوقار وسيماء الصلاح</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7190291_73709187"/>
      <w:bookmarkStart w:id="1108" w:name="_Toc419"/>
      <w:bookmarkEnd w:id="1107"/>
      <w:r>
        <w:rPr>
          <w:rtl w:val="true"/>
        </w:rPr>
        <w:t>مولده</w:t>
      </w:r>
      <w:bookmarkEnd w:id="1108"/>
    </w:p>
    <w:p>
      <w:pPr>
        <w:pStyle w:val="BookText"/>
        <w:rPr/>
      </w:pPr>
      <w:r>
        <w:rPr>
          <w:rFonts w:ascii="Amiri" w:hAnsi="Amiri" w:eastAsia="Amiri" w:cs="Amiri"/>
          <w:color w:val="111111"/>
          <w:sz w:val="28"/>
          <w:sz w:val="28"/>
          <w:szCs w:val="28"/>
          <w:rtl w:val="true"/>
          <w:lang w:bidi="ar-SA"/>
        </w:rPr>
        <w:t xml:space="preserve">عمّت البهجة دار الشيخ الحائري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الرابع عشر من ذي الحجّة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بولادة أوّل الذكور من ابنائه، الّذي أبصر النور في بيت عرف بالعلم والفضيلة والأدب والتقى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يبلغ الفقيد عقده الأوّل حتّى هبط والده المكرّم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مصطحباً أهله وتلامذته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قم المشرّفة ومثوى العلوية فاطمة بنت الإمام موسى الكاظم عليه السلام، بدعوة من بعض رجال العلم فيها رغبة في تنظيم أمرها وإعادة مجدها، ومنذ ذلك اليوم الّذي وطأتْ قدمه تراب تلك المدينة المقدّسة، حتّى شمّر عن ساعد الجد في طلب العلم وتحصيل المعارف ابتداء بعلوم اللغة العربية ومروراً بالفقه والأُصول متتلمذاً في مرحلة السطوح العالية على يد كبار تلامذة أبيه رحمه الله، حيث قرأ فرائد الشيخ الأعظم الأنصاري على السيد آية اللّه الگلپايگاني والمكاسب على يد آية اللّه السيد محمد تقي الخوانساري، وكفاية الأُصول على المرحوم آية اللّه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أهلّته تلك المواهب لحضور حلقة أبحاث الخارج لوالده آية اللّه العظمى الشيخ الحائري منتهلاً من نمير علمه، ومرتوياً من منهله العذب الّذي تعدّ الحوزة العلمية القمية اليوم إحدى اشعاعات نوره الوضاح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رحيل شيخه الوالد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يمّم وجهه صوب حلقات درس منارة العلم والتقى آية اللّه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مغترفاً من بحره الفيّاض</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أطل العام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 حتّى استنارت</w:t>
      </w:r>
      <w:bookmarkStart w:id="1109" w:name="pg16780_177704"/>
    </w:p>
    <w:p>
      <w:pPr>
        <w:pStyle w:val="BookText"/>
        <w:rPr/>
      </w:pPr>
      <w:bookmarkEnd w:id="1109"/>
      <w:r>
        <w:rPr>
          <w:rFonts w:ascii="Amiri" w:hAnsi="Amiri" w:eastAsia="Amiri" w:cs="Amiri"/>
          <w:color w:val="111111"/>
          <w:sz w:val="28"/>
          <w:sz w:val="28"/>
          <w:szCs w:val="28"/>
          <w:rtl w:val="true"/>
          <w:lang w:bidi="ar-SA"/>
        </w:rPr>
        <w:t>سماء الحوزة القمية بضياء المرجع الكبير المرحوم السيد آية اللّه العظمى البروجردي قدس سره بطلب من علمائها وفضلائها، والأُمّة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احدث في الحوزة تحوّلاً كبيراً في عامّة المعارف وفي مجالي الفقه والأُصول خاصّة، وكان لعلم الرجال نصيبه الوافر من عطاء ذلك الرجل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وانتهز شيخنا الفقيد الفرصة والتحق بدروس السيد البروجردي الّذي يعود إليه الفضل الأكبر في تشييد عماد شخصية الشيخ الحائري العلمية في الفقه والأُصول وتدعيم أُسسها</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7190293_73709187"/>
      <w:bookmarkStart w:id="1111" w:name="_Toc420"/>
      <w:bookmarkEnd w:id="1110"/>
      <w:r>
        <w:rPr>
          <w:rtl w:val="true"/>
        </w:rPr>
        <w:t>حلقات درسه</w:t>
      </w:r>
      <w:bookmarkEnd w:id="1111"/>
    </w:p>
    <w:p>
      <w:pPr>
        <w:pStyle w:val="BookText"/>
        <w:rPr/>
      </w:pPr>
      <w:r>
        <w:rPr>
          <w:rFonts w:ascii="Amiri" w:hAnsi="Amiri" w:eastAsia="Amiri" w:cs="Amiri"/>
          <w:color w:val="111111"/>
          <w:sz w:val="28"/>
          <w:sz w:val="28"/>
          <w:szCs w:val="28"/>
          <w:rtl w:val="true"/>
          <w:lang w:bidi="ar-SA"/>
        </w:rPr>
        <w:t>لا ريب أن الفقيد كان من المشايخ المبرزين والأساتذة الماهرين والاعلام المتضلعين حيث خاض عباب التدريس في مرحلة الشباب لم يتجاوز العقد الثالث من العمر بشيء حتّى تصدّى لعقد حلقات ابحاث الخارج الّتي استطاعت أن تربّي جيلاً من الفضلاء ورجال العلم والسياسة في الحوزة العلمية ممّن أخذوا من بيدر علمه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حلقة درسه حلقة متميّزة، وعرف بحثه بالدقة والعمق، وقد استمر عطاؤه وحلقة دروسه العليا أكثر من ثلاثين عاماً، ولم يتوقف عن الفيض والعطاء إلى الأيام الاخيرة الّتي اشتدّت فيها علته</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7190295_73709187"/>
      <w:bookmarkStart w:id="1113" w:name="_Toc421"/>
      <w:bookmarkEnd w:id="1112"/>
      <w:r>
        <w:rPr>
          <w:rtl w:val="true"/>
        </w:rPr>
        <w:t>انتاجاته العلمية</w:t>
      </w:r>
      <w:bookmarkEnd w:id="1113"/>
    </w:p>
    <w:p>
      <w:pPr>
        <w:pStyle w:val="BookText"/>
        <w:rPr/>
      </w:pPr>
      <w:r>
        <w:rPr>
          <w:rFonts w:ascii="Amiri" w:hAnsi="Amiri" w:eastAsia="Amiri" w:cs="Amiri"/>
          <w:color w:val="111111"/>
          <w:sz w:val="28"/>
          <w:sz w:val="28"/>
          <w:szCs w:val="28"/>
          <w:rtl w:val="true"/>
          <w:lang w:bidi="ar-SA"/>
        </w:rPr>
        <w:t>أثرى الفقيه المكتبة الإسلامية بمؤلفات هي غاية من الأهمية والجودة طبع البعض منها وما زال الكثير منها مخطوطات لم تبصر النور بعد،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العروة الوثقى‌، في ستة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مباني الأحكام في أُصول شرائع الإسلام، في ثلاثة أجزاء</w:t>
      </w:r>
      <w:r>
        <w:rPr>
          <w:rFonts w:eastAsia="Amiri" w:cs="Amiri" w:ascii="Amiri" w:hAnsi="Amiri"/>
          <w:color w:val="111111"/>
          <w:sz w:val="28"/>
          <w:szCs w:val="28"/>
          <w:rtl w:val="true"/>
          <w:lang w:bidi="ar-SA"/>
        </w:rPr>
        <w:t>.</w:t>
      </w:r>
      <w:bookmarkStart w:id="1114" w:name="pg16780_177706"/>
    </w:p>
    <w:p>
      <w:pPr>
        <w:pStyle w:val="BookText"/>
        <w:rPr/>
      </w:pPr>
      <w:bookmarkEnd w:id="11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خلل الصلاة وأحكامها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الكتب المطبوعة من آثاره، وأما ما لم يطبع فهو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ابتغاء الفضيلة في شرح الوسيلة، في خمسة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مكاسب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حول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وللفقيد رسالة في العقائد مطبوعة، وله أيضاً تفاسير لبعض السور، رحمه اللّه من مؤلف ثرّ أغنى المكتبة الإسلامية بذخائر قيّمة</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7190297_73709187"/>
      <w:bookmarkStart w:id="1116" w:name="_Toc422"/>
      <w:bookmarkEnd w:id="1115"/>
      <w:r>
        <w:rPr>
          <w:rtl w:val="true"/>
        </w:rPr>
        <w:t>الخدمات الاجتماعية</w:t>
      </w:r>
      <w:bookmarkEnd w:id="1116"/>
    </w:p>
    <w:p>
      <w:pPr>
        <w:pStyle w:val="BookText"/>
        <w:rPr/>
      </w:pPr>
      <w:r>
        <w:rPr>
          <w:rFonts w:ascii="Amiri" w:hAnsi="Amiri" w:eastAsia="Amiri" w:cs="Amiri"/>
          <w:color w:val="111111"/>
          <w:sz w:val="28"/>
          <w:sz w:val="28"/>
          <w:szCs w:val="28"/>
          <w:rtl w:val="true"/>
          <w:lang w:bidi="ar-SA"/>
        </w:rPr>
        <w:t>ورث الفقيد من والده المعظّم الشيخ عبد الكريم الحائري طهارة الروح، وصفاء الباطن، فكان لطيف العشرة، ليّن العريكة، زاهداً في حطام الدنيا وزخارفها، جامعاً بين رتبتي العلم والعمل، مشفقاً على الفقراء والضعفاء، ولتحقيق هدفه الأمثل هذا قام بتشييد الكثير من المؤسسات في قم المقدّسة لعلها تساعده في الوصول إلى مبتغاه من تقديم العون لعيال اللّه تعالى،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صندوق الادّخار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مؤسسة مكافحة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مؤسسة رعاية الأيتام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ثانوية باسم الدين والمعرفة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أسدت تلك المؤسسات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الثلاثة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جليلة نأمل أن يأتي اليوم الّذي يقوم به امناء تلك المؤسسات بنشر عطائها الثر</w:t>
      </w:r>
      <w:bookmarkStart w:id="1117" w:name="pg16780_177708"/>
    </w:p>
    <w:p>
      <w:pPr>
        <w:pStyle w:val="BookText"/>
        <w:rPr/>
      </w:pPr>
      <w:bookmarkEnd w:id="1117"/>
      <w:r>
        <w:rPr>
          <w:rFonts w:ascii="Amiri" w:hAnsi="Amiri" w:eastAsia="Amiri" w:cs="Amiri"/>
          <w:color w:val="111111"/>
          <w:sz w:val="28"/>
          <w:sz w:val="28"/>
          <w:szCs w:val="28"/>
          <w:rtl w:val="true"/>
          <w:lang w:bidi="ar-SA"/>
        </w:rPr>
        <w:t>وبيان ما قدمته من خدمات جديرة بالتقدير والذكر، لتكون مثالاً يحتذى به في التنافس في الخيرات وتقديم العون للمعوزين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الفقيد السعيد لم يغفل لحظة عن العطاء العلمي بالتدريس والإفاضة والإرشاد، وتلك حقيقة يلمسها بوضوح كل من عاشر الفقيد أو عاش بالقرب منه</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7190299_73709187"/>
      <w:bookmarkStart w:id="1119" w:name="_Toc423"/>
      <w:bookmarkEnd w:id="1118"/>
      <w:r>
        <w:rPr>
          <w:rtl w:val="true"/>
        </w:rPr>
        <w:t>إنعكاسات ارتحال الفقيد وردود الفعل</w:t>
      </w:r>
      <w:bookmarkEnd w:id="1119"/>
    </w:p>
    <w:p>
      <w:pPr>
        <w:pStyle w:val="BookText"/>
        <w:rPr/>
      </w:pPr>
      <w:r>
        <w:rPr>
          <w:rFonts w:ascii="Amiri" w:hAnsi="Amiri" w:eastAsia="Amiri" w:cs="Amiri"/>
          <w:color w:val="111111"/>
          <w:sz w:val="28"/>
          <w:sz w:val="28"/>
          <w:szCs w:val="28"/>
          <w:rtl w:val="true"/>
          <w:lang w:bidi="ar-SA"/>
        </w:rPr>
        <w:t>عمّ خبر رحيل آية اللّه الحائري جميع البلاد وكساها بثوب من الحزن والأسى، وقد تقاطرت جموع غفيرة من المؤمنين من داخل مدينة قم وخارجها متوافدة على بيت الفقيد لتقدّم العزاء وتشترك بتشييع جسده الطاهر بمظاهرة حاشدة وروحية ذكرّت الجميعَ بتشييع مراجع الدين الكبار كالسيد البروجردي وآية اللّه السيد محمد تقي الخوانساري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حمل الجسد الشريف على الاكتاف صوب صحن السيدة فاطمة بنت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الجموعَ آيةُ اللّه العظمى السيد الگلپايگاني للصلاة على الفقيد، بعدها ووري جثمانه الثرى بالقرب من والده رحمه الله وكأنهم أودعوا الثرى بدفنه جبلاً من الفقاهة وطوداً من المعرفة والعلم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واقيمت له مجالس العزاء في شتى ربوعها وعطّل الاعلامُ والمراجعُ حلقاتِ دروسهم وفاءً لحقّه واداءً لجميل احسانه وعظيم صفاته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ومهما تحدّثنا عن مآثر الفقيد وصفاته لم نؤد حقه، ومن هنا نرى من المناسب الاشارة إلى تأبين السيد الإمام الخميني قدس سره له أداء لحقّه وتعويضاً عما فاتنا</w:t>
      </w:r>
      <w:r>
        <w:rPr>
          <w:rFonts w:eastAsia="Amiri" w:cs="Amiri" w:ascii="Amiri" w:hAnsi="Amiri"/>
          <w:color w:val="111111"/>
          <w:sz w:val="28"/>
          <w:szCs w:val="28"/>
          <w:rtl w:val="true"/>
          <w:lang w:bidi="ar-SA"/>
        </w:rPr>
        <w:t>.</w:t>
      </w:r>
      <w:bookmarkStart w:id="1120" w:name="pg16780_177710"/>
    </w:p>
    <w:p>
      <w:pPr>
        <w:pStyle w:val="Heading4"/>
        <w:numPr>
          <w:ilvl w:val="3"/>
          <w:numId w:val="1"/>
        </w:numPr>
        <w:rPr/>
      </w:pPr>
      <w:bookmarkStart w:id="1121" w:name="__RefHeading___Toc7190301_73709187"/>
      <w:bookmarkStart w:id="1122" w:name="_Toc424"/>
      <w:bookmarkEnd w:id="1120"/>
      <w:bookmarkEnd w:id="1121"/>
      <w:r>
        <w:rPr>
          <w:rtl w:val="true"/>
        </w:rPr>
        <w:t>تأبين السيد الإمام الخميني</w:t>
      </w:r>
      <w:bookmarkEnd w:id="1122"/>
    </w:p>
    <w:p>
      <w:pPr>
        <w:pStyle w:val="BookText"/>
        <w:rPr/>
      </w:pPr>
      <w:r>
        <w:rPr>
          <w:rFonts w:ascii="Amiri" w:hAnsi="Amiri" w:eastAsia="Amiri" w:cs="Amiri"/>
          <w:color w:val="111111"/>
          <w:sz w:val="28"/>
          <w:sz w:val="28"/>
          <w:szCs w:val="28"/>
          <w:rtl w:val="true"/>
          <w:lang w:bidi="ar-SA"/>
        </w:rPr>
        <w:t>أصدر الإمام الخميني قدس سره بياناً نعى فيه إلى الشعب الإيراني رحيل الشيخ الحائري،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لِلّهِ وَ إِنّا إِلَيْهِ راجِعُونَ‌</w:t>
      </w:r>
    </w:p>
    <w:p>
      <w:pPr>
        <w:pStyle w:val="BookText"/>
        <w:rPr/>
      </w:pPr>
      <w:r>
        <w:rPr>
          <w:rFonts w:ascii="Amiri" w:hAnsi="Amiri" w:eastAsia="Amiri" w:cs="Amiri"/>
          <w:color w:val="111111"/>
          <w:sz w:val="28"/>
          <w:sz w:val="28"/>
          <w:szCs w:val="28"/>
          <w:rtl w:val="true"/>
          <w:lang w:bidi="ar-SA"/>
        </w:rPr>
        <w:t xml:space="preserve">أدّت رحلة سماحة آية اللّه الحاج مرتضى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تأثرنا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الخلف الصالح للمرحوم الجليل آية اللّه العظمى الأستاذ الحاج الشيخ عبدالكريم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والعمل وكفى به شَرفاً وسَعادة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لي المعرفة به منذ أوائل تأسيس الحوزة العلمية المباركة في قم، حيث تأسست على يد والده الكريم وآتت ثمارها وبركاتها، ثم أصبح بعد ذلك صديقاً حميماً ومقرباً، ولم أشاهد منه طيلة فترة معاشرتي له سوى الخير والسعي لانجاز التكاليف العلمية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المرحوم يتمتع بصفاء القلب فضلاً عن المنزلة الفقهية والعدالة، وكان من رواد هذه الثورة المقدّسة منذ بزوغ شمسها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نقدّم ثناءنا العطر للعلّامة الحجّة الشيخ محمد حسين أمراللهي حفظه اللّه تعالى حيث كرّس حياته وكلّ جهوده في تحقيق آثار الفقيد، ونشرها بأفضل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اشرنا إلى ما هو المطبوع بفضل سعيه الحثيث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اللّه عن ذلك العمل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من ذي الحجة عام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123" w:name="pg16780_177711"/>
    </w:p>
    <w:p>
      <w:pPr>
        <w:pStyle w:val="Heading3"/>
        <w:numPr>
          <w:ilvl w:val="2"/>
          <w:numId w:val="1"/>
        </w:numPr>
        <w:rPr/>
      </w:pPr>
      <w:bookmarkStart w:id="1124" w:name="__RefHeading___Toc7190303_73709187"/>
      <w:bookmarkStart w:id="1125" w:name="_Toc425"/>
      <w:bookmarkEnd w:id="1123"/>
      <w:bookmarkEnd w:id="1124"/>
      <w:r>
        <w:rPr/>
        <w:t>7</w:t>
      </w:r>
      <w:r>
        <w:rPr>
          <w:rtl w:val="true"/>
        </w:rPr>
        <w:t xml:space="preserve"> </w:t>
      </w:r>
      <w:r>
        <w:rPr>
          <w:rtl w:val="true"/>
        </w:rPr>
        <w:t>كلمة إلى مهرجان ربيع الشهادة الثقافي العالمي</w:t>
      </w:r>
      <w:bookmarkEnd w:id="1125"/>
    </w:p>
    <w:p>
      <w:pPr>
        <w:pStyle w:val="Heading4"/>
        <w:numPr>
          <w:ilvl w:val="3"/>
          <w:numId w:val="1"/>
        </w:numPr>
        <w:rPr/>
      </w:pPr>
      <w:bookmarkStart w:id="1126" w:name="__RefHeading___Toc7190305_73709187"/>
      <w:bookmarkStart w:id="1127" w:name="_Toc426"/>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وأُصلّي وأُسلّم على ريحانة رسول اللّه الحسين بن علي، وأخيه الوفي أبي الفضل العباس، وولده الإمام الطاهر زين العابدين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نتقدّم بأصدق التهاني وأخلص التبريكات إلى كافّة المسلمين في أرجاء العالم، وإلى حضّار هذا المهرجان الكريم والأُخوة المشرفين، حفظهم اللّه تعالى ووفّقهم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نتقدّم بالثناء والتقدير إلى الإخوة في الأمانتين العامّتين للعتبتين المقدّستين الحسينية والعبّاسية الّذين أشرفوا على إقامة هذا المهرجان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إذ أشكرهم على توجيه الدعوة لي لحضور المهرجان إلّاأنّ مسؤوليتنا وظروفنا منعتنا عن ذلك، ولذا فنحن نكتفي بالمشاركة بهذه الكلمة الّتي يحملها وفد كريم من جانبنا</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7190307_73709187"/>
      <w:bookmarkStart w:id="1129" w:name="_Toc427"/>
      <w:bookmarkEnd w:id="1128"/>
      <w:r>
        <w:rPr>
          <w:rtl w:val="true"/>
        </w:rPr>
        <w:t>الاحتفال بمواليد أولياء اللّه من صميم الدين</w:t>
      </w:r>
      <w:bookmarkEnd w:id="112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يطالع التاريخ الإسلامي يقف على أنّ المسلمين في شتّى بلدانهم كانوا يحيون، ومنذ زمن بعيد، ذكرى مولد الرسول الأكرم صلى الله عليه و آله و سلم حيث يعتلي الخطباء والمحدّثون في هذه المناسبة، المنابر ومنصّات الخطابة لبيان فضائله ومناقبه وذكر الثناء الوارد بحقّه في القرآن الكريم إلى غير ذلك من جوانب</w:t>
      </w:r>
      <w:bookmarkStart w:id="1130" w:name="pg16780_177713"/>
    </w:p>
    <w:p>
      <w:pPr>
        <w:pStyle w:val="BookText"/>
        <w:rPr/>
      </w:pPr>
      <w:bookmarkEnd w:id="1130"/>
      <w:r>
        <w:rPr>
          <w:rFonts w:ascii="Amiri" w:hAnsi="Amiri" w:eastAsia="Amiri" w:cs="Amiri"/>
          <w:color w:val="111111"/>
          <w:sz w:val="28"/>
          <w:sz w:val="28"/>
          <w:szCs w:val="28"/>
          <w:rtl w:val="true"/>
          <w:lang w:bidi="ar-SA"/>
        </w:rPr>
        <w:t>حياته، وهم ينطلقون في عملهم هذا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حيث تدلّ الآية على أنّ رفع ذكر رسول اللّه صلى الله عليه و آله و سلم أمر مطلوب، فالاحتفال يكون تجسيداً لمفهوم هذه الآية</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7190309_73709187"/>
      <w:bookmarkStart w:id="1132" w:name="_Toc428"/>
      <w:bookmarkEnd w:id="1131"/>
      <w:r>
        <w:rPr>
          <w:rtl w:val="true"/>
        </w:rPr>
        <w:t>الاحتفال بذكرى الأئمّة عليهم السلام تجسيد للمودّة</w:t>
      </w:r>
      <w:bookmarkEnd w:id="1132"/>
    </w:p>
    <w:p>
      <w:pPr>
        <w:pStyle w:val="BookText"/>
        <w:rPr/>
      </w:pPr>
      <w:r>
        <w:rPr>
          <w:rFonts w:ascii="Amiri" w:hAnsi="Amiri" w:eastAsia="Amiri" w:cs="Amiri"/>
          <w:color w:val="111111"/>
          <w:sz w:val="28"/>
          <w:sz w:val="28"/>
          <w:szCs w:val="28"/>
          <w:rtl w:val="true"/>
          <w:lang w:bidi="ar-SA"/>
        </w:rPr>
        <w:t>أمر اللّه تعالى المسلمين بمودّة ذوي القربى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فمودّتهم تتمثّل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سبيلهم، سبيل الهدى والخير، والاقتداء بما تحلَّوا من فضائل الأخلاق وسَنيّ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أمرهم بمختلف الوسائل، ومنها إقامة الاحتفالات بمناسبة مواليدهم إظهاراً للحبّ وتعبيراً عن مدى الولاء والإخلاص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المهرجان تجسيد لرفع ذكر النبيّ صلى الله عليه و آله و سلم أوّلاً وإظهار لحب أولاده وأوصيائه ثانياً، خصوصاً إذا كان مقروناً بإلقاء المحاضرات وإنشاد الأشعار والمدائح الّتي تلقي الضوء على سيرتهم وتضحياتهم والخطوط البارزة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السيد المسيح عليه السلام يصف يوم نزول مائدة من السماء عليه وعلى حواريّيه، يصفه بأنّه عيد لأوّلهم وآخرهم،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 .</w:t>
      </w:r>
      <w:r>
        <w:rPr>
          <w:rStyle w:val="FootnoteAnchor"/>
          <w:rtl w:val="true"/>
        </w:rPr>
        <w:footnoteReference w:id="1077"/>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فالسيد المسيح عليه السلام يحتفل بنزول نعمة مادّية أنزلها اللّه إليه من السماء،</w:t>
      </w:r>
      <w:bookmarkStart w:id="1133" w:name="pg16780_177715"/>
    </w:p>
    <w:p>
      <w:pPr>
        <w:pStyle w:val="BookText"/>
        <w:rPr/>
      </w:pPr>
      <w:bookmarkEnd w:id="1133"/>
      <w:r>
        <w:rPr>
          <w:rFonts w:ascii="Amiri" w:hAnsi="Amiri" w:eastAsia="Amiri" w:cs="Amiri"/>
          <w:color w:val="111111"/>
          <w:sz w:val="28"/>
          <w:sz w:val="28"/>
          <w:szCs w:val="28"/>
          <w:rtl w:val="true"/>
          <w:lang w:bidi="ar-SA"/>
        </w:rPr>
        <w:t>أفلا يحق لنا أن نحتفل ابتهاجاً بالنعم الكُبرى الّتي أفاضها اللّه تعالى على الأُمّة الإسلامية كميلاد النبيّ الأكرم صلى الله عليه و آله و سلم أو مبعثه الشريف، أو مواليد ذريته الطيبة عليهم السلام الّذين ضحّوا بنفوسهم ونفيسهم في طريق الدعوة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نحتفل فيه بهذه المناسبات العطرة ونُسرّ بها، فإنّ الحزن لا يفارق قلوبنا لما يمر على الأُمّة الإسلامية من آلام ومصائب، واعتداءات سافرة على الأطفال والنساء والشيوخ، ترتكبها زُمر تكفيرية إرهابية، بتخطيط وتدبير من أجهزة المخابرات الغربية والدوائر الصهيونية العالمية، مستهدفة تقسيم البلدان الإسلامية، ونشر الفوضى والخراب فيها، وإشغال المسلمين بعضهم ببعض في صراعات محتدمة، لضمان أمن دويلة إسرائيل الغاصبة واستقرارها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نهيب بأصحاب الضمائر الحيّة، والغَيارى على دينهم ومقدّساتهم وأوطانهم أن يتحمّلوا مسؤوليتهم بعزمٍ وجدّ في هذه الظروف الحرجة، وأن يقفوا في وجه الدعايات الخادعة الّتي تطرحها القنوات الفضائية المأجورة الّتي تُدار من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 واقعاً والشرقية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ويفضحوا دورها في تكريس الشقاق والخلاف بين المسلمين، ومباركة الممارسات الإجرامية للمجموعات الإرهابية</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7190311_73709187"/>
      <w:bookmarkStart w:id="1135" w:name="_Toc429"/>
      <w:bookmarkEnd w:id="1134"/>
      <w:r>
        <w:rPr>
          <w:rtl w:val="true"/>
        </w:rPr>
        <w:t>وختاماً</w:t>
      </w:r>
      <w:bookmarkEnd w:id="1135"/>
    </w:p>
    <w:p>
      <w:pPr>
        <w:pStyle w:val="BookText"/>
        <w:rPr/>
      </w:pPr>
      <w:r>
        <w:rPr>
          <w:rFonts w:ascii="Amiri" w:hAnsi="Amiri" w:eastAsia="Amiri" w:cs="Amiri"/>
          <w:color w:val="111111"/>
          <w:sz w:val="28"/>
          <w:sz w:val="28"/>
          <w:szCs w:val="28"/>
          <w:rtl w:val="true"/>
          <w:lang w:bidi="ar-SA"/>
        </w:rPr>
        <w:t>أبعث تحياتي الخالصة إلى المرجعية الرشيدة الّتي حفظت هذه البلاد من التفرّق والتشرذم أمام الهجمة الإرهابية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أُحيّي الشعب العراقي النجيب بكافّة طوائفه، وأُوصيهم بالالتفاف حول القرآن الكريم والسنّة النبوية الشريفة وتعاليم العترة الطاهرة، وأن يكونوا يداً واحدة في مواجهة العدو الغاشم ويحافظوا على ثقافتهم الإسلامية، وخيرات</w:t>
      </w:r>
    </w:p>
    <w:p>
      <w:pPr>
        <w:pStyle w:val="BookText"/>
        <w:rPr/>
      </w:pPr>
      <w:r>
        <w:rPr>
          <w:rFonts w:ascii="Amiri" w:hAnsi="Amiri" w:eastAsia="Amiri" w:cs="Amiri"/>
          <w:color w:val="111111"/>
          <w:sz w:val="28"/>
          <w:sz w:val="28"/>
          <w:szCs w:val="28"/>
          <w:rtl w:val="true"/>
          <w:lang w:bidi="ar-SA"/>
        </w:rPr>
        <w:t>بلادهم، ويستثمروها للبناء والرقيّ وسعادة أجيالهم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على عبادك الصالحين بالأمن والأمان، واحفظ بلادهم وأرضهم وخيراتهم من تطاول الأعداء، إنّك مجيب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136" w:name="pg16780_177719"/>
    </w:p>
    <w:p>
      <w:pPr>
        <w:pStyle w:val="Heading3"/>
        <w:numPr>
          <w:ilvl w:val="2"/>
          <w:numId w:val="1"/>
        </w:numPr>
        <w:rPr/>
      </w:pPr>
      <w:bookmarkStart w:id="1137" w:name="__RefHeading___Toc7190313_73709187"/>
      <w:bookmarkStart w:id="1138" w:name="_Toc430"/>
      <w:bookmarkEnd w:id="1136"/>
      <w:bookmarkEnd w:id="1137"/>
      <w:r>
        <w:rPr/>
        <w:t>8</w:t>
      </w:r>
      <w:r>
        <w:rPr>
          <w:rtl w:val="true"/>
        </w:rPr>
        <w:t xml:space="preserve"> </w:t>
      </w:r>
      <w:r>
        <w:rPr>
          <w:rtl w:val="true"/>
        </w:rPr>
        <w:t>بيان تعزية بمناسبة وفاة العلّامة المجاهد الشيخ محمدمهدي الآصفي رحمه الله</w:t>
      </w:r>
      <w:bookmarkEnd w:id="11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ببالغ الأسى والحزن تلقينا نبأ رحيل العلّامة المجاهد الحجّة آية اللّه الشيخ محمد مهدي الآصفي تغمده اللّه 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رحمه الله حليف العلم والقلم، ذاباً عن الإسلام وأهله ببيانه وبنانه، رادّاً على الاعوجاج والالحاد، تشهد على ذلك آثاره ومؤلفاته في شتى المواضع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جهده على تشر العلم وتوعية الأُمة، بل كان رجلاً مجاهداً، مخالطاً للمجاهدين في مواقع الجهاد، ومعيناً لهم بما في يده من الامكانات</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لاقى الفقيد العزيز في الدفاع عن دينه وابناء وطنه المصاعب والآلام الكثيرة والمضايقات من النظام الصدامي البائد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شيخنا الراحل يعيش معيشة الزاهدين مقتنعاً من الدنيا بأقلها، ومع ذلك فقد كان يخدم الأيتام والفقراء ويرعاهم ويهتم بأمور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كلّ ذلك فهو كاتب قدير، ومجاهد شجاع، وعالم عامل، وزاهد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اللّه بمستنكر أن يجمع العالم في واحد</w:t>
      </w:r>
    </w:p>
    <w:p>
      <w:pPr>
        <w:pStyle w:val="BookText"/>
        <w:rPr/>
      </w:pPr>
      <w:r>
        <w:rPr>
          <w:rFonts w:ascii="Amiri" w:hAnsi="Amiri" w:eastAsia="Amiri" w:cs="Amiri"/>
          <w:color w:val="111111"/>
          <w:sz w:val="28"/>
          <w:sz w:val="28"/>
          <w:szCs w:val="28"/>
          <w:rtl w:val="true"/>
          <w:lang w:bidi="ar-SA"/>
        </w:rPr>
        <w:t xml:space="preserve">ونحن إذ نعزي بفقده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والحوزات العلمية والمراجع العظام والشعب العراقي وبيته الرفيع، ندعو اللّه أن يمّن عليهم بالصبر والسلوان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يوم ولد ويوم توفي ويوم يبعث حيّاً مع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الحوزة العلمية</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139" w:name="pg16780_177723"/>
    </w:p>
    <w:p>
      <w:pPr>
        <w:pStyle w:val="Heading3"/>
        <w:numPr>
          <w:ilvl w:val="2"/>
          <w:numId w:val="1"/>
        </w:numPr>
        <w:rPr/>
      </w:pPr>
      <w:bookmarkStart w:id="1140" w:name="__RefHeading___Toc7190315_73709187"/>
      <w:bookmarkStart w:id="1141" w:name="_Toc431"/>
      <w:bookmarkEnd w:id="1139"/>
      <w:bookmarkEnd w:id="1140"/>
      <w:r>
        <w:rPr/>
        <w:t>9</w:t>
      </w:r>
      <w:r>
        <w:rPr>
          <w:rtl w:val="true"/>
        </w:rPr>
        <w:t xml:space="preserve"> </w:t>
      </w:r>
      <w:r>
        <w:rPr>
          <w:rtl w:val="true"/>
        </w:rPr>
        <w:t>كلمة إلى مؤتمر الوحدة الإسلامية المنعقد في طهران</w:t>
      </w:r>
      <w:bookmarkEnd w:id="1141"/>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وعلى آله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أتقدم اليكم أيها المشاركون في هذا المؤتمر المبارك من الأخوة والاخوات بمناسبة تجلّي النور في غياهب الظلمة أعني ميلاد الرسول الأكرم محمد بن عبداللّه صلى الله عليه و آله و سلم، وسبطه الإمام الصادق عليه السلام أتقدم إليكم بالتهاني العطرة، وأدعو اللّه تبارك وتعالى أن يوفقكم لما فيه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يصف رسوله الأكرم والّذين من حوله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وهذه الفقرة وردت بصورة جملة خبرية إرشاداً إلى الأمر بأن يكونوا كذلك، وقد صرّح علماء البلاغة بأن الأمر والطلب بصورة الجملة الخبرية آكد من الأمر نفسه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التكليف منذ عصر نزول الوحي إلى زماننا هذا، فهل المسلمون في كافة أرجاء العالم قائمون بتكليفهم على هذا النحو، أو أنّ الحال هو خلاف ذلك، فصار المسلمون أشدّاء على المؤمنين وربّما صار قسمٌ منهم</w:t>
      </w:r>
    </w:p>
    <w:p>
      <w:pPr>
        <w:pStyle w:val="BookText"/>
        <w:rPr/>
      </w:pPr>
      <w:r>
        <w:rPr>
          <w:rFonts w:ascii="Amiri" w:hAnsi="Amiri" w:eastAsia="Amiri" w:cs="Amiri"/>
          <w:color w:val="111111"/>
          <w:sz w:val="28"/>
          <w:sz w:val="28"/>
          <w:szCs w:val="28"/>
          <w:rtl w:val="true"/>
          <w:lang w:bidi="ar-SA"/>
        </w:rPr>
        <w:t>رحماء على الكافرين، وعلى الصهاينة الّذين يحتلّون الأرض المباركة، وينتهكون حرمة المقدّسات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انحسار مظاهر الحرب من عامّة أقطار العالم وتمركزها في البلاد الإسلامية، وأخص بالذكر العراق وسوريا واليمن وافغانستان، فكل يوم نشاهد الانفجارات وهدم المنشآت الحيوية وقتل النساء والأطفال والعُزَّل من الرجال، والدول الإسلامية تلتزم الصمت حيال هذه الجرائم، وكذلك المنظمات الدولية لا تقدّم حلّاً إلّاالاستنكار والشجب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الظروف، وقد حاق البلاء بالإسلام والمسلمين، حرّي بالمفكرين الواعين الّذين لهم حضور واسع في هذا المؤتمر أن يقدّموا حلولاً لهذه الأزمات الخانقة، وإيجاد السُّبل الكفيلة بإيقاف نزيف الدماء الّتي تسيل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وأسوأ من ذلك ظهور فئة طائشة هَوجاء ليس لها أيّ صلة بالإسلام وتشريعاته وسننه وأُصوله، تحكم باسم الإسلام، وتمارس أسوأ الأعمال الّتي لم يشهد لها التاريخ مثيلاً إلّافي العصور المظلمة والحملات الوحشية الشرسة في القرون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الإسلام يتقدّم بمنطقه القويّ وقوانينه الرصينة في مجال المعارف والاحكام والاخلاق، وكان الناس يدخلون في دين اللّه أفواجاً من الغربيين والشرقيين، وكاد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يتجلّى ويتحقّق على أرض الواقع، غير أن أعمال هؤلاء القساة الغلاظ صارت سبباً لابتعاد غير المسلمين عن الفهم الصحيح للإسلام والاعتقاد والالتزام بمنهجه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يعلم كيف يجازي من يموِّل هذه الفئة ومن يساندها إعلامياً وتسليحياً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نعتذر من المشاركين في المؤتمر عمّا امتزجت به كلمتي من</w:t>
      </w:r>
    </w:p>
    <w:p>
      <w:pPr>
        <w:pStyle w:val="BookText"/>
        <w:rPr/>
      </w:pPr>
      <w:r>
        <w:rPr>
          <w:rFonts w:ascii="Amiri" w:hAnsi="Amiri" w:eastAsia="Amiri" w:cs="Amiri"/>
          <w:color w:val="111111"/>
          <w:sz w:val="28"/>
          <w:sz w:val="28"/>
          <w:szCs w:val="28"/>
          <w:rtl w:val="true"/>
          <w:lang w:bidi="ar-SA"/>
        </w:rPr>
        <w:t>حزن وأسى‌، هي نفثة مصدور قد برّحت به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أُجدّد لكم التبريك والتهاني بهاتين المناسبتين السعيدتين وأرحِّب بكم في بلدكم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142" w:name="pg16780_177729"/>
    </w:p>
    <w:p>
      <w:pPr>
        <w:pStyle w:val="Heading3"/>
        <w:numPr>
          <w:ilvl w:val="2"/>
          <w:numId w:val="1"/>
        </w:numPr>
        <w:rPr/>
      </w:pPr>
      <w:bookmarkStart w:id="1143" w:name="__RefHeading___Toc7190317_73709187"/>
      <w:bookmarkStart w:id="1144" w:name="_Toc432"/>
      <w:bookmarkEnd w:id="1142"/>
      <w:bookmarkEnd w:id="1143"/>
      <w:r>
        <w:rPr/>
        <w:t>10</w:t>
      </w:r>
      <w:r>
        <w:rPr>
          <w:rtl w:val="true"/>
        </w:rPr>
        <w:t xml:space="preserve"> </w:t>
      </w:r>
      <w:r>
        <w:rPr>
          <w:rtl w:val="true"/>
        </w:rPr>
        <w:t xml:space="preserve">تقريظ كتاب </w:t>
      </w:r>
      <w:r>
        <w:rPr>
          <w:rtl w:val="true"/>
        </w:rPr>
        <w:t>«</w:t>
      </w:r>
      <w:r>
        <w:rPr>
          <w:rtl w:val="true"/>
        </w:rPr>
        <w:t>المحرز في شرح الموجز في أُصول الفقه</w:t>
      </w:r>
      <w:r>
        <w:rPr>
          <w:rtl w:val="true"/>
        </w:rPr>
        <w:t>»</w:t>
      </w:r>
      <w:bookmarkEnd w:id="1144"/>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نبيّه الخاتم المخلِّف للثقلين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 للاستضاءة بأنوارهما في مجالَي المعارف والأحكام، وعلى 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الاجتهاد بمعنى ردّ الفروع إلى الأُصول واستخراج حكم الموضوع من الأدلّة الشرعية، من ألطاف اللّه سبحانه على بعض عباده الّذين سهروا الليالي بالمطالعة والتفكير، ولا يحظى به كلّ شارد ووراد، ولا يقوم به إلّا الأمثل فالأمثل من رجال العلم والفضيلة، حتّى وصفه الشيخ الأنصاري في فرائده في مبحث الانسداد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الاجتهاد فإنّه أشدّ من طول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تحصيل ملكة الاجتهاد فرع تحصيل علوم مختلفة لا تُنال إلّا بممارستها، ومنها علم الأُصول الّذي يبحث فيها عن القواعد الّتي يتوسّل بها إلى استنباط الأحكام الشرعية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ألّفت في سالف الزمان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للمبتدئين في هذا العلم بلغة واضحة وأردفت بعض القواعد بالتفريعات، فنال موقع القبول عند أساتذة الحوزة وصار محوراً للدراسة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قام بشرحه وتوضيحه شيخنا الفاضل الحجّة الشيخ محمد حسين</w:t>
      </w:r>
    </w:p>
    <w:p>
      <w:pPr>
        <w:pStyle w:val="BookText"/>
        <w:rPr/>
      </w:pP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شرح الكتاب شرحاً مبسّطاً،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المحرز في شرح الموجز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إذ أُبارك له هذا العمل، أسأل اللّه تعالى أن يجعله من أصحاب الفتيا في مستقبله 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جمادى الأُولى</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شهور سنة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145" w:name="pg16780_177735"/>
    </w:p>
    <w:p>
      <w:pPr>
        <w:pStyle w:val="Heading2"/>
        <w:numPr>
          <w:ilvl w:val="1"/>
          <w:numId w:val="1"/>
        </w:numPr>
        <w:rPr/>
      </w:pPr>
      <w:bookmarkStart w:id="1146" w:name="__RefHeading___Toc7190319_73709187"/>
      <w:bookmarkStart w:id="1147" w:name="_Toc433"/>
      <w:bookmarkEnd w:id="1145"/>
      <w:bookmarkEnd w:id="1146"/>
      <w:r>
        <w:rPr>
          <w:rtl w:val="true"/>
        </w:rPr>
        <w:t>فهرس المحتويات</w:t>
      </w:r>
      <w:bookmarkEnd w:id="114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مقالات في الكلام والعقائد</w:t>
      </w:r>
    </w:p>
    <w:p>
      <w:pPr>
        <w:pStyle w:val="BookText"/>
        <w:rPr/>
      </w:pPr>
      <w:r>
        <w:rPr>
          <w:rFonts w:ascii="Amiri" w:hAnsi="Amiri" w:eastAsia="Amiri" w:cs="Amiri"/>
          <w:color w:val="111111"/>
          <w:sz w:val="28"/>
          <w:sz w:val="28"/>
          <w:szCs w:val="28"/>
          <w:rtl w:val="true"/>
          <w:lang w:bidi="ar-SA"/>
        </w:rPr>
        <w:t>وفيه أربع مقالات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شيخ الأزهر في محاضراته الرمضانية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الأوّل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الثاني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الإجماع على موضوع غير محدّد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لحفظ كرامة 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الرابع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الحلقة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الخامس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السادس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الصحابة أبصر بحالهم من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الحلقة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تفسير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الرضا مقيّد لا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الحلقة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الثامن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تعريف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حقيقة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الحلقة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التاسع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الحلقة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الحلقة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الحادي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الحلقة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الثاني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الحلقة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الحلقة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الرابع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الحلقة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الخامس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الحلقة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السادس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الحلقة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الثامن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الحلقة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التاسع عشر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تحليل أحداث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الحلقة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الحلقة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الحادي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الحلقة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الحلقة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الرابع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الاعتراض على صلح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بالإحلال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سهم 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الحلقة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الخامس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الحلقة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السادس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الحلقة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الحلقة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الثامن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الحلقة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التاسع والعشرون من شهر رمضان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والإيمان في اللغة ومصطلح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الكفر والإيمان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الإيمان والكفر في مصطلح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 اللساني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 القلبي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التصديق لساناً وقلباً مع الاجتناب عن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جمهور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التصديق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إجابة عن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النبي الخاتم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وحيٌ 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حكم إنكار الضروريات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التكفير وموانعه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التكفير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تكفير الفرد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على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قاصداً للمعنى 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موانع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مختاراً في البيان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عن شبهة خارجة عن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مالك بن نويرة وتبريره بالتأويل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الهرمزان وإمساك الخليفة عن إجراء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 التكفير في العصور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بادرة التكفير في عصر رسول اللّه صلى الله عليه و آله و سلم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أُسامة بن زيد يقتل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 وتكفير بني المصطلق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 ذي الخويصرة على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ظاهرة التكفير في زمن الخلفاء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مالك بن نويرة بتأويل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عائشة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الخوارج والتكفير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تكفير أهل القبلة على لسان النبيّ صلى الله عليه و آله و سلم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الذرائع الباطلة لتكفير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الذرائع التي يكفّر بها عامّة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بقدرة غيبية في الأولياء وطلب الشفاعة والاستغاثة والتوسّل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الغيبية للنبي 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الغيبية للنبي سليمان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التوسّل بالأنبياء والأولياء بالصور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كلام حول 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توسّل عمر بن الخطاب بعمّ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شبهة كون النبيّ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عند قبور الأنبياء والأولياء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مقام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الصلاة على قبور 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دليل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إيضاح مفاد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آثار الأنبياء والسلف الصالح من قبورهم وبيوتهم وما يمتّ إليهم بصلة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بيوت الأنبياء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الآثار ومودّة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الآثار تعظيم للشعائر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وحفظ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دليل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للنبي والإمام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بآثار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الذرائع التي يكفّر بها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بخلافة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الأئمة عليهم السلام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من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هذا هو الداء وأمّا الدواء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الأفكار الخاطئة التي تُشمّ منها رائحة تكفير الفرق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البرامج الدراسية في بعض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جذور ظاهرة التكفير ودوافع عقد المؤتمر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التكفير العنيف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نواجه ظاهرة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مَنْ حُرّمت عليهم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تفسير آل البيت بمَن تحرم عليه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أهل البيت في حديث 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عند الشيعة 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دليل الحصر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أهل البيت 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الضمائر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الحصر في فعل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تلاوة الآية على باب بيت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آل البيت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أهل السنّة والجماعة في آل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الاستدلال بخروج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الشيعة بالغلو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الصلاة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حقّهم في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الخمس في أرباح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مصرف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بيوتهم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المرجعية السياسية والعلمية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بشرية آل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كلمة أخيرة للشيخ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وأجوبة 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طلب الشفاء والرزق من الرسول الأكرم صلى الله عليه و آله و سلم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الربوبية غير تعطيل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واحد ينسب إلى الرب والمربوب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الصلة بين العالَمين الدنيوي والأُخروي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الأكرم صلى الله عليه و آله و سلم يكلّم أهل القليب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الشعر يضفي على القضية طابعاً خالداً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النبيّ الأكرم صلى الله عليه و آله و سلم وأئمة أهل البيت عليهم السلام يسمعون كلامنا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عليه السلام يخاطب الرسول صلى الله عليه و آله و سلم حين غسله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يخاطب الرسول الأكرم صلى الله عليه و آله و سلم بعد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على النبيّ صلى الله عليه و آله و سلم في كلّ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الأكرم صلى الله عليه و آله و سلم من شهداء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عدم اطّلاع المسيح عليه السلام على ما يجري على 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مقالات في الفقه والأحكام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وفيه أربع 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مواقيت الصلوات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الصلاة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فريضة موقوتة تجب المحافظة على أوقاتها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مواقيت الصلوات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حصيلة البحث حول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أوقات الفضيلة للصلوات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القامة والقامتان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الذراع والذراعان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القدم والقدمان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عرفة والمزدلفة والسفر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بين الصلاتين في عرفة والمزدلفة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الحضر لأجل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الحضر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الجمع معلّلاً بعدم إحراج الأُمة، أو للتوسعة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الجمع، من غير ذكر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يجمع بين الصلاتين، اقتداءً بسنّة النبيّ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النصوص لنصرة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لأجل وجود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كان صورياً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مفهوم الجمع في عامة الموارد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مع الشوكاني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كان صورياً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التأويل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لأجل الغيم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التأويل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كان 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التأويل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الجمع لأحد الأعذار المبهمة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أحاديث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وأجوبتها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فريضة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الخمس في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مطلق ما يفوز به 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لا يخصّص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استدلال الفقهاء بالآية في غير مورد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الخمس في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تفسير ألفاظ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كلام أبي يوسف في المعدن والركاز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خمس أرباح المكاسب في الحديث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إيضاح الاستدلال بهذه المكاتيب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الخمس في روايات أئمة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يخرج من البحر بالغوص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الذمي إذا اشتراها من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أرباح التجارات والصناعات والزراعات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الخمس في كلام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الخمس في كلام 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الخمس في كلام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الخمس في كلام الإمام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الخمس في كلام الإمام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تحليل الخمس في بعض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خمس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لمن ضاق عليه معاشه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ما ينتقل إلى الشيعة من غير المخمّس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لمرحلة زمنية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الخمس بدل الزكاة لبني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الوكالة في عصر الحضور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قابوس اللخمي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جندب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جعفر الهمّاني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الحسن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محمد بن سهل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عيسى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عثمان بن سعيد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روح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الخمس وتولّي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بيان ما يدل على تولّي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بانت الحقيقة بأجلى صورها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افتراؤه على السيد محمد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تحريفه لكلام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انطباعات خاطئة‌؟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الدليل على إعطاء الخمس للفقيه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 القرآن والسنة عن ذكر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ارتقاء الحكم من الاستحباب إلى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الفقيه الخمس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اغنياء بني هاشم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 أحد المتقدمين تولّي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شرعية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الشرع رهن الدليل القاطع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ذكر الزكاة دون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الزكاة وخمس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تمثيل باطل للمقارنة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مقارنة خاطئة بين الزكاة والخمس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في الفقه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أخطاؤه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أخطاؤه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المقارنة الصحيحة بين الزكاة والخمس في الفقه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سياسة يوسفية لا فرعونية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حول توسعة المسعى‌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توسعة المسعى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وآثارها البنّاءة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الآثار الإيجابية للزيارة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زيارة مراقد العلماء والشهداء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زيارة قبر النبي الأكرم صلى الله عليه و آله و سلم في الروايات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رأي ابن القيّم في زيارة قبر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طلب الاستغفار من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اهتمام العلماء بزيارة النبي الأكرم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زيارة القبور في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حديث لا تشدّ الرّحال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شدّ الرحال إلى المساجد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صيانة آثار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البيوت التي أذن اللّه أن ترفع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مراقد الأنبياء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حدّ التوحيد والشرك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البناء على القبور والبدعة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البناء على القبور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على القبور وإظهار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الخلفاء من البناء على قبور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المسلمين والبناء على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مشاهدات الرحالة ابن جبير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مشاهدات الرحالة ابن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مشاهدات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القبور في أحاديث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استحباب تعمير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الزيارة تدل على وجود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زيارة المشاهد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المؤلف وذرائعه</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زيادة التراب على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دراسة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البناء على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تحليل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التجصيص والتطيين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القبر شبراً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مناقشة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المساجد جنب المشاهد</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الموحّدين في عصر 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النبوي ومرقد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المسلمين وبناء المساجد عند المشاهد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الصلاة في المشاهد في أحاديث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ذرائع الكاتب وحججه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الميّت وإقامة العزاء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إقامة العزاء على موت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إقامة العزاء على سيّد الشهداء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تضخيم بعض الممارسات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النبي والولي ينفع ويضر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أصحاب القبور شفعاء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بأصحاب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والنذر للقبور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بأصحاب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 وضرب الخدود والصدور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النساء بالرجال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ردود على أجوبة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رسائل وتقاريظ وبيانات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الأُستاذ الشيخ علي رضا الأعرافي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الفاضل عبدالوهاب إبراهيم أبو سليمان حفظه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مستجدات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الأُستاذ آية اللّه الشيخ محمد واعظ زادة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حضرة العلّامة الحجّة آية اللّه الشيخ واعظ زادة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تفسير لفظ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استكشاف المراد من دراسة حال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التحديث والمسند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الحائري مظهر الفضيلة والتقى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حلقات درسه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انتاجاته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الخدمات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إنعكاسات ارتحال الفقيد وردود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تأبين السيد الإمام الخميني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إلى مهرجان ربيع الشهادة الثقافي العالمي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الاحتفال بمواليد أولياء اللّه من صميم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الاحتفال بذكرى الأئمّة عليهم السلام تجسيد للمودّة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تعزية بمناسبة وفاة العلّامة المجاهد الشيخ محمدمهدي الآصفي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إلى مؤتمر الوحدة الإسلامية المنعقد في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المحرز في شرح الموجز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تنصرّ في الحبشة هو عبيد اللّه بن جحش، وأمّا عبد اللّه فقد استشهد يوم أحد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في الحوض، الحديث رقم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 xml:space="preserve">، ولاحظ سائر روايات ذلك الباب تحت الارقام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باب في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برقم </w:t>
      </w:r>
      <w:r>
        <w:rPr>
          <w:rFonts w:eastAsia="IRNazanin" w:cs="IRNazanin"/>
          <w:b w:val="false"/>
          <w:bCs w:val="false"/>
          <w:i w:val="false"/>
          <w:iCs w:val="false"/>
          <w:color w:val="333333"/>
          <w:sz w:val="20"/>
          <w:szCs w:val="20"/>
        </w:rPr>
        <w:t>6579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 والصحابة لحسن بن فرحان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الطبعة الأُولى 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تضافرت الروايات على أنّ خالد بن الوليد بعد ما قتل الصحابي مالك بن نويرة بعذر واهٍ وتزوج امرأته، فلمّا رجع إلى المدينة وانتشر خبره قام إليه عمر فانتزع الأسهم من رأسه فحطّمها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أرئاء قتلت امرءاً مسلماً ثم نزوت على امرأته واللّه لأرجمنك بأحجارك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سيّره عثمان إلى الربذة ومات هناك وحيداً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البلاذري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جرى بينه وبين عمّار حيث أمر عمّاله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 فأُخذ ودخل عثمان ودعا به فضربه حتّى غشي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فحمل حتّى أُتي به منزل أُم سلمة زوج رسول اللّه صلى الله عليه و آله و سلم فلم يصل الظهر والعصر والمغرب، فلما أفاق توضّأ وصلّى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عاص فقد غرّبه وولده، رسول اللّه صلى الله عليه و آله و سلم إلى الطائف غير أن الخليفة عثمان ردّهم إلى المدينة فأنكر المسلمون عليه إدخاله إياهم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كتاب فضائل علي عليه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تحقيق أسعد داغر،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مكتبة الكليات الأزهرية؛ وفي لسان الميزان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فعلتهن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عبد ربه في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ابن عساكر 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13/122</w:t>
      </w:r>
      <w:r>
        <w:rPr>
          <w:rFonts w:ascii="IRNazanin" w:hAnsi="IRNazanin" w:eastAsia="IRNazanin"/>
          <w:b w:val="false"/>
          <w:b w:val="false"/>
          <w:bCs w:val="false"/>
          <w:i w:val="false"/>
          <w:i w:val="false"/>
          <w:iCs w:val="false"/>
          <w:color w:val="333333"/>
          <w:sz w:val="20"/>
          <w:sz w:val="20"/>
          <w:szCs w:val="20"/>
          <w:rtl w:val="true"/>
        </w:rPr>
        <w:t>؛ ابن أبي الحديد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الجويني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الذهبي في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نور الدين الهيتمي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ابن حجر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عبد الوهاب عبد المقصود في كتاب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كتاب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من سورة التحريم برقم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كتاب التفسير، رقم الحديث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كتاب الرقاق، باب الأعمال بالخواتيم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كتاب المغازي، باب غزوة الحديبية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w:t>
      </w:r>
      <w:r>
        <w:rPr>
          <w:rFonts w:ascii="IRNazanin" w:hAnsi="IRNazanin" w:eastAsia="IRNazanin"/>
          <w:b w:val="false"/>
          <w:b w:val="false"/>
          <w:bCs w:val="false"/>
          <w:i w:val="false"/>
          <w:i w:val="false"/>
          <w:iCs w:val="false"/>
          <w:color w:val="333333"/>
          <w:sz w:val="20"/>
          <w:sz w:val="20"/>
          <w:szCs w:val="20"/>
          <w:rtl w:val="true"/>
        </w:rPr>
        <w:t>، كتاب الرقاق، باب في الحوض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للشهيد المطّهري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xml:space="preserve">، باب مناقب عمر بن الخطاب،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9/169</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مجمع الجوامع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32970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42/472</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42/472</w:t>
      </w:r>
      <w:r>
        <w:rPr>
          <w:rFonts w:ascii="IRNazanin" w:hAnsi="IRNazanin" w:eastAsia="IRNazanin"/>
          <w:b w:val="false"/>
          <w:b w:val="false"/>
          <w:bCs w:val="false"/>
          <w:i w:val="false"/>
          <w:i w:val="false"/>
          <w:iCs w:val="false"/>
          <w:color w:val="333333"/>
          <w:sz w:val="20"/>
          <w:sz w:val="20"/>
          <w:szCs w:val="20"/>
          <w:rtl w:val="true"/>
        </w:rPr>
        <w:t>؛ ورواه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قريب من هذا؛ وابن عبدالبرّ 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أربعينه كما ذكره السيوطي؛ والحافظ الكنجي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كثير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وغيره من المصادر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الحاجب عن ابن الحاجب، الورقة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المخطوط في مكتبة الأزهر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الراشدين،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كتاب المغازي، غزوة خيبر،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والطبعة الجديدة، برقم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الإسلام، العدد الثالث من السنة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العدد الأوّل بتاريخ ربيع الأوّل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مقالة الشيخ محمد الحسين آل كاشف الغطاء المنشورة في العدد الثالث من السنة الثانية من مجلة رسالة الإسلام، الصادرة عن دار التقريب بين المذاهب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الروايات من طرق السنّة أنّ عائشة هي محور قصّة الأفك، غير أنّ رواياتنا الشيعية تذكرأنّ محور هذه القصّة هي مارية القبطية، ونحن بكلمة واضحة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نساء النبيّ صلى الله عليه و آله و سلم منزّهات مبرّآت من هذه التهم، سواء كانت عائشة أو غيرها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طبعة صيدا، لبنان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باب رجم الحبلى من الزنا، من كتاب المحاربين من أهل الكفر والردّة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محاضرة الدكتور أحمد الطيب في اليوم السابع عشر من شهر رمضان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ومحاضرات في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إبراهيم، بيروت، دار التراث، 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دار إحياء التراث العربي، بيروت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السقيفة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باب حديث الإفك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أخرجه الحاكم عن زيد بن أرقم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المطبعة المحمدية بمصر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للهيتمي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المطبعة المحمدية بمصر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التفاسير الروائية كالطبري والدر المنثور، ومن التفاسير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وتفسير الرازي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 للدكتور عبداللّه فياض قسم المقدّمة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الانافة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نقض العثمانيّة كما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شرح الشفاء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لهيكل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باب ما جاء في الخلافة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باب الاستخلاف، ورواه ناقصاً كما يظهر ممّا نقله مسلم وغيره، ورواه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الإمارة، باب الناس تبع لقريش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لعبداللّه الغريفي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محاضرة الدكتور في اليوم الثاني والعشرين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مؤسسة إسماعيليان،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واحة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طبع في مؤسسة الإمام الصادق 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18011</w:t>
      </w:r>
      <w:r>
        <w:rPr>
          <w:rFonts w:ascii="IRNazanin" w:hAnsi="IRNazanin" w:eastAsia="IRNazanin"/>
          <w:b w:val="false"/>
          <w:b w:val="false"/>
          <w:bCs w:val="false"/>
          <w:i w:val="false"/>
          <w:i w:val="false"/>
          <w:iCs w:val="false"/>
          <w:color w:val="333333"/>
          <w:sz w:val="20"/>
          <w:sz w:val="20"/>
          <w:szCs w:val="20"/>
          <w:rtl w:val="true"/>
        </w:rPr>
        <w:t>؛ المعيار والموازنة للإسكافي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إلى غير ذلك من المصادر الكثيرة والّتي ذكرها العلّامة الأميني في موسوعة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طبعة مركز الغدير للدراسات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نقله عن اثني عشر مصدراً من أعلام السنّة وستاً وعشرين مصدراً من أعلام الشيعة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وأخرجه أيضاً في أبواب أُخرى، فلاحظ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بتفاوت في المخاطب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كتاب الشروط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السيرة الدحلانية في هامش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ascii="IRNazanin" w:hAnsi="IRNazanin" w:eastAsia="IRNazanin"/>
          <w:b w:val="false"/>
          <w:b w:val="false"/>
          <w:bCs w:val="false"/>
          <w:i w:val="false"/>
          <w:i w:val="false"/>
          <w:iCs w:val="false"/>
          <w:color w:val="333333"/>
          <w:sz w:val="20"/>
          <w:sz w:val="20"/>
          <w:szCs w:val="20"/>
          <w:rtl w:val="true"/>
        </w:rPr>
        <w:t>، تفسير سورة التوبة، وذكره القدوري في كتابه الجوهرة النيّرة في الفقه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النص والاجتهاد للسيد الإمام عبد الحسين شرف الدين وهو كتاب ممتع مليء بالأحداث الّتي قُدّم فيها الاجتهاد الخاطئ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الصحيح فإنّه تبع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النص النبوي الجلي، وعلى ضوء ذلك لا يكون ترك العمل بحديث الغدير من أكثرية الصحابة دليلاً على عدم تمامية دلالته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ولاحظ أيضاً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فيجخفوا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يتكبّروا، 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فتجحفوا الناس جحفاً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نزول الآية في واقعة الغدير جمٌّ غفير يناهز الثلاثين بين محدّث ومفسّر، ومؤرّخ ومحقّق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وصفها عمر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بلغني أن قائلاً منكم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مات عمر بايعت فلاناً فلايغترن امرؤ أن يقول إنّما كانت بيعة أبي بكر فلتة وتمّت، ألا وإنّها قد كانت كذلك ولكن اللّه وقى شرّها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باب رجم الحبلى من الزنا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قسم الإلهيات المقالة العاشرة من الفصل الخامس، طبعة مصر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طبعة دار التعارف بيروت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والحاكمون للشيخ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لابن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6/589</w:t>
      </w:r>
      <w:r>
        <w:rPr>
          <w:rFonts w:ascii="IRNazanin" w:hAnsi="IRNazanin" w:eastAsia="IRNazanin"/>
          <w:b w:val="false"/>
          <w:b w:val="false"/>
          <w:bCs w:val="false"/>
          <w:i w:val="false"/>
          <w:i w:val="false"/>
          <w:iCs w:val="false"/>
          <w:color w:val="333333"/>
          <w:sz w:val="20"/>
          <w:sz w:val="20"/>
          <w:szCs w:val="20"/>
          <w:rtl w:val="true"/>
        </w:rPr>
        <w:t>، والآية هي السابعة من سورة البيّنة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 في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الّتي حدثت إبّان الاحتلال البريطاني للعراق في عام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مفردات الخطبة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البر والصلة والآداب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الأجوبة النجدية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 الاعتقاد للإمام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مطبعة صبيح في القاهرة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حزم في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قسم المتن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فضائل عليّ 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التفاسير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أُغمد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حوادث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طبعة مؤسسة الرسالة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كتاب الإيمان، باب من قال لأخيه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كافر، طبعة دار الفكر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كتاب الإيمان، باب من قال لأخيه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كافر؛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كتاب الإيمان، طبع دار الفكر، بيروت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لابن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عن مسند عثمان بن حنيف؛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تلخيص المستدرك للذهبي المطبوع في هامش المستدرك؛ التاج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نقلاً عن مصباح الظلام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باب ثواب الصلاة على النبي صلى الله عليه و آله و سلم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ورغائب الفرقان المطبوع بهامش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باب بناء المساجد على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هذا المعنى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النهي إنّما هو عمّا يؤدي بالقبر إلى ما عليه أهل الكتاب، أمّا غير ذلك فلا إشكال فيه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باب ما جاء الرخصة في زيارة القبور، برقم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استحباب صلاة النافلة في البيت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بتصرّف يسير،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للعزّامي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نقلاً عن ابن تيمية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493/10</w:t>
      </w:r>
      <w:r>
        <w:rPr>
          <w:rFonts w:ascii="IRNazanin" w:hAnsi="IRNazanin" w:eastAsia="IRNazanin"/>
          <w:b w:val="false"/>
          <w:b w:val="false"/>
          <w:bCs w:val="false"/>
          <w:i w:val="false"/>
          <w:i w:val="false"/>
          <w:iCs w:val="false"/>
          <w:color w:val="333333"/>
          <w:sz w:val="20"/>
          <w:sz w:val="20"/>
          <w:szCs w:val="20"/>
          <w:rtl w:val="true"/>
        </w:rPr>
        <w:t>؛ سيرة 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1405/4</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للشيخ عبد الظاهر إمام المسجد الحرام وخطيبه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تفسير سورة الرعد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كتاب أحاديث الأنبياء،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باب مناقب المهاجرين وفضلهم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بن إبراهيم بن علي بن المرتضى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 عليه الشوكاني، ونعته بالمجتهد المطلق،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لا يشبه كلام أهل عصره وكلام من بعده، بل هو من نمط كلام ابن حزم وابن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 على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الطبعة الثانية،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 على أتباع الرُّسل ومصدّقيهم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المطبعة السلفية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النصّ بكامله في صدر الرسالة فراجع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وليس نبياً،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 الإسلامية للصف العاشر في دولة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المناهج من التكفير للشيخ عبد اللّه دشتي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الحوزة العلمية في قم المقدّسة المؤتمر العالمي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علماء الإسلام في التيارات المتطرّفة والتكفيرية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ذي الحجة الحرام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شاركنا في جلسة افتتاح أعمال المؤتمر بهذه الكلمة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الكلمة في اختتام أعمال المؤتمر العالمي 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آراء علماء الإسلام في التيارات المتطرّفة والتكفيرية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 الإسلامية للصف التاسع في دولة 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جاءتحت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العبادة ومن يستحقّها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قسم من هذه المراسلات في الجزء الثالث والرابع والخامس والسادس من هذه الموسوعة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باب المناقب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في بيان مواضع قسم الخمس وسهم ذوي القربى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باب المناقب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ورواه 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باب فضائل أهل بيت النبيّ صلى الله عليه و آله و سلم، دار ابن حزم،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وتفسير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تفسير سورة الأحزاب باختلاف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باب ما جاء في فضل فاطمة عليها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تلك المأثورات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الجوامع الحديثية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البيت الّذي يتمتع بجلال وكرامة والّذي عرّفه النبي بأنّه من أفاضل البيوت الّتي أمر الناس برفعها، أخرج السيوطي في الدر المنثور عن أنس بن مالك وبريدة أنّ رسول اللّه صلى الله عليه و آله و سلم قرأ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بيوت هذه يا رسول اللّه‌؟</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باب فضائل علي عليه السلام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 بمصر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إلّازينب بنت جحش، ابنة عمته صلى الله عليه و آله و سلم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طبعة دار الكتب الإسلامية؛ تحرير الوسيلة، للإمام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بحوث في الملل والنحل، في ثمانية أجزاء، طبع مؤسسة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إصدار البيان كان في </w:t>
      </w:r>
      <w:r>
        <w:rPr>
          <w:rFonts w:eastAsia="IRNazanin" w:cs="IRNazanin"/>
          <w:b w:val="false"/>
          <w:bCs w:val="false"/>
          <w:i w:val="false"/>
          <w:iCs w:val="false"/>
          <w:color w:val="333333"/>
          <w:sz w:val="20"/>
          <w:szCs w:val="20"/>
        </w:rPr>
        <w:t>2/1/1428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يغالون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في الربوبيّة غير التوحيد في الخالقية، وقد خلط غير واحد من طلاب منهج محمد بن عبدالوهاب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 الحديث متوفرة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المقدسي فريداً في نقله، بل يوجد مصادر أُخرى يستطيع عليها المتتبّع الرجوع إليها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باب مناقب عمر بن الخطاب، برقم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6098</w:t>
      </w:r>
      <w:r>
        <w:rPr>
          <w:rFonts w:ascii="IRNazanin" w:hAnsi="IRNazanin" w:eastAsia="IRNazanin"/>
          <w:b w:val="false"/>
          <w:b w:val="false"/>
          <w:bCs w:val="false"/>
          <w:i w:val="false"/>
          <w:i w:val="false"/>
          <w:iCs w:val="false"/>
          <w:color w:val="333333"/>
          <w:sz w:val="20"/>
          <w:sz w:val="20"/>
          <w:szCs w:val="20"/>
          <w:rtl w:val="true"/>
        </w:rPr>
        <w:t>، تحقيق صدقي جميل العطار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لابن الزبعرى‌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تمثل بها يزيد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الحسين نقد وتحليل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كتاب الإمام الحسين الّذي يشتمل على ثلاث رسائل للمؤلّف نفسه، دار مكتبة التربية،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الحسين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استشهاد الحسين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الجميلي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غزوة خيبر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طبعة مؤسسة الإمام الصادق عليه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الزكاة، باب ما يقال عند إخراج الزكاة،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خلقكم وما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الأمر بالإيمان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w:t>
      </w:r>
      <w:r>
        <w:rPr>
          <w:rFonts w:ascii="IRNazanin" w:hAnsi="IRNazanin" w:eastAsia="IRNazanin"/>
          <w:b w:val="false"/>
          <w:b w:val="false"/>
          <w:bCs w:val="false"/>
          <w:i w:val="false"/>
          <w:i w:val="false"/>
          <w:iCs w:val="false"/>
          <w:color w:val="333333"/>
          <w:sz w:val="20"/>
          <w:sz w:val="20"/>
          <w:szCs w:val="20"/>
          <w:rtl w:val="true"/>
        </w:rPr>
        <w:t>، باب نفي الغلوّ في النبيّ والأئمة عليهم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التي ألّفها علماؤنا لأجل تمحيص ما روي عن أئمة أهل البيت عليهم السلام نذكر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المنار المنيف في الصحيح والضعيف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المغني عن الحفظ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الأسرار المرفوعة في الأخبار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المؤتمر العالمي لألفية الشيخ المفيد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رقم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صبحي الصالح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دار الكتب العلمية،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إلى غير ذلك من المصادر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الأمر بالإيمان؛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الدكتور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كلِّ منها 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عين ينبع منها الماء الحار، ويُستشفى بها من العلل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14/144</w:t>
      </w:r>
      <w:r>
        <w:rPr>
          <w:rFonts w:ascii="IRNazanin" w:hAnsi="IRNazanin" w:eastAsia="IRNazanin"/>
          <w:b w:val="false"/>
          <w:b w:val="false"/>
          <w:bCs w:val="false"/>
          <w:i w:val="false"/>
          <w:i w:val="false"/>
          <w:iCs w:val="false"/>
          <w:color w:val="333333"/>
          <w:sz w:val="20"/>
          <w:sz w:val="20"/>
          <w:szCs w:val="20"/>
          <w:rtl w:val="true"/>
        </w:rPr>
        <w:t>، نشر مؤسسة التاريخ</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عاشور التونسيّ‌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الأوقات المذكورة في هذه الآية، هي أوقات الصلوات، ثم قال وهو يعدّدها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ووقتان قبل غروبها وهما الظهر والعصر،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الصلوات الخمس، الحديث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الصلوات الخمس، الحديث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معنى القامة عن قريب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 تحقيق صدقي جميل العطار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 تحقيق صدقي جميل العطار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باب وقت المغرب من كتاب الصلاة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باب ذكر العشاء والعتمة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في الحضر والسفر،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باب الوقت الّذي يجمع فيه المقيم، والمراد من ثمان سجدات ثمان ركعات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جابر بن زيد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جابر بن زيد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باب تأخير الظهر إلى العصر من كتاب الصلاة، الحديث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في الحضر والسفر،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ورد في الصنف الأوّل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ورد في الصنف الأوّل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وحدة إسلامية 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صلاة المسافرين وقصرها، باب الجمع بين الصلاتين في الحضر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من أحاديث سيد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الصنف الأوّل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باب الوقت الّذي يجمع فيه المسافر بين الظهر والعصر ولاحظ أيضاً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باب جواز الجمع بين الصلاتين في السفر من كتاب الصلاة؛ وسنن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الصلاة الباب الجمع بين الصلاتين؛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الروايات الدالة على أنّ الجمع في السفر كان جمعاً حقيقياً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وحدة إسلامية 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المنذر النيسابوري، نزيل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مجتهد،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الفقه، والإشراف على مذاهب أهل العلم، واختلاف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قسم التعليقة بقلم أحمد محمد شاكر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بتعاليق عبد العزيز بن باز</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الحظر عمّن 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فصل في أوقات اليومية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الاقتصاد في العبادة؛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كراهية الرهبانية؛؛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وحدة إسلامية 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وحدة إسلامية 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النصوص لنصرة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وحدة إسلامية 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وحدة إسلامية 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تخريج وترقيم وضبط صدقي جميل العطّار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ما يقال عند اخراج الزكاة،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من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باب جرح العجماء والمعدن والبئر جبار، من كتاب الحدود؛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باب في الركاز الخمس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باب ما جاء في العجماء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أبا يوسف يعد الخمس الوارد في هذا الموضع من مصاديق الغنيمة الواردة في آية الخمس وهو شاهد على كونها عامة مفهوماً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أبي يوسف، وإطلاق الآية يخالفه مضافاً إلى مخالفته لروايات أئمّة أهل البيت، فإنّهاتفرض الخمس في الجميع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خلقكم وما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الأمر بالإيمان؛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اليمن؛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تنوير الحوالك في شرح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جمعه اقيال، 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من ملوك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قيل ذي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ملكها وهي قيلة من اليمن تنسب إلى ذي رعين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كتاب الفتن، 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كتاب الفتن، 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النهب بغير إذن صاحبه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الصيد،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7/284</w:t>
      </w:r>
      <w:r>
        <w:rPr>
          <w:rFonts w:ascii="IRNazanin" w:hAnsi="IRNazanin" w:eastAsia="IRNazanin"/>
          <w:b w:val="false"/>
          <w:b w:val="false"/>
          <w:bCs w:val="false"/>
          <w:i w:val="false"/>
          <w:i w:val="false"/>
          <w:iCs w:val="false"/>
          <w:color w:val="333333"/>
          <w:sz w:val="20"/>
          <w:sz w:val="20"/>
          <w:szCs w:val="20"/>
          <w:rtl w:val="true"/>
        </w:rPr>
        <w:t>، باب وجوب الخمس فيما يفضل عن مؤونة السنة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181/47</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أسسها موسى بن جعفر عليه السلام ثلاثة أميال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الشهيد عنه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الفصل الثاني من كتاب الخمس،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ندري من أين استعار صاحب الكتاب لقب الدكتوراه للمؤلف ووصفه به عند ذكر المصادر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20/839</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نقله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لموسى الموسوي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للدكتور 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12065</w:t>
      </w:r>
      <w:r>
        <w:rPr>
          <w:rFonts w:ascii="IRNazanin" w:hAnsi="IRNazanin" w:eastAsia="IRNazanin"/>
          <w:b w:val="false"/>
          <w:b w:val="false"/>
          <w:bCs w:val="false"/>
          <w:i w:val="false"/>
          <w:i w:val="false"/>
          <w:iCs w:val="false"/>
          <w:color w:val="333333"/>
          <w:sz w:val="20"/>
          <w:sz w:val="20"/>
          <w:szCs w:val="20"/>
          <w:rtl w:val="true"/>
        </w:rPr>
        <w:t xml:space="preserve">، طبعة دار الفكر،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27080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قدس سره عام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اقرأ ترجمته 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14/1/462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سِفر التكوين الفصل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جزية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النووي على ما نقله 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لإبراهيم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شفاء الغرام للفاسي، وهذا التقدير هو ما ذكره الفاسي مقيساً بالذراع ثم حوّل إلى الأمتار باعتبار طول الذراع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سنتيمتراً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البجيرمي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ولاحظ بقية الصفحات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الخارطة في نهاية الرسالة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توسعة المسعى عزيمة لا رخصة للدكتور عبدالوهاب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42558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النبوية، لمحمد بن علوي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الانام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ما يقال عند دخول القبور والدعاء لأهلها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ناقلاً عن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كتاب الجنائز،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باب شدّ الرحال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التفاسير حول الآية، وأخصّ بالذكرمجمع البيان للطبرسي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كتاب الصوم، باب فضل قيام شهر رمضان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طبعة مكتبة الرباط الحديثة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طبعة دار الكتاب اللبناني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منشورات الجامعة اللبنانية، 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 عن قبر فاطمة فإنّما هو قبر فاطمة بنت أسد أُمّ أميرالمؤمنين عليه السلام لا فاطمة بنت النبي صلى الله عليه و آله و سلم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مدينة الرسول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تحقيق صالح محمد جمال طبع مكة المكرمة،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الدريّة في ردّ شبهات الوهابية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المطبوعة مع كشف الارتياب في اتباع محمد بن عبدالوهاب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الجنائز، الحديث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r>
        <w:rPr>
          <w:rFonts w:ascii="IRNazanin" w:hAnsi="IRNazanin" w:eastAsia="IRNazanin"/>
          <w:b w:val="false"/>
          <w:b w:val="false"/>
          <w:bCs w:val="false"/>
          <w:i w:val="false"/>
          <w:i w:val="false"/>
          <w:iCs w:val="false"/>
          <w:color w:val="333333"/>
          <w:sz w:val="20"/>
          <w:sz w:val="20"/>
          <w:szCs w:val="20"/>
          <w:rtl w:val="true"/>
        </w:rPr>
        <w:t xml:space="preserve">، وفي طبعة أُخرى لمؤسسة الفرقان،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الرجالية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كتاب الجنائز؛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باب ما جاء في تسوية القبر؛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تسوية القبر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بتسوية القبر، برقم </w:t>
      </w:r>
      <w:r>
        <w:rPr>
          <w:rFonts w:eastAsia="IRNazanin" w:cs="IRNazanin"/>
          <w:b w:val="false"/>
          <w:bCs w:val="false"/>
          <w:i w:val="false"/>
          <w:iCs w:val="false"/>
          <w:color w:val="333333"/>
          <w:sz w:val="20"/>
          <w:szCs w:val="20"/>
        </w:rPr>
        <w:t>968/92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باتّخاذ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طبعة دار ابن حزم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تفصيل توسعة المسجد في كتاب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طبعة مؤسسة الفرقان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897/3</w:t>
      </w:r>
      <w:r>
        <w:rPr>
          <w:rFonts w:ascii="IRNazanin" w:hAnsi="IRNazanin" w:eastAsia="IRNazanin"/>
          <w:b w:val="false"/>
          <w:b w:val="false"/>
          <w:bCs w:val="false"/>
          <w:i w:val="false"/>
          <w:i w:val="false"/>
          <w:iCs w:val="false"/>
          <w:color w:val="333333"/>
          <w:sz w:val="20"/>
          <w:sz w:val="20"/>
          <w:szCs w:val="20"/>
          <w:rtl w:val="true"/>
        </w:rPr>
        <w:t>، طبعة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طبعة مؤسسة الفرقان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طبعة مؤسسة الفرقان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بقية الروايات الّتي تناهز العشر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الاسماع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كتاب المناقب في علامات النبوة في الإسلام؛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تاريخ 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الفتن والملاحم، بسند صحيح على شرط الشيخين، وأقرّه الذهبي في تلخيصه عن داود بن أبي صالح</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جواز البكاء،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طبعة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ترتيب هذا الفصل حسب تاريخ الرسائل بدءاً بالأقدم وانتهاء بالجديد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الطبعة الأخيرة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وغير ذلك من المصادر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استحباب صلاة النافلة في البيت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image" Target="media/image2.jpeg"/><Relationship Id="rId643" Type="http://schemas.openxmlformats.org/officeDocument/2006/relationships/image" Target="media/image2.jpeg"/><Relationship Id="rId644" Type="http://schemas.openxmlformats.org/officeDocument/2006/relationships/footer" Target="footer637.xml"/><Relationship Id="rId645" Type="http://schemas.openxmlformats.org/officeDocument/2006/relationships/footnotes" Target="footnotes.xml"/><Relationship Id="rId646" Type="http://schemas.openxmlformats.org/officeDocument/2006/relationships/numbering" Target="numbering.xml"/><Relationship Id="rId647" Type="http://schemas.openxmlformats.org/officeDocument/2006/relationships/fontTable" Target="fontTable.xml"/><Relationship Id="rId648" Type="http://schemas.openxmlformats.org/officeDocument/2006/relationships/settings" Target="settings.xml"/><Relationship Id="rId6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44274</Words>
  <Characters>196722</Characters>
  <CharactersWithSpaces>238528</CharactersWithSpaces>
  <Paragraphs>2409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2026-08-22T04:31:21Z</dcterms:created>
  <dc:creator>ghaemiyeh.com</dc:creator>
  <dc:description/>
  <dc:language>en-US</dc:language>
  <cp:lastModifiedBy/>
  <dcterms:modified xsi:type="dcterms:W3CDTF">2026-08-22T08:01:42Z</dcterms:modified>
  <cp:revision>1</cp:revision>
  <dc:subject/>
  <dc:title>رسائل و مقالات تبحث فی مواضیع فقهیه اصولیه کلامیه تراجم و مکاتبات و حورات مع بعض الاعلام جلد 10</dc:title>
</cp:coreProperties>
</file>

<file path=docProps/custom.xml><?xml version="1.0" encoding="utf-8"?>
<Properties xmlns="http://schemas.openxmlformats.org/officeDocument/2006/custom-properties" xmlns:vt="http://schemas.openxmlformats.org/officeDocument/2006/docPropsVTypes"/>
</file>